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88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BDE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7FC8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关于加强农村集体“三资”管理的工作意见</w:t>
      </w:r>
    </w:p>
    <w:p w14:paraId="33721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（征求意见稿）</w:t>
      </w:r>
    </w:p>
    <w:p w14:paraId="054F5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27F6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市委、市政府主要领导指示批示精神，以及市纪委监委《关于开展农村集体“三资”管理突出问题专项督查情况的报告》要求，为进一步加强农村集体“三资”管理，解决全市农村集体资产清产核资不彻底、不规范农村集体经济合同排查整改不到位、农村集体财务管理不规范、工程项目监管缺位等问题，结合我市实际，现提出如下工作意见。</w:t>
      </w:r>
    </w:p>
    <w:p w14:paraId="1E392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 w14:paraId="6E551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坚持以习近平新时代中国特色社会主义思想为指导，全面贯彻落实党的二十大和二十届二中、三中全会精神，深入贯彻习近平总书记对广东系列重要讲话和重要指示精神，落实省委“1310”具体部署，把加强农村集体“三资”监管作为实施“百千万工程”推进乡村全面振兴打基础、管长远、利群众的大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贯彻实施《中华人民共和国农村集体经济组织法》，</w:t>
      </w:r>
      <w:r>
        <w:rPr>
          <w:rFonts w:hint="eastAsia" w:ascii="仿宋_GB2312" w:eastAsia="仿宋_GB2312"/>
          <w:sz w:val="32"/>
          <w:szCs w:val="32"/>
        </w:rPr>
        <w:t>以法律法规和政策制度为准绳，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健全完善农村集体“三资”管理体制机制，全面规范农村集体“三资”管理，切实</w:t>
      </w:r>
      <w:r>
        <w:rPr>
          <w:rFonts w:hint="eastAsia" w:ascii="仿宋_GB2312" w:eastAsia="仿宋_GB2312"/>
          <w:sz w:val="32"/>
          <w:szCs w:val="32"/>
        </w:rPr>
        <w:t>维护农村集体及成员权益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eastAsia="仿宋_GB2312"/>
          <w:sz w:val="32"/>
          <w:szCs w:val="32"/>
          <w:lang w:eastAsia="zh-CN"/>
        </w:rPr>
        <w:t>农村集体资产保值增值，</w:t>
      </w:r>
      <w:r>
        <w:rPr>
          <w:rFonts w:hint="eastAsia" w:ascii="仿宋_GB2312" w:eastAsia="仿宋_GB2312"/>
          <w:sz w:val="32"/>
          <w:szCs w:val="32"/>
        </w:rPr>
        <w:t>促进集体产权交易市场健康发展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推动集体与</w:t>
      </w:r>
      <w:r>
        <w:rPr>
          <w:rFonts w:hint="eastAsia" w:ascii="仿宋_GB2312" w:eastAsia="仿宋_GB2312"/>
          <w:sz w:val="32"/>
          <w:szCs w:val="32"/>
        </w:rPr>
        <w:t>农民持续增收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F5F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二、主要措施</w:t>
      </w:r>
    </w:p>
    <w:p w14:paraId="79EE2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（一）以体制机制改革强化集体“三资”监管力量</w:t>
      </w:r>
    </w:p>
    <w:p w14:paraId="7745A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1.健全完善集体资产管理制度。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制定出台《汕尾市农村集体财产管理办法》，明确农村集体经济组织章程修订或制定要求，规范农村集体民主决策程序，明确农村产权管理、交易相关程序及范围，明确部门监管职责、农村财务管理、违规违法责任追究等。</w:t>
      </w:r>
    </w:p>
    <w:p w14:paraId="5D4F5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2.强化充实镇街清查核实力量。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、县（市、区）两级农业农村、财政部门组建市、县农村集体“三资”清查监管指导机构，负责指导镇街一级开展清产核资、规范农村财务管理等工作。镇街组建农村集体“三资”清查监管工作机构，统筹整合经济发展办（农办）与农村财务结算中心工作力量，具体负责集体资产清查核实、农村财务管理等工作，将“信息调查各自为战、成果数据未互通比对”的工作状态转变为“统一清查标准、统一信息来源、统一核实较对、统一数据成果”，切实做到账物相符、账实相符、账数相符、账账相符。</w:t>
      </w:r>
    </w:p>
    <w:p w14:paraId="781F0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黑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3.建设服务机构规范产权交易。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镇街建立健全农村产权流转交易服务机构，具体负责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审核交易项目立项申请，指导和监督交易组织过程和交易信息公开情况，调查处理农村产权流转交易过程中的相关投诉。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val="en-US" w:eastAsia="zh-CN"/>
        </w:rPr>
        <w:t>统一交易文书、统一交易流程、统一合同文本，切实规范农村产权流转交易行为。</w:t>
      </w:r>
    </w:p>
    <w:p w14:paraId="149D0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（二）创新农村集体“三资”清查核实机制</w:t>
      </w:r>
    </w:p>
    <w:p w14:paraId="773C0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1.统一清查标准。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明确全市集体资产资源清产核资的数据标准和流程规范，明确资产分类、数据字段、工作流程等规范要求，参照珠三角先进地区工作经验，设计“清查、登记、录入、确认、公示、复核、审核备案、抽查、动态更新、成果运用”10步工作法，制定全市统一的农村集体资产资源编码规则，高标准严要求开展清产核资。</w:t>
      </w:r>
    </w:p>
    <w:p w14:paraId="3A45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2.创新核实机制。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行集体资产清查核实“三项制度”，即排查成果由村级集体经济组织全体理事会成员进会签，村集体经济组织清查结果的真实性与准确性负责并作出签订承诺书，清查结果与会签、承诺等相关资料一并公示。实行市级每月抽查10%集体经济组织，县级每半个月抽查10%账目的“双随机”抽查机制，以省平台资产数据、“一张图”数据为标准，对资产漏登率超过5%、“点图”数大于30宗的镇街予以通报。建立“红黄蓝”数据预警机制，连续3个月数据异常的移交相关部门进一步问责处理。</w:t>
      </w:r>
    </w:p>
    <w:p w14:paraId="4E05D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3.平台信息比对。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托省集体资产监督管理平台的资产“一张图”，通过与自然资源、林业等部门信息数据交叉核验、图层比对，全面核查不动产登记数据、用地报批信息、空间规划、地籍调查等信息，保障清产核资数据的准确性和实用性。</w:t>
      </w:r>
    </w:p>
    <w:p w14:paraId="398A9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三）规范农村财务管理</w:t>
      </w:r>
    </w:p>
    <w:p w14:paraId="5E4CE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1.推行分账分灶。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完善农村集体经济管理和运行方式，健全财务统计、资产登记、运营管理等工作制度，</w:t>
      </w:r>
      <w:r>
        <w:rPr>
          <w:rFonts w:hint="default"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default" w:ascii="仿宋_GB2312" w:eastAsia="仿宋_GB2312"/>
          <w:sz w:val="32"/>
          <w:szCs w:val="32"/>
        </w:rPr>
        <w:t>事务分开、账户分设、资产分管、核算分立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default" w:ascii="仿宋_GB2312" w:eastAsia="仿宋_GB2312"/>
          <w:sz w:val="32"/>
          <w:szCs w:val="32"/>
        </w:rPr>
        <w:t>要求，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推动实现镇、村、组三级农村集体经济组织</w:t>
      </w:r>
      <w:r>
        <w:rPr>
          <w:rFonts w:hint="default" w:ascii="仿宋_GB2312" w:eastAsia="仿宋_GB2312"/>
          <w:sz w:val="32"/>
          <w:szCs w:val="32"/>
        </w:rPr>
        <w:t>分账管理完善提升。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严格按会计制度进行会计核算和财务收支管理，各自单独</w:t>
      </w:r>
      <w:r>
        <w:rPr>
          <w:rFonts w:hint="default" w:ascii="仿宋_GB2312" w:eastAsia="仿宋_GB2312"/>
          <w:sz w:val="32"/>
          <w:szCs w:val="32"/>
        </w:rPr>
        <w:t>开设银行账户</w:t>
      </w:r>
      <w:r>
        <w:rPr>
          <w:rFonts w:hint="default" w:ascii="仿宋_GB2312" w:eastAsia="仿宋_GB2312"/>
          <w:sz w:val="32"/>
          <w:szCs w:val="32"/>
          <w:lang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各有一本明白账。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鼓励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镇、村级经营管理收入主用于公益福利和发展资本积累，组级经营管理收入主用于效益分配。分类收支、规范统计，设立行政性收支和经营管理性收支，实现行政账和经济账的独立核算，实现行政账和经济账报表体系完整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独立性。</w:t>
      </w:r>
    </w:p>
    <w:p w14:paraId="5970C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加强账户监管。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落实《农业部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财政部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民政部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审计署关于进一步加强和规范村级财务管理工作的意见》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《广东省农村集体经济组织财务制度实施细则》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有关要求，农村集体经济组织只可开设一个基本存款账户，用于办理日常转账结算和资金收付，除土地补偿费专门账户外，一般不准开设其他专用或临时账户。各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县（市、区）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指导督促镇街、农村集体经济组织加强农村集体经济组织银行账户管理，确保全部纳入农村财务监管范围，严禁出租出借银行账户、坐收坐支、公款私存、以据抵现、虚报冒领等行为。</w:t>
      </w:r>
    </w:p>
    <w:p w14:paraId="7F908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.规范支付审批。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农村集体经济组织财务开支应按要求落实内部审批制度，明确审批人员、审批权限、审批程序及相关责任人等事项，并严格实施。拨付资金必须严格按规定程序进行，且内容真实完整，具备合法的原始凭证和完备的审批手续，禁止白条入账、无票据入账、抵顶发票入账。专项资金支出按专项资金管理规定进行审批，严禁挪用。支持有条件的地方探索银农直联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三资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监管平台与银行业务系统直接联通，实现集体资金支付、审核、入账等数据实时共享。</w:t>
      </w:r>
    </w:p>
    <w:p w14:paraId="7A471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（四）全面加强集体“三资”信息化管理</w:t>
      </w:r>
    </w:p>
    <w:p w14:paraId="46BFB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sz w:val="32"/>
          <w:szCs w:val="32"/>
        </w:rPr>
        <w:t>不断完善平台功能。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加快推进广东省农村集体资产监督管理平台汕尾分平台项目建设，</w:t>
      </w:r>
      <w:r>
        <w:rPr>
          <w:rFonts w:hint="eastAsia" w:ascii="仿宋_GB2312" w:eastAsia="仿宋_GB2312"/>
          <w:sz w:val="32"/>
          <w:szCs w:val="32"/>
        </w:rPr>
        <w:t>不断完善管理平台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监管、交易、服务</w:t>
      </w:r>
      <w:r>
        <w:rPr>
          <w:rFonts w:hint="eastAsia" w:ascii="仿宋_GB2312" w:eastAsia="仿宋_GB2312"/>
          <w:sz w:val="32"/>
          <w:szCs w:val="32"/>
        </w:rPr>
        <w:t>等功能，逐步建设成为具备清产核资彻底、资金监管留痕、实时线上交易、功能涵盖全面、自动分析预警等特点的综合性管理系统。</w:t>
      </w:r>
    </w:p>
    <w:p w14:paraId="5FC6B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2.加快“一张图”建设应用。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一步做好集体“三资”位置、面积、交易状况等基础数据的核实比对和汇总工作，对已上图的资产图斑数据进行账证比对、账实比对、账表比对，确保数据真实性、完整性、可比性；对“点图”数据进一步排查梳理，及时按照上图绘制要求重新描边，做到应核尽核、应录尽录。同时，充分利用集体资产“一张图”检验清产核资工作质量，彻底清查核实农村集体资产资源，切实发挥信息化管理平台的监管作用。</w:t>
      </w:r>
    </w:p>
    <w:p w14:paraId="4994C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3.推行产权线上交易。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全面禁止旧农村集体“三资”平台交易模式，</w:t>
      </w:r>
      <w:r>
        <w:rPr>
          <w:rFonts w:hint="eastAsia" w:ascii="仿宋_GB2312" w:eastAsia="仿宋_GB2312"/>
          <w:sz w:val="32"/>
          <w:szCs w:val="32"/>
        </w:rPr>
        <w:t>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行省农村产权流转交易管理服务平台交易模式，确保</w:t>
      </w:r>
      <w:r>
        <w:rPr>
          <w:rFonts w:hint="eastAsia" w:ascii="仿宋_GB2312" w:eastAsia="仿宋_GB2312"/>
          <w:sz w:val="32"/>
          <w:szCs w:val="32"/>
        </w:rPr>
        <w:t>从交易信息公布、报名竞标、竞价到成交的“网上跑”，实现足不出户参与所有项目的竞投，让集体资产交易在“阳光”下运行，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规范农村产权交易行为</w:t>
      </w:r>
      <w:r>
        <w:rPr>
          <w:rFonts w:hint="eastAsia" w:ascii="仿宋_GB2312" w:eastAsia="仿宋_GB2312"/>
          <w:sz w:val="32"/>
          <w:szCs w:val="32"/>
        </w:rPr>
        <w:t>，推动农村集体资产资源保值增值。</w:t>
      </w:r>
    </w:p>
    <w:p w14:paraId="55645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三、工作要求</w:t>
      </w:r>
    </w:p>
    <w:p w14:paraId="57B1D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（一）加强统筹协调。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县（市、区）农业农村部门要发挥牵头抓总作用，加强与司法行政、财政、自然资源、审计、政务服务和数据管理、林业等部门沟通协调，发挥各级政府联村干部、镇村“一把手”和驻镇帮镇扶村队伍作用，进一步完善工作衔接机制，建立健全信息通报、数据共享、定期会商机制，及时研究解决农村集体“三资”监管过程中存在的问题，</w:t>
      </w:r>
      <w:r>
        <w:rPr>
          <w:rFonts w:hint="eastAsia" w:ascii="仿宋_GB2312" w:eastAsia="仿宋_GB2312"/>
          <w:sz w:val="32"/>
          <w:szCs w:val="32"/>
        </w:rPr>
        <w:t>形成合力推进农村集体“三资”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规范化管理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63D0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（二）加强队伍建设。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各县（市、区）、镇街</w:t>
      </w:r>
      <w:r>
        <w:rPr>
          <w:rFonts w:hint="eastAsia" w:ascii="仿宋_GB2312" w:eastAsia="仿宋_GB2312"/>
          <w:sz w:val="32"/>
          <w:szCs w:val="32"/>
        </w:rPr>
        <w:t>应采取措施，建立健全农村集体“三资”监督管理服务体系，加强基层队伍建设，配备与农村集体“三资”管理工作相适应的专业人员</w:t>
      </w:r>
      <w:r>
        <w:rPr>
          <w:rFonts w:hint="eastAsia" w:ascii="仿宋_GB2312" w:eastAsia="仿宋_GB2312"/>
          <w:sz w:val="32"/>
          <w:szCs w:val="32"/>
          <w:lang w:eastAsia="zh-CN"/>
        </w:rPr>
        <w:t>，明确岗位职责，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落实工作保障</w:t>
      </w:r>
      <w:r>
        <w:rPr>
          <w:rFonts w:hint="eastAsia" w:ascii="仿宋_GB2312" w:eastAsia="仿宋_GB2312"/>
          <w:sz w:val="32"/>
          <w:szCs w:val="32"/>
          <w:lang w:eastAsia="zh-CN"/>
        </w:rPr>
        <w:t>，加强集体“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三资</w:t>
      </w:r>
      <w:r>
        <w:rPr>
          <w:rFonts w:hint="eastAsia" w:ascii="仿宋_GB2312" w:eastAsia="仿宋_GB2312"/>
          <w:sz w:val="32"/>
          <w:szCs w:val="32"/>
          <w:lang w:eastAsia="zh-CN"/>
        </w:rPr>
        <w:t>”监管工作力量</w:t>
      </w:r>
      <w:r>
        <w:rPr>
          <w:rFonts w:hint="eastAsia" w:ascii="仿宋_GB2312" w:eastAsia="仿宋_GB2312"/>
          <w:sz w:val="32"/>
          <w:szCs w:val="32"/>
        </w:rPr>
        <w:t>。要加强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对基层农村集体“三资”监管人员的业务培训指导</w:t>
      </w:r>
      <w:r>
        <w:rPr>
          <w:rFonts w:hint="eastAsia" w:ascii="仿宋_GB2312" w:eastAsia="仿宋_GB2312"/>
          <w:sz w:val="32"/>
          <w:szCs w:val="32"/>
        </w:rPr>
        <w:t>，提升业务水平和能力，打造高水平的集体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三资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监管队伍。</w:t>
      </w:r>
    </w:p>
    <w:p w14:paraId="136C9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（三）加强监督检查。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地要强化农村集体“三资”管理的监督，重点加强对经济体量大、建设项目多、债务规模大、群众反映问题突出的农村集体经济组织的监督检查，加强对集体资产经营项目的民主议事程序执行情况、资产台账建立情况、财务公开情况、收益分配情况等的监督检查。发现党员干部涉嫌违纪违法问题的，及时按干部管理权限移交对应纪检监察机关。构成犯罪的，依法移送司法机关追究刑事责任。</w:t>
      </w:r>
    </w:p>
    <w:sectPr>
      <w:footerReference r:id="rId3" w:type="default"/>
      <w:pgSz w:w="11906" w:h="16838"/>
      <w:pgMar w:top="1440" w:right="1587" w:bottom="136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58F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EFA4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EFA4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F7C6E"/>
    <w:rsid w:val="0E5162F7"/>
    <w:rsid w:val="0FDC00DA"/>
    <w:rsid w:val="117748B7"/>
    <w:rsid w:val="14061086"/>
    <w:rsid w:val="17271065"/>
    <w:rsid w:val="1AB9456C"/>
    <w:rsid w:val="1B8D3E76"/>
    <w:rsid w:val="210D4180"/>
    <w:rsid w:val="39955296"/>
    <w:rsid w:val="3CEE637D"/>
    <w:rsid w:val="3F064664"/>
    <w:rsid w:val="4643193F"/>
    <w:rsid w:val="49020488"/>
    <w:rsid w:val="4C3F7C6E"/>
    <w:rsid w:val="503404A9"/>
    <w:rsid w:val="511D3663"/>
    <w:rsid w:val="52B63B6E"/>
    <w:rsid w:val="5B6836FC"/>
    <w:rsid w:val="63EA6389"/>
    <w:rsid w:val="6DF67F36"/>
    <w:rsid w:val="71A04B11"/>
    <w:rsid w:val="7A4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3342</Words>
  <Characters>3364</Characters>
  <Lines>0</Lines>
  <Paragraphs>0</Paragraphs>
  <TotalTime>13</TotalTime>
  <ScaleCrop>false</ScaleCrop>
  <LinksUpToDate>false</LinksUpToDate>
  <CharactersWithSpaces>3367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2025-08-16T02:53:00Z</dcterms:created>
  <dc:creator>风的追溯</dc:creator>
  <cp:lastModifiedBy>昭</cp:lastModifiedBy>
  <dcterms:modified xsi:type="dcterms:W3CDTF">2025-10-15T02:46:05Z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34287B99FA324C2B932D274DF3A6E5A2_13</vt:lpwstr>
  </property>
  <property fmtid="{D5CDD505-2E9C-101B-9397-08002B2CF9AE}" pid="4" name="KSOTemplateDocerSaveRecord">
    <vt:lpwstr>eyJoZGlkIjoiN2VkYmQ3ZmJiZTcxYWE2YWFhMGJjMGQ5NWQ0Y2YxYjAiLCJ1c2VySWQiOiIxNDk3MTE5NDQ5In0=</vt:lpwstr>
  </property>
</Properties>
</file>