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DF3D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2944BE4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租赁安全协议书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p w14:paraId="1DFB1B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AF24A8F"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汕尾市人才安居有限公司       </w:t>
      </w:r>
    </w:p>
    <w:p w14:paraId="35F1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91441500MA54M8NP2Q</w:t>
      </w:r>
    </w:p>
    <w:p w14:paraId="39FC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16EB94B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84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</w:p>
    <w:p w14:paraId="4018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711E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74663C43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8ECA5DE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845545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为了加强安全管理，切实履行安全生产，明确安全生产责任，甲乙双方根据平等、自愿的原则，在甲乙双方于</w:t>
      </w:r>
    </w:p>
    <w:p w14:paraId="3A266BD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租赁合同》以下简称“原协议“))的基础上，经甲乙双方友好协商，特别签订了本安全协议书。</w:t>
      </w:r>
    </w:p>
    <w:p w14:paraId="76C624F1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一、甲方的责任</w:t>
      </w:r>
    </w:p>
    <w:p w14:paraId="116697F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1.甲方将租赁物按现状的消防、环保（卫生）、安全生产设施及条件交付给乙方使用。</w:t>
      </w:r>
    </w:p>
    <w:p w14:paraId="0E500DD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3F0A7D2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的建筑结构和设备设施符合建筑、消防、治安、卫生等方面的安全条件，不得危及人身安全；因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建筑结构或设施设备等原因造成人员人身或财产损失的，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应承担全部赔偿责任。</w:t>
      </w:r>
    </w:p>
    <w:p w14:paraId="48770BF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二、乙方的责任</w:t>
      </w:r>
    </w:p>
    <w:p w14:paraId="51BE0A3B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1.乙方保证遵守国家的法律法规规定以及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所在小区的物业管理规约。</w:t>
      </w:r>
    </w:p>
    <w:p w14:paraId="5B8922F9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2.乙方在入住前应对环境和相关设施进行检查，并对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内设施完好情况、使用方法及防火安全等确已知晓进行确认；如有问题及时与甲方联系。如日常检查不到位，出现问题及造成后果由乙方负责修复及赔偿。</w:t>
      </w:r>
    </w:p>
    <w:p w14:paraId="49E345CA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3.租赁期内，乙方应保障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及其附属物品、消防设施设备处于适用和安全的状态，租赁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内水、电、灯具、电器等的更换费用由乙方负责。</w:t>
      </w:r>
    </w:p>
    <w:p w14:paraId="2B4BCCD2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及其附属物品、设备设施发生损坏或故障的，乙方应负责维修或承担赔偿责任。</w:t>
      </w:r>
    </w:p>
    <w:p w14:paraId="044C870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在租赁期内，乙方如须对租赁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进行装修、改建，须向甲方提交设计方案，并经甲方书面同意；乙方装修、改建等费用由乙方负责。</w:t>
      </w:r>
    </w:p>
    <w:p w14:paraId="71266AD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6.乙方可根据其经营生产范围按国家相关法律法规要求完善消防、环保等设备设施，并按验收合格标准投入使用。</w:t>
      </w:r>
    </w:p>
    <w:p w14:paraId="0FAB1C7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乙方应按国家有关规定配置必要的消防器材和防盗设施，做好防火、防盗、用电、用气的安全工作。严禁违反规定私自接、拉电线和随意加大用电负荷或改变保险装置。</w:t>
      </w:r>
    </w:p>
    <w:p w14:paraId="7B6DB37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积极配合政府职能部门的检查，对政府提出的整改要求要积极落实整改，属于乙方增加的设施设备整改费用由乙方负责。如乙方不配合检查、落实整改不到位或不落实整改造成甲方被处罚，责任由乙方承担并赔偿甲方对应的罚金。</w:t>
      </w:r>
    </w:p>
    <w:p w14:paraId="384B23C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乙方在使用租赁物时必须遵守国家、省、市法律、法规的有关规定，必须遵守部门、行业的有关规定。如有违反，造成的一切损失由乙方负责。</w:t>
      </w:r>
    </w:p>
    <w:p w14:paraId="59F3402A">
      <w:pPr>
        <w:snapToGrid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乙方是承租场地安全生产的责任主体，负责承租场地的消防安全、生产安全、管理安全、依法经营等责任，非甲方过错在承租场地内发生的事故由乙方负责。乙方对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现场人员及</w:t>
      </w:r>
      <w:r>
        <w:rPr>
          <w:rFonts w:hint="eastAsia" w:ascii="仿宋_GB2312" w:hAnsi="仿宋_GB2312" w:eastAsia="仿宋_GB2312" w:cs="仿宋_GB2312"/>
          <w:sz w:val="32"/>
          <w:szCs w:val="32"/>
        </w:rPr>
        <w:t>来访人员，要宣传好各项安全事项，并自行管理到位。如若发生意外，由乙方承担全部责任。</w:t>
      </w:r>
    </w:p>
    <w:p w14:paraId="08978FC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在租赁期间，乙方不得利用该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，终止本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租赁合同，乙方支付的全部租金及押金不予退还。若不足以赔偿甲方损失，乙方需另行向甲方支付赔偿金，由此产生的法律责任由乙方负责，与甲方无关。</w:t>
      </w:r>
    </w:p>
    <w:p w14:paraId="38994B8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乙方应保持使用公寓及周围环境的整洁，不得产生噪音，严禁在租用公寓内使用和存在不符合安全标准的易燃、易爆、剧毒、放射性等危险物品，对于发生事故的，所产生（包括甲方）的损失，一律由乙方承担。</w:t>
      </w:r>
    </w:p>
    <w:p w14:paraId="36EC9EB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如乙方擅自乱接、改动水电设施，所发生的一切事故由乙方承担，甲方不承担任何责任。</w:t>
      </w:r>
    </w:p>
    <w:p w14:paraId="29286B6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如乙方私自乱拉乱接水电设施，发生的事故，给国家财产、出租房财产造成损失，他人人身、财产损失，均由乙方承担，甲方不承担任何责任。</w:t>
      </w:r>
    </w:p>
    <w:p w14:paraId="4676833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ascii="仿宋_GB2312" w:hAnsi="仿宋_GB2312" w:eastAsia="仿宋_GB2312" w:cs="仿宋_GB2312"/>
          <w:sz w:val="32"/>
          <w:szCs w:val="32"/>
        </w:rPr>
        <w:t>乙方不得擅自占用、移装共用设施、设备。乙方如需对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</w:t>
      </w:r>
      <w:r>
        <w:rPr>
          <w:rFonts w:ascii="仿宋_GB2312" w:hAnsi="仿宋_GB2312" w:eastAsia="仿宋_GB2312" w:cs="仿宋_GB2312"/>
          <w:sz w:val="32"/>
          <w:szCs w:val="32"/>
        </w:rPr>
        <w:t>内的配电、供水等设备设施进行改造或变更的，必须征得甲方书面同意。</w:t>
      </w:r>
    </w:p>
    <w:p w14:paraId="48BADF9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（场地）内严禁使用电炉、热得快、没有自动断电保护装置的电水壶、电水杯、伪劣接线板电器等。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（场地）无人时必须拔掉电源插头，关掉电源开关，保证用电安全。</w:t>
      </w:r>
    </w:p>
    <w:p w14:paraId="497D9AD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（场地）在租赁期间，如乙方发现不安全因素，应及时告知水电等相关部门，进行维修，费用由乙方承担；如不告知或不维修，发生后果由乙方承担。</w:t>
      </w:r>
    </w:p>
    <w:p w14:paraId="22B145BE">
      <w:pPr>
        <w:widowControl w:val="0"/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乙方有做好防火、防盗安全和租赁物管理的责任，在使用期间，要定期对水、电、等设施进行检查，未尽到基本的管理、注意义务，没有对租赁物妥善保管，发现存在安全隐患时，未及时进行维修、处理。而造成漏水、漏电及火灾、盗窃等造成租赁物损毁、丢失或对乙方造成的损失，均由乙方承担；并向甲方承担损害赔偿责任。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546206C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乙方因违反用电、消防管理等有关要求，未履行对租赁物日常检查的义务和管理的责任，造成财产损失、安全事故或火灾事故由乙方自行处理和解决，一切后果和经济损失由乙方负责承担和赔偿。</w:t>
      </w:r>
    </w:p>
    <w:p w14:paraId="3516123C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20.乙方人员不得擅自使用或拆卸甲方租赁场所原设施设备。由于没有执行该规定，人员受伤(包括甲乙双方人员和第三方人员)，所有结果和经济损失由乙方负责。</w:t>
      </w:r>
    </w:p>
    <w:p w14:paraId="1D618D39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</w:t>
      </w:r>
    </w:p>
    <w:p w14:paraId="18B83C7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.本责任书一式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份，双方各执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份，自双方盖章且法定代表人或授权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签字之日起生效。</w:t>
      </w:r>
    </w:p>
    <w:p w14:paraId="3A8FEFC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.在本协议履行过程中发生争议的，甲乙双方应协商解决，协商不成的任何一方有权向甲方所在地人民法院起诉。</w:t>
      </w:r>
    </w:p>
    <w:p w14:paraId="6F6CC72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如发生不可抗力的原因导致双方损失的，双方互不承担责任。</w:t>
      </w:r>
    </w:p>
    <w:tbl>
      <w:tblPr>
        <w:tblStyle w:val="3"/>
        <w:tblpPr w:leftFromText="180" w:rightFromText="180" w:vertAnchor="text" w:horzAnchor="page" w:tblpX="1318" w:tblpY="36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91"/>
        <w:gridCol w:w="2064"/>
        <w:gridCol w:w="2788"/>
      </w:tblGrid>
      <w:tr w14:paraId="6B5D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7EBF03A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甲方（盖章）：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010D8E3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4D23FDC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14B4AC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22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0B2DF51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法定代表人或授权代表签字：   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41A19BA7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79F8E33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523736C5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72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05E86DC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签订日期：    年    月    日 签订日期：    年    月    日                        </w:t>
            </w:r>
          </w:p>
          <w:p w14:paraId="5CC67F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签订地点：汕尾市城区</w:t>
            </w:r>
          </w:p>
        </w:tc>
      </w:tr>
    </w:tbl>
    <w:p w14:paraId="25A05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652B"/>
    <w:rsid w:val="34D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2025-07-01T01:11:00Z</dcterms:created>
  <dc:creator> DJ.Peng</dc:creator>
  <cp:lastModifiedBy> DJ.Peng</cp:lastModifiedBy>
  <dcterms:modified xsi:type="dcterms:W3CDTF">2025-07-01T01:12:05Z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7CF4C7B4AB084519915FC3577197C457_11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