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/>
          <w:color w:val="000000"/>
          <w:sz w:val="44"/>
          <w:szCs w:val="44"/>
        </w:rPr>
        <w:t>“粤商通”渠道宣传物料下载使用指引</w:t>
      </w:r>
    </w:p>
    <w:p>
      <w:pPr>
        <w:snapToGrid w:val="0"/>
        <w:spacing w:before="0" w:after="0" w:line="520" w:lineRule="atLeast"/>
        <w:ind w:firstLineChars="200"/>
        <w:jc w:val="both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before="0" w:after="0" w:line="520" w:lineRule="atLeast"/>
        <w:ind w:left="640" w:leftChars="0"/>
        <w:jc w:val="both"/>
        <w:rPr>
          <w:rFonts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ascii="黑体" w:hAnsi="黑体" w:eastAsia="黑体"/>
          <w:b w:val="0"/>
          <w:bCs w:val="0"/>
          <w:color w:val="000000"/>
          <w:sz w:val="32"/>
          <w:szCs w:val="32"/>
        </w:rPr>
        <w:t>宣传物料下载流程</w:t>
      </w:r>
    </w:p>
    <w:p>
      <w:pPr>
        <w:snapToGrid w:val="0"/>
        <w:spacing w:before="0" w:after="0" w:line="520" w:lineRule="atLeast"/>
        <w:ind w:left="638" w:leftChars="304" w:firstLine="0" w:firstLineChars="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1、宣传物料下载网址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http://yst.gdzwfw.gov.cn/web/generatenewqrcode/</w:t>
      </w:r>
      <w:r>
        <w:fldChar w:fldCharType="begin"/>
      </w:r>
      <w:r>
        <w:instrText xml:space="preserve"> HYPERLINK "http://yst.gdzwfw.gov.cn/web/generatenewqrcode/" \h </w:instrText>
      </w:r>
      <w:r>
        <w:fldChar w:fldCharType="separate"/>
      </w:r>
      <w:r>
        <w:rPr>
          <w:rFonts w:ascii="仿宋_GB2312" w:hAnsi="仿宋_GB2312" w:eastAsia="仿宋_GB2312"/>
          <w:color w:val="800080"/>
          <w:sz w:val="32"/>
          <w:szCs w:val="32"/>
          <w:u w:val="single"/>
        </w:rPr>
        <w:fldChar w:fldCharType="end"/>
      </w:r>
      <w:r>
        <w:fldChar w:fldCharType="begin"/>
      </w:r>
      <w:r>
        <w:instrText xml:space="preserve"> HYPERLINK "http://yst.gdzwfw.gov.cn/web/generatenewqrcode/" \h </w:instrText>
      </w:r>
      <w:r>
        <w:fldChar w:fldCharType="separate"/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fldChar w:fldCharType="end"/>
      </w:r>
    </w:p>
    <w:p>
      <w:pPr>
        <w:snapToGrid w:val="0"/>
        <w:spacing w:before="0" w:after="0" w:line="520" w:lineRule="atLeast"/>
        <w:ind w:firstLineChars="200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2、选择推广渠道名称，填写完整的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场所</w:t>
      </w:r>
      <w:r>
        <w:rPr>
          <w:rFonts w:ascii="仿宋_GB2312" w:hAnsi="仿宋_GB2312" w:eastAsia="仿宋_GB2312"/>
          <w:color w:val="000000"/>
          <w:sz w:val="32"/>
          <w:szCs w:val="32"/>
        </w:rPr>
        <w:t>名称。</w:t>
      </w:r>
    </w:p>
    <w:p>
      <w:pPr>
        <w:snapToGrid w:val="0"/>
        <w:spacing w:before="0" w:after="0" w:line="520" w:lineRule="atLeast"/>
        <w:ind w:left="567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257800" cy="1504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0" w:after="0" w:line="520" w:lineRule="atLeast"/>
        <w:ind w:firstLineChars="200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汕尾</w:t>
      </w:r>
      <w:r>
        <w:rPr>
          <w:rFonts w:ascii="仿宋_GB2312" w:hAnsi="仿宋_GB2312" w:eastAsia="仿宋_GB2312"/>
          <w:color w:val="000000"/>
          <w:sz w:val="32"/>
          <w:szCs w:val="32"/>
        </w:rPr>
        <w:t>市政务服务大厅，即填写为“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汕尾</w:t>
      </w:r>
      <w:r>
        <w:rPr>
          <w:rFonts w:ascii="仿宋_GB2312" w:hAnsi="仿宋_GB2312" w:eastAsia="仿宋_GB2312"/>
          <w:color w:val="000000"/>
          <w:sz w:val="32"/>
          <w:szCs w:val="32"/>
        </w:rPr>
        <w:t>市政务服务大厅”；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城区市场监督管理局</w:t>
      </w:r>
      <w:r>
        <w:rPr>
          <w:rFonts w:ascii="仿宋_GB2312" w:hAnsi="仿宋_GB2312" w:eastAsia="仿宋_GB2312"/>
          <w:color w:val="000000"/>
          <w:sz w:val="32"/>
          <w:szCs w:val="32"/>
        </w:rPr>
        <w:t>，即填写为“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城</w:t>
      </w:r>
      <w:r>
        <w:rPr>
          <w:rFonts w:ascii="仿宋_GB2312" w:hAnsi="仿宋_GB2312" w:eastAsia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市场监督管理局</w:t>
      </w:r>
      <w:r>
        <w:rPr>
          <w:rFonts w:ascii="仿宋_GB2312" w:hAnsi="仿宋_GB2312" w:eastAsia="仿宋_GB2312"/>
          <w:color w:val="000000"/>
          <w:sz w:val="32"/>
          <w:szCs w:val="32"/>
        </w:rPr>
        <w:t>”。</w:t>
      </w:r>
    </w:p>
    <w:p>
      <w:pPr>
        <w:snapToGrid w:val="0"/>
        <w:spacing w:before="0" w:after="0" w:line="520" w:lineRule="atLeast"/>
        <w:ind w:firstLineChars="200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注意：在选择城市后，在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场所</w:t>
      </w:r>
      <w:r>
        <w:rPr>
          <w:rFonts w:ascii="仿宋_GB2312" w:hAnsi="仿宋_GB2312" w:eastAsia="仿宋_GB2312"/>
          <w:color w:val="000000"/>
          <w:sz w:val="32"/>
          <w:szCs w:val="32"/>
        </w:rPr>
        <w:t>名称处无需重复填写城市名称，直接填写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城区</w:t>
      </w:r>
      <w:r>
        <w:rPr>
          <w:rFonts w:ascii="仿宋_GB2312" w:hAnsi="仿宋_GB2312" w:eastAsia="仿宋_GB2312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海丰</w:t>
      </w:r>
      <w:r>
        <w:rPr>
          <w:rFonts w:ascii="仿宋_GB2312" w:hAnsi="仿宋_GB2312" w:eastAsia="仿宋_GB2312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等</w:t>
      </w:r>
      <w:r>
        <w:rPr>
          <w:rFonts w:ascii="仿宋_GB2312" w:hAnsi="仿宋_GB2312" w:eastAsia="仿宋_GB2312"/>
          <w:color w:val="000000"/>
          <w:sz w:val="32"/>
          <w:szCs w:val="32"/>
        </w:rPr>
        <w:t>机构名称即可。</w:t>
      </w:r>
    </w:p>
    <w:p>
      <w:pPr>
        <w:snapToGrid w:val="0"/>
        <w:spacing w:before="0" w:after="0" w:line="520" w:lineRule="atLeast"/>
        <w:ind w:firstLineChars="200"/>
        <w:jc w:val="both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/>
          <w:color w:val="000000"/>
          <w:sz w:val="32"/>
          <w:szCs w:val="32"/>
        </w:rPr>
        <w:t>、填写图形验证码之后点击“生成二维码”按钮，即可在右边看到生成的渠道专属二维码，点击“下载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物料图</w:t>
      </w:r>
      <w:r>
        <w:rPr>
          <w:rFonts w:ascii="仿宋_GB2312" w:hAnsi="仿宋_GB2312" w:eastAsia="仿宋_GB2312"/>
          <w:color w:val="000000"/>
          <w:sz w:val="32"/>
          <w:szCs w:val="32"/>
        </w:rPr>
        <w:t>”按钮可下载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物料图</w:t>
      </w:r>
      <w:r>
        <w:rPr>
          <w:rFonts w:ascii="仿宋_GB2312" w:hAns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（注：只有下载物料图，才可统计各场所通过专属物料图下载“粤商通”App次数）</w:t>
      </w:r>
    </w:p>
    <w:p>
      <w:pPr>
        <w:snapToGrid w:val="0"/>
        <w:spacing w:before="0" w:after="0" w:line="520" w:lineRule="atLeast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drawing>
          <wp:inline distT="0" distB="0" distL="114300" distR="114300">
            <wp:extent cx="4926330" cy="2242185"/>
            <wp:effectExtent l="0" t="0" r="7620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0" w:after="0" w:line="520" w:lineRule="atLeast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点击“下载物料图”按钮即可下载物料图，该物料图可印制</w:t>
      </w:r>
      <w:r>
        <w:rPr>
          <w:rFonts w:ascii="等线" w:hAnsi="等线" w:eastAsia="等线"/>
          <w:color w:val="000000"/>
          <w:sz w:val="32"/>
          <w:szCs w:val="32"/>
        </w:rPr>
        <w:t>B5尺寸大小的</w:t>
      </w:r>
      <w:r>
        <w:rPr>
          <w:rFonts w:ascii="仿宋_GB2312" w:hAnsi="仿宋_GB2312" w:eastAsia="仿宋_GB2312"/>
          <w:color w:val="000000"/>
          <w:sz w:val="32"/>
          <w:szCs w:val="32"/>
        </w:rPr>
        <w:t>桌面广告牌，图中二维码已更换为对应渠道的二维码。</w:t>
      </w:r>
    </w:p>
    <w:p>
      <w:pPr>
        <w:snapToGrid w:val="0"/>
        <w:spacing w:before="0" w:after="0" w:line="520" w:lineRule="atLeast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1752600" cy="24860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0" w:after="0" w:line="520" w:lineRule="atLeast"/>
        <w:ind w:firstLine="640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4</w:t>
      </w:r>
      <w:r>
        <w:rPr>
          <w:rFonts w:ascii="仿宋_GB2312" w:hAnsi="仿宋_GB2312" w:eastAsia="仿宋_GB2312"/>
          <w:color w:val="000000"/>
          <w:sz w:val="32"/>
          <w:szCs w:val="32"/>
        </w:rPr>
        <w:t>、如果已经生成过渠道二维码，请从“已生成的二维码”列表下载，请勿重复生成。二维码列表亦可下载带渠道二维码的桌面广告牌物料图，无需重复生成。</w:t>
      </w:r>
    </w:p>
    <w:p>
      <w:pPr>
        <w:snapToGrid w:val="0"/>
        <w:spacing w:before="0" w:after="0" w:line="520" w:lineRule="atLeast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248275" cy="2000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0" w:after="0" w:line="520" w:lineRule="atLeast"/>
        <w:jc w:val="both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before="0" w:after="0" w:line="520" w:lineRule="atLeast"/>
        <w:ind w:left="640" w:leftChars="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二、</w:t>
      </w:r>
      <w:r>
        <w:rPr>
          <w:rFonts w:ascii="黑体" w:hAnsi="黑体" w:eastAsia="黑体"/>
          <w:color w:val="000000"/>
          <w:sz w:val="32"/>
          <w:szCs w:val="32"/>
        </w:rPr>
        <w:t>二维码使用规范</w:t>
      </w:r>
    </w:p>
    <w:p>
      <w:pPr>
        <w:snapToGrid w:val="0"/>
        <w:spacing w:before="0" w:after="0" w:line="520" w:lineRule="atLeast"/>
        <w:ind w:firstLine="640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1、各地市各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单位</w:t>
      </w:r>
      <w:r>
        <w:rPr>
          <w:rFonts w:ascii="仿宋_GB2312" w:hAnsi="仿宋_GB2312" w:eastAsia="仿宋_GB2312"/>
          <w:color w:val="000000"/>
          <w:sz w:val="32"/>
          <w:szCs w:val="32"/>
        </w:rPr>
        <w:t>在下载渠道宣传物料文件后，请将二维码通过Adobe Illustrator软件或Photoshop软件替换在易拉宝、折页手册等物料的源文件空白处，再进行物料制作。</w:t>
      </w:r>
    </w:p>
    <w:p>
      <w:pPr>
        <w:snapToGrid w:val="0"/>
        <w:spacing w:before="0" w:after="0" w:line="520" w:lineRule="atLeast"/>
        <w:ind w:firstLine="640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2、此二维码的像素为1080x1080，适用于一般易拉宝、折页、海报等物料。</w:t>
      </w:r>
    </w:p>
    <w:p>
      <w:pPr>
        <w:snapToGrid w:val="0"/>
        <w:spacing w:before="0" w:after="0" w:line="520" w:lineRule="atLeast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三、桌面广告牌使用规范</w:t>
      </w:r>
    </w:p>
    <w:p>
      <w:pPr>
        <w:snapToGrid w:val="0"/>
        <w:spacing w:before="0" w:after="0" w:line="520" w:lineRule="atLeast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 xml:space="preserve">    1、网站下载的物料图的像素为2079*2953，可用于制作</w:t>
      </w:r>
      <w:r>
        <w:rPr>
          <w:rFonts w:ascii="等线" w:hAnsi="等线" w:eastAsia="等线"/>
          <w:color w:val="000000"/>
          <w:sz w:val="32"/>
          <w:szCs w:val="32"/>
        </w:rPr>
        <w:t>B5尺寸大小的</w:t>
      </w:r>
      <w:r>
        <w:rPr>
          <w:rFonts w:ascii="仿宋_GB2312" w:hAnsi="仿宋_GB2312" w:eastAsia="仿宋_GB2312"/>
          <w:color w:val="000000"/>
          <w:sz w:val="32"/>
          <w:szCs w:val="32"/>
        </w:rPr>
        <w:t>桌面广告牌，放置在办事窗口；</w:t>
      </w:r>
    </w:p>
    <w:p>
      <w:pPr>
        <w:snapToGrid w:val="0"/>
        <w:spacing w:before="0" w:after="0" w:line="520" w:lineRule="atLeast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 xml:space="preserve">    2、在办事人员办事时，工作人员可向其推荐下载使用粤商通。引导话术：您好，推荐您下载使用粤商通APP。它是省政府搭建的移动端企业综合服务平台，支持办理市场监管、税务、补贴申请和融资贷款等近700项业务、还可查看最新惠企政策、反馈经营诉求、申请政策性融资贷款、以及在线开展人才招聘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41002F1"/>
    <w:rsid w:val="083D07F0"/>
    <w:rsid w:val="105E3B74"/>
    <w:rsid w:val="1C2C4424"/>
    <w:rsid w:val="1CD54CE6"/>
    <w:rsid w:val="1DEC38DC"/>
    <w:rsid w:val="30456175"/>
    <w:rsid w:val="36772279"/>
    <w:rsid w:val="423317B0"/>
    <w:rsid w:val="434067C1"/>
    <w:rsid w:val="4F2E7859"/>
    <w:rsid w:val="568D20C3"/>
    <w:rsid w:val="5ED8277A"/>
    <w:rsid w:val="68BC40A6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12</TotalTime>
  <ScaleCrop>false</ScaleCrop>
  <LinksUpToDate>false</LinksUpToDate>
  <CharactersWithSpaces>123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黄燕容</cp:lastModifiedBy>
  <dcterms:modified xsi:type="dcterms:W3CDTF">2020-09-16T09:49:38Z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