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rPr>
          <w:rFonts w:hint="eastAsia" w:ascii="黑体" w:hAnsi="黑体" w:eastAsia="黑体" w:cs="黑体"/>
          <w:color w:val="auto"/>
          <w:kern w:val="0"/>
          <w:sz w:val="44"/>
          <w:szCs w:val="44"/>
        </w:rPr>
      </w:pPr>
    </w:p>
    <w:p>
      <w:pPr>
        <w:widowControl/>
        <w:shd w:val="clear" w:color="auto" w:fill="FFFFFF"/>
        <w:spacing w:line="700" w:lineRule="exact"/>
        <w:jc w:val="center"/>
        <w:rPr>
          <w:rFonts w:hint="eastAsia" w:ascii="黑体" w:hAnsi="黑体" w:eastAsia="黑体" w:cs="黑体"/>
          <w:color w:val="auto"/>
          <w:kern w:val="0"/>
          <w:sz w:val="44"/>
          <w:szCs w:val="44"/>
        </w:rPr>
      </w:pPr>
      <w:r>
        <w:rPr>
          <w:rFonts w:hint="eastAsia" w:ascii="黑体" w:hAnsi="黑体" w:eastAsia="黑体" w:cs="黑体"/>
          <w:color w:val="auto"/>
          <w:kern w:val="0"/>
          <w:sz w:val="44"/>
          <w:szCs w:val="44"/>
        </w:rPr>
        <w:t>汕尾市住房公积金资金流动性风险预案</w:t>
      </w:r>
    </w:p>
    <w:p>
      <w:pPr>
        <w:widowControl/>
        <w:shd w:val="clear" w:color="auto" w:fill="FFFFFF"/>
        <w:spacing w:line="700" w:lineRule="exact"/>
        <w:jc w:val="center"/>
        <w:rPr>
          <w:rFonts w:hint="eastAsia" w:ascii="仿宋" w:hAnsi="仿宋" w:eastAsia="仿宋" w:cs="宋体"/>
          <w:b/>
          <w:bCs/>
          <w:color w:val="auto"/>
          <w:kern w:val="0"/>
          <w:sz w:val="32"/>
          <w:szCs w:val="32"/>
        </w:rPr>
      </w:pPr>
      <w:r>
        <w:rPr>
          <w:rFonts w:hint="eastAsia" w:ascii="仿宋" w:hAnsi="仿宋" w:eastAsia="仿宋" w:cs="宋体"/>
          <w:b w:val="0"/>
          <w:bCs w:val="0"/>
          <w:color w:val="auto"/>
          <w:kern w:val="0"/>
          <w:sz w:val="32"/>
          <w:szCs w:val="32"/>
        </w:rPr>
        <w:t>(</w:t>
      </w:r>
      <w:r>
        <w:rPr>
          <w:rFonts w:hint="eastAsia" w:ascii="仿宋" w:hAnsi="仿宋" w:eastAsia="仿宋" w:cs="宋体"/>
          <w:b w:val="0"/>
          <w:bCs w:val="0"/>
          <w:color w:val="auto"/>
          <w:kern w:val="0"/>
          <w:sz w:val="32"/>
          <w:szCs w:val="32"/>
          <w:lang w:eastAsia="zh-CN"/>
        </w:rPr>
        <w:t>第二次</w:t>
      </w:r>
      <w:r>
        <w:rPr>
          <w:rFonts w:hint="eastAsia" w:ascii="仿宋" w:hAnsi="仿宋" w:eastAsia="仿宋" w:cs="宋体"/>
          <w:b w:val="0"/>
          <w:bCs w:val="0"/>
          <w:color w:val="auto"/>
          <w:kern w:val="0"/>
          <w:sz w:val="32"/>
          <w:szCs w:val="32"/>
        </w:rPr>
        <w:t>征求意见稿)</w:t>
      </w:r>
    </w:p>
    <w:p>
      <w:pPr>
        <w:widowControl/>
        <w:shd w:val="clear" w:color="auto" w:fill="FFFFFF"/>
        <w:spacing w:line="700" w:lineRule="exact"/>
        <w:jc w:val="center"/>
        <w:rPr>
          <w:rFonts w:hint="eastAsia" w:ascii="仿宋" w:hAnsi="仿宋" w:eastAsia="仿宋" w:cs="宋体"/>
          <w:b/>
          <w:bCs/>
          <w:color w:val="auto"/>
          <w:kern w:val="0"/>
          <w:sz w:val="32"/>
          <w:szCs w:val="32"/>
        </w:rPr>
      </w:pP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为防范住房公积金资金流动性风险，维持住房公积金供求平衡，保证资金安全运行，根据我市实际，制定本预案。</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一、资金运行预案建立的目标</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本预案是指对全市住房公积金业务运行过程中发生的资金供求矛盾进行预先发布警示，并及时采取相应对策措施的制度，目标是维护资金运行安全，防范资金流动性风险，提高资金使用效益</w:t>
      </w:r>
      <w:r>
        <w:rPr>
          <w:rFonts w:hint="eastAsia" w:ascii="仿宋" w:hAnsi="仿宋" w:eastAsia="仿宋" w:cs="宋体"/>
          <w:color w:val="0F243E" w:themeColor="text2" w:themeShade="80"/>
          <w:kern w:val="0"/>
          <w:sz w:val="32"/>
          <w:szCs w:val="32"/>
        </w:rPr>
        <w:t>。</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二、资金运行预警等级的设定</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通过对全市住房公积金业务和资金运行情况进行系统而全面地分析、预测和评价，根据个贷率、资金运行情况、银行存款情况、增值收益进行分析判断，确定以下预警等级：一级预警、二级预警、三级预警。</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三、预警调控措施</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（一）一级预警</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1.状态：个贷率85%-90%（不含），资金净流量连续三个月为负数，个贷率有迅速上升趋势。</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2.调控措施：</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（1）通过对各项业务指标的监控，关注资金走向，做好数据分析，为制定防范流动性风险资金筹措方案和贷款政策调整预案做好准备。</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w:t>
      </w:r>
      <w:r>
        <w:rPr>
          <w:rFonts w:hint="eastAsia" w:ascii="宋体" w:hAnsi="宋体" w:eastAsia="仿宋" w:cs="宋体"/>
          <w:color w:val="auto"/>
          <w:kern w:val="0"/>
          <w:sz w:val="32"/>
          <w:szCs w:val="32"/>
        </w:rPr>
        <w:t> </w:t>
      </w:r>
      <w:r>
        <w:rPr>
          <w:rFonts w:hint="eastAsia" w:ascii="仿宋" w:hAnsi="仿宋" w:eastAsia="仿宋" w:cs="宋体"/>
          <w:color w:val="auto"/>
          <w:kern w:val="0"/>
          <w:sz w:val="32"/>
          <w:szCs w:val="32"/>
        </w:rPr>
        <w:t>[1]</w:t>
      </w:r>
      <w:r>
        <w:rPr>
          <w:rFonts w:hint="eastAsia" w:ascii="宋体" w:hAnsi="宋体" w:eastAsia="仿宋" w:cs="宋体"/>
          <w:color w:val="auto"/>
          <w:kern w:val="0"/>
          <w:sz w:val="32"/>
          <w:szCs w:val="32"/>
        </w:rPr>
        <w:t> </w:t>
      </w:r>
      <w:r>
        <w:rPr>
          <w:rFonts w:hint="eastAsia" w:ascii="仿宋" w:hAnsi="仿宋" w:eastAsia="仿宋" w:cs="宋体"/>
          <w:color w:val="auto"/>
          <w:kern w:val="0"/>
          <w:sz w:val="32"/>
          <w:szCs w:val="32"/>
        </w:rPr>
        <w:t>“个贷率”是指某一时点个人住房贷款使用比率</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个贷率=（住房公积金个人贷款余额/住房公积金缴存余额）*100%</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（2）定期做好资金存量及贷款资金需求分析报表，做好定期存款、银行大额存单提前兑付计划。</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）做好停止商业性银行住房贷款转公积金贷款业务准备。</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）做好暂停住房公积金异地贷款业务准备。</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（二）二级预警</w:t>
      </w:r>
      <w:r>
        <w:rPr>
          <w:rFonts w:hint="eastAsia" w:ascii="宋体" w:hAnsi="宋体" w:eastAsia="仿宋" w:cs="宋体"/>
          <w:color w:val="auto"/>
          <w:kern w:val="0"/>
          <w:sz w:val="32"/>
          <w:szCs w:val="32"/>
        </w:rPr>
        <w:t> </w:t>
      </w:r>
      <w:bookmarkStart w:id="0" w:name="_GoBack"/>
      <w:bookmarkEnd w:id="0"/>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1.状态</w:t>
      </w:r>
      <w:r>
        <w:rPr>
          <w:rFonts w:hint="eastAsia" w:ascii="仿宋" w:hAnsi="仿宋" w:eastAsia="仿宋" w:cs="宋体"/>
          <w:color w:val="10243F" w:themeColor="text2" w:themeShade="80"/>
          <w:kern w:val="0"/>
          <w:sz w:val="32"/>
          <w:szCs w:val="32"/>
        </w:rPr>
        <w:t>：</w:t>
      </w:r>
      <w:r>
        <w:rPr>
          <w:rFonts w:hint="eastAsia" w:ascii="仿宋" w:hAnsi="仿宋" w:eastAsia="仿宋" w:cs="宋体"/>
          <w:color w:val="auto"/>
          <w:kern w:val="0"/>
          <w:sz w:val="32"/>
          <w:szCs w:val="32"/>
        </w:rPr>
        <w:t>个贷率90%-95%（含），资金净流量持续为负数，个贷率持续加大，贷款刚需持续加大。</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2.调控措施：在继续实施一级预警相关措施的基础上做好如下工作：</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（1）定期做好资金存量及贷款资金需求分析报表，根据资金需求按计划做好定期存款和大额存单的提前兑付。</w:t>
      </w:r>
    </w:p>
    <w:p>
      <w:pPr>
        <w:widowControl/>
        <w:shd w:val="clear" w:color="auto" w:fill="FFFFFF"/>
        <w:spacing w:line="7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（2）暂停商业性银行住房贷款转住房公积金贷款业务，启用贷款轮候，优先保障首套住房贷款使用住房公积金的需求。</w:t>
      </w:r>
    </w:p>
    <w:p>
      <w:pPr>
        <w:widowControl/>
        <w:shd w:val="clear" w:color="auto" w:fill="FFFFFF"/>
        <w:spacing w:line="7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（3）暂停办理异地缴存职工在本地购房申请住房公积金贷款业务。</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（4） 将最高贷款额度调整为现行额度的90%（取整万数），即最高贷款额度为单方申请27万，多方申请45万。</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（5）将个人最高贷款额度计算倍数由12倍调整为10倍。</w:t>
      </w:r>
    </w:p>
    <w:p>
      <w:pPr>
        <w:widowControl/>
        <w:shd w:val="clear" w:color="auto" w:fill="FFFFFF"/>
        <w:spacing w:line="700" w:lineRule="exact"/>
        <w:ind w:firstLine="640"/>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（6）</w:t>
      </w:r>
      <w:r>
        <w:rPr>
          <w:rFonts w:hint="eastAsia" w:ascii="仿宋" w:hAnsi="仿宋" w:eastAsia="仿宋" w:cs="仿宋_GB2312"/>
          <w:color w:val="auto"/>
          <w:sz w:val="32"/>
          <w:szCs w:val="32"/>
        </w:rPr>
        <w:t>提取原因为“购房首付款提取” ，在办理住房公积金提取时，职工及配偶必须各留存不少于最近6个月的缴存额</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 xml:space="preserve">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（三）三级预警</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1.状态：个贷率95%以上，资金净流量持续为负数。</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2.调控措施：在继续实施一级、二级预警相关措施的基础上做好如下工作：</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（1）将最高贷款额度调整为现行额度的80%（取整万数），</w:t>
      </w:r>
      <w:r>
        <w:rPr>
          <w:rFonts w:hint="eastAsia" w:ascii="仿宋" w:hAnsi="仿宋" w:eastAsia="仿宋" w:cs="宋体"/>
          <w:color w:val="auto"/>
          <w:sz w:val="32"/>
          <w:szCs w:val="32"/>
        </w:rPr>
        <w:t>即最高贷款额度为单方申请24万，多方申请40万</w:t>
      </w:r>
      <w:r>
        <w:rPr>
          <w:rFonts w:hint="eastAsia" w:ascii="仿宋" w:hAnsi="仿宋" w:eastAsia="仿宋" w:cs="宋体"/>
          <w:color w:val="auto"/>
          <w:kern w:val="0"/>
          <w:sz w:val="32"/>
          <w:szCs w:val="32"/>
        </w:rPr>
        <w:t>。</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（2）</w:t>
      </w:r>
      <w:r>
        <w:rPr>
          <w:rFonts w:hint="eastAsia" w:ascii="仿宋" w:hAnsi="仿宋" w:eastAsia="仿宋" w:cs="仿宋_GB2312"/>
          <w:color w:val="auto"/>
          <w:sz w:val="32"/>
          <w:szCs w:val="32"/>
        </w:rPr>
        <w:t>提取原因为“购房首付款提取”，在办理住房公积金提取时，职工及配偶必须各留存不少于最近12个月的缴存额</w:t>
      </w:r>
      <w:r>
        <w:rPr>
          <w:rFonts w:hint="eastAsia" w:ascii="仿宋" w:hAnsi="仿宋" w:eastAsia="仿宋" w:cs="宋体"/>
          <w:color w:val="auto"/>
          <w:kern w:val="0"/>
          <w:sz w:val="32"/>
          <w:szCs w:val="32"/>
        </w:rPr>
        <w:t>。</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（3）</w:t>
      </w:r>
      <w:r>
        <w:rPr>
          <w:rFonts w:hint="eastAsia" w:ascii="仿宋" w:hAnsi="仿宋" w:eastAsia="仿宋" w:cs="宋体"/>
          <w:color w:val="auto"/>
          <w:sz w:val="32"/>
          <w:szCs w:val="32"/>
        </w:rPr>
        <w:t>将个人最高贷款额度计算倍数由10倍调整为8倍。</w:t>
      </w:r>
    </w:p>
    <w:p>
      <w:pPr>
        <w:widowControl/>
        <w:numPr>
          <w:ilvl w:val="0"/>
          <w:numId w:val="1"/>
        </w:numPr>
        <w:shd w:val="clear" w:color="auto" w:fill="FFFFFF"/>
        <w:spacing w:line="70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调控措施的取消</w:t>
      </w:r>
    </w:p>
    <w:p>
      <w:pPr>
        <w:widowControl/>
        <w:numPr>
          <w:ilvl w:val="0"/>
          <w:numId w:val="0"/>
        </w:numPr>
        <w:shd w:val="clear" w:color="auto" w:fill="FFFFFF"/>
        <w:spacing w:line="700" w:lineRule="exact"/>
        <w:ind w:firstLine="640" w:firstLineChars="200"/>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eastAsia="zh-CN"/>
        </w:rPr>
        <w:t>实施上述调控措施以后，在我中心个贷率降至</w:t>
      </w:r>
      <w:r>
        <w:rPr>
          <w:rFonts w:hint="eastAsia" w:ascii="仿宋" w:hAnsi="仿宋" w:eastAsia="仿宋" w:cs="宋体"/>
          <w:color w:val="auto"/>
          <w:kern w:val="0"/>
          <w:sz w:val="32"/>
          <w:szCs w:val="32"/>
          <w:lang w:val="en-US" w:eastAsia="zh-CN"/>
        </w:rPr>
        <w:t>85%以下，且资金净流量连续6个月为正数，根据资金存量情况决定取消上述有关调控措施。</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eastAsia="zh-CN"/>
        </w:rPr>
        <w:t>五</w:t>
      </w:r>
      <w:r>
        <w:rPr>
          <w:rFonts w:hint="eastAsia" w:ascii="仿宋" w:hAnsi="仿宋" w:eastAsia="仿宋" w:cs="宋体"/>
          <w:color w:val="auto"/>
          <w:kern w:val="0"/>
          <w:sz w:val="32"/>
          <w:szCs w:val="32"/>
        </w:rPr>
        <w:t>、发布资金流动性风险预案</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预警等级及相应的调控措施的启用</w:t>
      </w:r>
      <w:r>
        <w:rPr>
          <w:rFonts w:hint="eastAsia" w:ascii="仿宋" w:hAnsi="仿宋" w:eastAsia="仿宋" w:cs="宋体"/>
          <w:color w:val="auto"/>
          <w:kern w:val="0"/>
          <w:sz w:val="32"/>
          <w:szCs w:val="32"/>
          <w:lang w:eastAsia="zh-CN"/>
        </w:rPr>
        <w:t>和取消</w:t>
      </w:r>
      <w:r>
        <w:rPr>
          <w:rFonts w:hint="eastAsia" w:ascii="仿宋" w:hAnsi="仿宋" w:eastAsia="仿宋" w:cs="宋体"/>
          <w:color w:val="auto"/>
          <w:kern w:val="0"/>
          <w:sz w:val="32"/>
          <w:szCs w:val="32"/>
        </w:rPr>
        <w:t>，由市住房公积金管理中心通过住房公积金网站、微信公众号、手机app等公开渠道提前10日向社会公布。</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本预案自公布之日起正式实施。</w:t>
      </w:r>
      <w:r>
        <w:rPr>
          <w:rFonts w:hint="eastAsia" w:ascii="宋体" w:hAnsi="宋体" w:eastAsia="仿宋" w:cs="宋体"/>
          <w:color w:val="auto"/>
          <w:kern w:val="0"/>
          <w:sz w:val="32"/>
          <w:szCs w:val="32"/>
        </w:rPr>
        <w:t> </w:t>
      </w:r>
    </w:p>
    <w:p>
      <w:pPr>
        <w:spacing w:line="700" w:lineRule="exact"/>
        <w:rPr>
          <w:rFonts w:ascii="宋体" w:hAnsi="宋体" w:eastAsia="宋体" w:cs="宋体"/>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6AF"/>
    <w:multiLevelType w:val="singleLevel"/>
    <w:tmpl w:val="09D976A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12D4"/>
    <w:rsid w:val="000202E6"/>
    <w:rsid w:val="002761CB"/>
    <w:rsid w:val="002778C2"/>
    <w:rsid w:val="002C0E3E"/>
    <w:rsid w:val="0047212D"/>
    <w:rsid w:val="006D2BEC"/>
    <w:rsid w:val="007D01A7"/>
    <w:rsid w:val="007E0A43"/>
    <w:rsid w:val="00852E6E"/>
    <w:rsid w:val="00931037"/>
    <w:rsid w:val="00A32EC2"/>
    <w:rsid w:val="00B712D4"/>
    <w:rsid w:val="00D272B6"/>
    <w:rsid w:val="00FA2AE8"/>
    <w:rsid w:val="05B1233A"/>
    <w:rsid w:val="0A893C5B"/>
    <w:rsid w:val="0B257C7A"/>
    <w:rsid w:val="112B4D19"/>
    <w:rsid w:val="11584E86"/>
    <w:rsid w:val="117024EB"/>
    <w:rsid w:val="12266DA4"/>
    <w:rsid w:val="2A394571"/>
    <w:rsid w:val="2C1F1868"/>
    <w:rsid w:val="2C345DDF"/>
    <w:rsid w:val="31556B4B"/>
    <w:rsid w:val="34CE19E6"/>
    <w:rsid w:val="35714568"/>
    <w:rsid w:val="3C3B41F7"/>
    <w:rsid w:val="3E57509D"/>
    <w:rsid w:val="3F0B5F23"/>
    <w:rsid w:val="3FD72CC7"/>
    <w:rsid w:val="409728ED"/>
    <w:rsid w:val="4D703FBF"/>
    <w:rsid w:val="4E0518D5"/>
    <w:rsid w:val="51193F3D"/>
    <w:rsid w:val="514B6DEA"/>
    <w:rsid w:val="545E4DCF"/>
    <w:rsid w:val="579F0D23"/>
    <w:rsid w:val="58F12EC7"/>
    <w:rsid w:val="5B3E347B"/>
    <w:rsid w:val="5D370159"/>
    <w:rsid w:val="6E9C6212"/>
    <w:rsid w:val="7263367E"/>
    <w:rsid w:val="73A056D7"/>
    <w:rsid w:val="77523ED3"/>
    <w:rsid w:val="7ACB0EE4"/>
    <w:rsid w:val="7FB5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article_prin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199</Words>
  <Characters>1137</Characters>
  <Lines>9</Lines>
  <Paragraphs>2</Paragraphs>
  <TotalTime>54</TotalTime>
  <ScaleCrop>false</ScaleCrop>
  <LinksUpToDate>false</LinksUpToDate>
  <CharactersWithSpaces>1334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2020-08-17T02:35:00Z</dcterms:created>
  <dc:creator>lenovo</dc:creator>
  <cp:lastModifiedBy>Administrator</cp:lastModifiedBy>
  <cp:lastPrinted>2020-09-15T03:00:00Z</cp:lastPrinted>
  <dcterms:modified xsi:type="dcterms:W3CDTF">2020-09-16T01:52:26Z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