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7B3A">
      <w:pPr>
        <w:ind w:firstLine="0" w:firstLineChars="0"/>
        <w:jc w:val="both"/>
        <w:rPr>
          <w:rFonts w:hint="eastAsia" w:ascii="Times New Roman" w:hAnsi="Times New Roman"/>
          <w:sz w:val="28"/>
          <w:szCs w:val="21"/>
          <w:lang w:eastAsia="zh-CN"/>
        </w:rPr>
      </w:pPr>
      <w:bookmarkStart w:id="0" w:name="_Toc173599624"/>
      <w:bookmarkEnd w:id="0"/>
      <w:bookmarkStart w:id="1" w:name="_Toc174122038"/>
      <w:bookmarkEnd w:id="1"/>
      <w:bookmarkStart w:id="2" w:name="_Toc174121904"/>
      <w:bookmarkEnd w:id="2"/>
      <w:bookmarkStart w:id="3" w:name="_Toc174122318"/>
      <w:bookmarkEnd w:id="3"/>
      <w:r>
        <w:rPr>
          <w:rFonts w:hint="eastAsia" w:ascii="Times New Roman" w:hAnsi="Times New Roman"/>
          <w:sz w:val="28"/>
          <w:szCs w:val="21"/>
          <w:lang w:eastAsia="zh-CN"/>
        </w:rPr>
        <w:t>附件</w:t>
      </w:r>
    </w:p>
    <w:p w14:paraId="5B952C07">
      <w:pPr>
        <w:ind w:firstLine="0" w:firstLineChars="0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城市更新行动指标体系</w:t>
      </w:r>
    </w:p>
    <w:p w14:paraId="2FCA596E">
      <w:pPr>
        <w:ind w:firstLine="0" w:firstLineChars="0"/>
        <w:jc w:val="center"/>
        <w:rPr>
          <w:rFonts w:hint="eastAsia" w:ascii="小标宋" w:hAnsi="小标宋" w:eastAsia="小标宋" w:cs="小标宋"/>
          <w:sz w:val="44"/>
          <w:szCs w:val="44"/>
        </w:rPr>
      </w:pPr>
    </w:p>
    <w:tbl>
      <w:tblPr>
        <w:tblStyle w:val="2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73"/>
        <w:gridCol w:w="2668"/>
        <w:gridCol w:w="7525"/>
        <w:gridCol w:w="1562"/>
      </w:tblGrid>
      <w:tr w14:paraId="00B5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402" w:type="pct"/>
            <w:vAlign w:val="center"/>
          </w:tcPr>
          <w:p w14:paraId="0FE31682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223706D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3B09B4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45A2A5C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551" w:type="pct"/>
            <w:vAlign w:val="center"/>
          </w:tcPr>
          <w:p w14:paraId="55C3A05C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指标属性</w:t>
            </w:r>
          </w:p>
        </w:tc>
      </w:tr>
      <w:tr w14:paraId="5880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5E361805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109F21C8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产出绩效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14:paraId="74B6E615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城市地下管网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及市政基础设施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更新改造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1A8E0BFD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完成地下管网现状普查，摸清风险隐患，并建立数字化档案</w:t>
            </w:r>
          </w:p>
        </w:tc>
        <w:tc>
          <w:tcPr>
            <w:tcW w:w="551" w:type="pct"/>
            <w:vAlign w:val="center"/>
          </w:tcPr>
          <w:p w14:paraId="01759D88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050A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34A31682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53F93102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15306AA5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5F19DCB2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城市燃气、供水、排水、污水、供热等地下管网改造任务量</w:t>
            </w:r>
            <w:bookmarkStart w:id="4" w:name="_GoBack"/>
            <w:bookmarkEnd w:id="4"/>
          </w:p>
        </w:tc>
        <w:tc>
          <w:tcPr>
            <w:tcW w:w="551" w:type="pct"/>
            <w:vAlign w:val="center"/>
          </w:tcPr>
          <w:p w14:paraId="1E4052F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60EF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0432E0AF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3B6D2276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4C3EB1B9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7EFF294F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城市易涝点消除比例</w:t>
            </w:r>
          </w:p>
        </w:tc>
        <w:tc>
          <w:tcPr>
            <w:tcW w:w="551" w:type="pct"/>
            <w:vAlign w:val="center"/>
          </w:tcPr>
          <w:p w14:paraId="47E12B5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6127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0F38F7E7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6231CDAC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5F320F0D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6DC718C6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城市内涝防治标准（毫米/小时，或分片区描述重现期标准）</w:t>
            </w:r>
          </w:p>
        </w:tc>
        <w:tc>
          <w:tcPr>
            <w:tcW w:w="551" w:type="pct"/>
            <w:vAlign w:val="center"/>
          </w:tcPr>
          <w:p w14:paraId="4A930F3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43DC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3BA1C719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212F1353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6267747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33EA5899"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eastAsia="zh-CN"/>
              </w:rPr>
              <w:t>落实</w:t>
            </w: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城区地铁、下穿隧道、地下空间出入口等重要基础设施落实防淹防涝措施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eastAsia="zh-CN"/>
              </w:rPr>
              <w:t>（如城市主城区实行管网专业企业运行维护达到9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eastAsia="zh-CN"/>
              </w:rPr>
              <w:t>%）</w:t>
            </w:r>
          </w:p>
        </w:tc>
        <w:tc>
          <w:tcPr>
            <w:tcW w:w="551" w:type="pct"/>
            <w:vAlign w:val="center"/>
          </w:tcPr>
          <w:p w14:paraId="611B6762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</w:rPr>
              <w:t>定量</w:t>
            </w:r>
          </w:p>
        </w:tc>
      </w:tr>
      <w:tr w14:paraId="4ADD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24FA907F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26DA11CD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18BB507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0643B1C6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城市燃气、桥梁、隧道、供排水、综合管廊等城市生命线工程建设覆盖比例</w:t>
            </w:r>
          </w:p>
        </w:tc>
        <w:tc>
          <w:tcPr>
            <w:tcW w:w="551" w:type="pct"/>
            <w:vAlign w:val="center"/>
          </w:tcPr>
          <w:p w14:paraId="2B1A0745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7CED3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02" w:type="pct"/>
            <w:vAlign w:val="center"/>
          </w:tcPr>
          <w:p w14:paraId="700FAE3B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1A960853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14:paraId="75FBFF8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城市污水管网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全覆盖样板区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建设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1AE48287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城市建成区已消除黑臭水体且不得返黑返臭</w:t>
            </w:r>
          </w:p>
        </w:tc>
        <w:tc>
          <w:tcPr>
            <w:tcW w:w="551" w:type="pct"/>
            <w:vAlign w:val="center"/>
          </w:tcPr>
          <w:p w14:paraId="024ED6FA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70CB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722CD4E0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0170E1F8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78D8D61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7C9FC439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进水BOD浓度高于100mg/L的城市生活污水处理厂规模占比（不低于90%或比2023年提升不低于15个百分点）</w:t>
            </w:r>
          </w:p>
        </w:tc>
        <w:tc>
          <w:tcPr>
            <w:tcW w:w="551" w:type="pct"/>
            <w:vAlign w:val="center"/>
          </w:tcPr>
          <w:p w14:paraId="01446B0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2AFEC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2A19C440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6436835E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15119948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6BDBD08A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城市生活污水集中收集率（不低于80%或比2023年提升不少于5个百分点）</w:t>
            </w:r>
          </w:p>
        </w:tc>
        <w:tc>
          <w:tcPr>
            <w:tcW w:w="551" w:type="pct"/>
            <w:vAlign w:val="center"/>
          </w:tcPr>
          <w:p w14:paraId="0AC9DCF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17B7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402" w:type="pct"/>
            <w:vAlign w:val="center"/>
          </w:tcPr>
          <w:p w14:paraId="09698B50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406E6CCF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426898F5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140594D4">
            <w:pPr>
              <w:widowControl/>
              <w:spacing w:line="360" w:lineRule="exact"/>
              <w:ind w:firstLine="0" w:firstLineChars="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城市主城区实行管网专业企业运行维护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，实行“厂网一体化”运维</w:t>
            </w:r>
          </w:p>
        </w:tc>
        <w:tc>
          <w:tcPr>
            <w:tcW w:w="551" w:type="pct"/>
            <w:vAlign w:val="center"/>
          </w:tcPr>
          <w:p w14:paraId="7D0383F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279B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2" w:type="pct"/>
            <w:vAlign w:val="center"/>
          </w:tcPr>
          <w:p w14:paraId="5323386E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0D3738E5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32762F8C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0E5A636E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城市污水处理收费标准全面覆盖成本</w:t>
            </w:r>
          </w:p>
        </w:tc>
        <w:tc>
          <w:tcPr>
            <w:tcW w:w="551" w:type="pct"/>
            <w:vAlign w:val="center"/>
          </w:tcPr>
          <w:p w14:paraId="440F71BF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5206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59E463E6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237F7366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087278D8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04D94158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对排水户实行分级分类管理，重点排水户全面落实排水许可要求</w:t>
            </w:r>
          </w:p>
        </w:tc>
        <w:tc>
          <w:tcPr>
            <w:tcW w:w="551" w:type="pct"/>
            <w:vAlign w:val="center"/>
          </w:tcPr>
          <w:p w14:paraId="3C02F9F9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2EBB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" w:type="pct"/>
            <w:vAlign w:val="center"/>
          </w:tcPr>
          <w:p w14:paraId="3241427D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6C2D6D73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68F9E81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6FCFBFAE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构建以污染物收集效能为导向的绩效考核体系和付费体系，对污水管网运维效果按效付费</w:t>
            </w:r>
          </w:p>
        </w:tc>
        <w:tc>
          <w:tcPr>
            <w:tcW w:w="551" w:type="pct"/>
            <w:vAlign w:val="center"/>
          </w:tcPr>
          <w:p w14:paraId="0DAB3EC8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4501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02" w:type="pct"/>
            <w:vAlign w:val="center"/>
          </w:tcPr>
          <w:p w14:paraId="5502283B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02A9379F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14:paraId="57FDC80D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老旧片区</w:t>
            </w:r>
          </w:p>
          <w:p w14:paraId="4DB0F77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更新改造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565C677D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完成改造的老旧片区数量、改造面积</w:t>
            </w:r>
          </w:p>
        </w:tc>
        <w:tc>
          <w:tcPr>
            <w:tcW w:w="551" w:type="pct"/>
            <w:vAlign w:val="center"/>
          </w:tcPr>
          <w:p w14:paraId="441B176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3A64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02" w:type="pct"/>
            <w:vAlign w:val="center"/>
          </w:tcPr>
          <w:p w14:paraId="79C3BC15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6356A0DF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16B8DF55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254E7066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居民小区二次供水设施由专业化企业接管并提供服务比例</w:t>
            </w:r>
          </w:p>
        </w:tc>
        <w:tc>
          <w:tcPr>
            <w:tcW w:w="551" w:type="pct"/>
            <w:vAlign w:val="center"/>
          </w:tcPr>
          <w:p w14:paraId="0AB4A0BB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490F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02" w:type="pct"/>
            <w:vAlign w:val="center"/>
          </w:tcPr>
          <w:p w14:paraId="6D2289B0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0215BF73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10EE4F4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3A33A3CD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落实海绵城市建设理念改造的老旧片区数量</w:t>
            </w:r>
          </w:p>
        </w:tc>
        <w:tc>
          <w:tcPr>
            <w:tcW w:w="551" w:type="pct"/>
            <w:vAlign w:val="center"/>
          </w:tcPr>
          <w:p w14:paraId="11C9FFDA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6B81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02" w:type="pct"/>
            <w:vAlign w:val="center"/>
          </w:tcPr>
          <w:p w14:paraId="51CBDF37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34CA2476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4845BA7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1B2E1A5C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推进城市社区“嵌入式”服务设施建设工程的社区数量</w:t>
            </w:r>
          </w:p>
        </w:tc>
        <w:tc>
          <w:tcPr>
            <w:tcW w:w="551" w:type="pct"/>
            <w:vAlign w:val="center"/>
          </w:tcPr>
          <w:p w14:paraId="669C0E9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3284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402" w:type="pct"/>
            <w:vAlign w:val="center"/>
          </w:tcPr>
          <w:p w14:paraId="4B89C63A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13E2F311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vMerge w:val="continue"/>
            <w:shd w:val="clear" w:color="auto" w:fill="auto"/>
            <w:vAlign w:val="center"/>
          </w:tcPr>
          <w:p w14:paraId="47DFCE9F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654" w:type="pct"/>
            <w:shd w:val="clear" w:color="auto" w:fill="auto"/>
            <w:vAlign w:val="center"/>
          </w:tcPr>
          <w:p w14:paraId="1CBC3F45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补齐“一老一小”等设施短板、无障碍环境建设和适老化改造的社区数量</w:t>
            </w:r>
          </w:p>
        </w:tc>
        <w:tc>
          <w:tcPr>
            <w:tcW w:w="551" w:type="pct"/>
            <w:vAlign w:val="center"/>
          </w:tcPr>
          <w:p w14:paraId="702523BA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7E8C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402" w:type="pct"/>
            <w:vAlign w:val="center"/>
          </w:tcPr>
          <w:p w14:paraId="74D090E9">
            <w:pPr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0F60798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管理绩效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5B4A8A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城市更新统筹谋划的工作机制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34F14A6D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bCs w:val="0"/>
                <w:color w:val="auto"/>
                <w:kern w:val="0"/>
                <w:sz w:val="24"/>
                <w:szCs w:val="24"/>
                <w:highlight w:val="none"/>
              </w:rPr>
              <w:t>完成的立法或长效机制数量（需包含城市更新专项规划）</w:t>
            </w:r>
          </w:p>
        </w:tc>
        <w:tc>
          <w:tcPr>
            <w:tcW w:w="551" w:type="pct"/>
            <w:vAlign w:val="center"/>
          </w:tcPr>
          <w:p w14:paraId="3D00A4C8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定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eastAsia="zh-CN"/>
              </w:rPr>
              <w:t>量</w:t>
            </w:r>
          </w:p>
        </w:tc>
      </w:tr>
      <w:tr w14:paraId="7922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02" w:type="pct"/>
            <w:vAlign w:val="center"/>
          </w:tcPr>
          <w:p w14:paraId="4151D12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446CC29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3A4A512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城市更新可持续发展的模式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4065754D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bCs w:val="0"/>
                <w:color w:val="auto"/>
                <w:kern w:val="0"/>
                <w:sz w:val="24"/>
                <w:szCs w:val="24"/>
              </w:rPr>
              <w:t>建立的制度文件（体现城市更新、海绵城市、城市污水厂网一体等方面）</w:t>
            </w:r>
          </w:p>
        </w:tc>
        <w:tc>
          <w:tcPr>
            <w:tcW w:w="551" w:type="pct"/>
            <w:vAlign w:val="center"/>
          </w:tcPr>
          <w:p w14:paraId="7374944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5A80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02" w:type="pct"/>
            <w:vAlign w:val="center"/>
          </w:tcPr>
          <w:p w14:paraId="05CA746A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1E9DE06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2F4BE3E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绩效考核制度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347473AA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建立市政府对各区、各部门的绩效考核制度</w:t>
            </w:r>
          </w:p>
        </w:tc>
        <w:tc>
          <w:tcPr>
            <w:tcW w:w="551" w:type="pct"/>
            <w:vAlign w:val="center"/>
          </w:tcPr>
          <w:p w14:paraId="090C9372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745F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02" w:type="pct"/>
            <w:vAlign w:val="center"/>
          </w:tcPr>
          <w:p w14:paraId="6907DB4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2C7F605B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5AB63D48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投融资机制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4C0FBE90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制定的投融资机制</w:t>
            </w:r>
          </w:p>
        </w:tc>
        <w:tc>
          <w:tcPr>
            <w:tcW w:w="551" w:type="pct"/>
            <w:vAlign w:val="center"/>
          </w:tcPr>
          <w:p w14:paraId="2887600B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1CFC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02" w:type="pct"/>
            <w:vAlign w:val="center"/>
          </w:tcPr>
          <w:p w14:paraId="45D573CF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59FA67B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6FA6EF9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建立的配套制度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400A94C2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在土地、规划、建设、产业、财税、金融等方面形成的政策</w:t>
            </w:r>
          </w:p>
        </w:tc>
        <w:tc>
          <w:tcPr>
            <w:tcW w:w="551" w:type="pct"/>
            <w:vAlign w:val="center"/>
          </w:tcPr>
          <w:p w14:paraId="16ADE7ED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1750F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02" w:type="pct"/>
            <w:vAlign w:val="center"/>
          </w:tcPr>
          <w:p w14:paraId="4DFC39D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5E3E0A9E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700B27A3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房屋三项制度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3232FE45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建立完善房屋体检、房屋养老金、房屋保险三项制度</w:t>
            </w:r>
          </w:p>
        </w:tc>
        <w:tc>
          <w:tcPr>
            <w:tcW w:w="551" w:type="pct"/>
            <w:vAlign w:val="center"/>
          </w:tcPr>
          <w:p w14:paraId="248FE8C4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54F4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02" w:type="pct"/>
            <w:vAlign w:val="center"/>
          </w:tcPr>
          <w:p w14:paraId="456ACBE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660B705A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资金绩效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BE29EA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资金下达及时性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5D972E40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中央奖补资金及时下达到项目比例</w:t>
            </w:r>
          </w:p>
        </w:tc>
        <w:tc>
          <w:tcPr>
            <w:tcW w:w="551" w:type="pct"/>
            <w:vAlign w:val="center"/>
          </w:tcPr>
          <w:p w14:paraId="1AF2108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38A3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02" w:type="pct"/>
            <w:vAlign w:val="center"/>
          </w:tcPr>
          <w:p w14:paraId="42D43571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449" w:type="pct"/>
            <w:vMerge w:val="continue"/>
            <w:shd w:val="clear" w:color="auto" w:fill="auto"/>
            <w:vAlign w:val="center"/>
          </w:tcPr>
          <w:p w14:paraId="71E61E4F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28AFD26B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资金的协同性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7445375C">
            <w:pPr>
              <w:widowControl/>
              <w:spacing w:line="360" w:lineRule="exact"/>
              <w:ind w:firstLine="0"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地方按方案筹集资金，充分带动社会资金参与</w:t>
            </w:r>
          </w:p>
        </w:tc>
        <w:tc>
          <w:tcPr>
            <w:tcW w:w="551" w:type="pct"/>
            <w:vAlign w:val="center"/>
          </w:tcPr>
          <w:p w14:paraId="0C4AAA52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47E5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402" w:type="pct"/>
            <w:vAlign w:val="center"/>
          </w:tcPr>
          <w:p w14:paraId="3B68DACD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449" w:type="pct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22ACB9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7DCF324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资金使用的有效性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657B3C33">
            <w:pPr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中央资金合规使用，有力支撑项目建设</w:t>
            </w:r>
          </w:p>
        </w:tc>
        <w:tc>
          <w:tcPr>
            <w:tcW w:w="551" w:type="pct"/>
            <w:vAlign w:val="center"/>
          </w:tcPr>
          <w:p w14:paraId="097CCC2D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定性</w:t>
            </w:r>
          </w:p>
        </w:tc>
      </w:tr>
      <w:tr w14:paraId="4D3D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02" w:type="pct"/>
            <w:tcBorders>
              <w:right w:val="single" w:color="auto" w:sz="4" w:space="0"/>
            </w:tcBorders>
            <w:vAlign w:val="center"/>
          </w:tcPr>
          <w:p w14:paraId="75C9A47A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44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9FCBB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效益绩效</w:t>
            </w:r>
          </w:p>
        </w:tc>
        <w:tc>
          <w:tcPr>
            <w:tcW w:w="941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3E930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带动投资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1CAFDA78">
            <w:pPr>
              <w:widowControl/>
              <w:spacing w:line="360" w:lineRule="exact"/>
              <w:ind w:firstLine="0"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城市更新带动社会总投资倍数</w:t>
            </w:r>
          </w:p>
        </w:tc>
        <w:tc>
          <w:tcPr>
            <w:tcW w:w="551" w:type="pct"/>
            <w:vAlign w:val="center"/>
          </w:tcPr>
          <w:p w14:paraId="10D53827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048F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02" w:type="pct"/>
            <w:tcBorders>
              <w:right w:val="single" w:color="auto" w:sz="4" w:space="0"/>
            </w:tcBorders>
            <w:vAlign w:val="center"/>
          </w:tcPr>
          <w:p w14:paraId="1B607A4D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4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9FDC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41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738316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满意度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13E495F1">
            <w:pPr>
              <w:widowControl/>
              <w:spacing w:line="360" w:lineRule="exact"/>
              <w:ind w:firstLine="0" w:firstLineChars="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公众对城市更新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行动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工作的满意度（不低于90%)</w:t>
            </w:r>
          </w:p>
        </w:tc>
        <w:tc>
          <w:tcPr>
            <w:tcW w:w="551" w:type="pct"/>
            <w:vAlign w:val="center"/>
          </w:tcPr>
          <w:p w14:paraId="77E72880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定量</w:t>
            </w:r>
          </w:p>
        </w:tc>
      </w:tr>
      <w:tr w14:paraId="7AD3F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02" w:type="pct"/>
            <w:tcBorders>
              <w:right w:val="single" w:color="auto" w:sz="4" w:space="0"/>
            </w:tcBorders>
            <w:vAlign w:val="center"/>
          </w:tcPr>
          <w:p w14:paraId="0A57333B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44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D7F0B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1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AC96267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生态效益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00DE0412"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围绕城市人居环境、黑臭水体治理等方面</w:t>
            </w:r>
          </w:p>
        </w:tc>
        <w:tc>
          <w:tcPr>
            <w:tcW w:w="551" w:type="pct"/>
            <w:vAlign w:val="center"/>
          </w:tcPr>
          <w:p w14:paraId="6FE42BBF"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定性</w:t>
            </w:r>
          </w:p>
        </w:tc>
      </w:tr>
      <w:tr w14:paraId="1EDE1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402" w:type="pct"/>
            <w:tcBorders>
              <w:right w:val="single" w:color="auto" w:sz="4" w:space="0"/>
            </w:tcBorders>
            <w:vAlign w:val="center"/>
          </w:tcPr>
          <w:p w14:paraId="75DA9313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4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51D2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1" w:type="pc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BEA09C">
            <w:pPr>
              <w:widowControl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经济效益</w:t>
            </w:r>
          </w:p>
        </w:tc>
        <w:tc>
          <w:tcPr>
            <w:tcW w:w="2654" w:type="pct"/>
            <w:shd w:val="clear" w:color="auto" w:fill="auto"/>
            <w:vAlign w:val="center"/>
          </w:tcPr>
          <w:p w14:paraId="55645E72">
            <w:pPr>
              <w:widowControl/>
              <w:spacing w:line="360" w:lineRule="exact"/>
              <w:ind w:firstLine="0" w:firstLineChars="0"/>
              <w:rPr>
                <w:rFonts w:hint="default" w:ascii="Times New Roman" w:hAnsi="Times New Roman" w:eastAsia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围绕费价机制方面，拉倒投资、带动经济等方面</w:t>
            </w:r>
          </w:p>
        </w:tc>
        <w:tc>
          <w:tcPr>
            <w:tcW w:w="551" w:type="pct"/>
            <w:vAlign w:val="center"/>
          </w:tcPr>
          <w:p w14:paraId="54F01D7D">
            <w:pPr>
              <w:widowControl/>
              <w:spacing w:line="36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定性</w:t>
            </w:r>
          </w:p>
        </w:tc>
      </w:tr>
    </w:tbl>
    <w:p w14:paraId="20E4795E">
      <w:pPr>
        <w:pStyle w:val="47"/>
        <w:numPr>
          <w:ilvl w:val="0"/>
          <w:numId w:val="0"/>
        </w:numPr>
        <w:rPr>
          <w:rFonts w:ascii="Times New Roman" w:hAnsi="Times New Roman"/>
          <w:highlight w:val="none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0033271"/>
    </w:sdtPr>
    <w:sdtEndPr>
      <w:rPr>
        <w:rFonts w:ascii="Times New Roman" w:hAnsi="Times New Roman"/>
        <w:sz w:val="24"/>
        <w:szCs w:val="24"/>
      </w:rPr>
    </w:sdtEndPr>
    <w:sdtContent>
      <w:p w14:paraId="41670EA5">
        <w:pPr>
          <w:pStyle w:val="9"/>
          <w:ind w:firstLine="36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5F6D8"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10DF1"/>
    <w:multiLevelType w:val="multilevel"/>
    <w:tmpl w:val="2E610DF1"/>
    <w:lvl w:ilvl="0" w:tentative="0">
      <w:start w:val="1"/>
      <w:numFmt w:val="japaneseCounting"/>
      <w:pStyle w:val="47"/>
      <w:lvlText w:val="（%1）"/>
      <w:lvlJc w:val="left"/>
      <w:pPr>
        <w:ind w:left="1723" w:hanging="108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523" w:hanging="440"/>
      </w:pPr>
    </w:lvl>
    <w:lvl w:ilvl="2" w:tentative="0">
      <w:start w:val="1"/>
      <w:numFmt w:val="lowerRoman"/>
      <w:lvlText w:val="%3."/>
      <w:lvlJc w:val="right"/>
      <w:pPr>
        <w:ind w:left="1963" w:hanging="440"/>
      </w:pPr>
    </w:lvl>
    <w:lvl w:ilvl="3" w:tentative="0">
      <w:start w:val="1"/>
      <w:numFmt w:val="decimal"/>
      <w:lvlText w:val="%4."/>
      <w:lvlJc w:val="left"/>
      <w:pPr>
        <w:ind w:left="2403" w:hanging="440"/>
      </w:pPr>
    </w:lvl>
    <w:lvl w:ilvl="4" w:tentative="0">
      <w:start w:val="1"/>
      <w:numFmt w:val="lowerLetter"/>
      <w:lvlText w:val="%5)"/>
      <w:lvlJc w:val="left"/>
      <w:pPr>
        <w:ind w:left="2843" w:hanging="440"/>
      </w:pPr>
    </w:lvl>
    <w:lvl w:ilvl="5" w:tentative="0">
      <w:start w:val="1"/>
      <w:numFmt w:val="lowerRoman"/>
      <w:lvlText w:val="%6."/>
      <w:lvlJc w:val="right"/>
      <w:pPr>
        <w:ind w:left="3283" w:hanging="440"/>
      </w:pPr>
    </w:lvl>
    <w:lvl w:ilvl="6" w:tentative="0">
      <w:start w:val="1"/>
      <w:numFmt w:val="decimal"/>
      <w:lvlText w:val="%7."/>
      <w:lvlJc w:val="left"/>
      <w:pPr>
        <w:ind w:left="3723" w:hanging="440"/>
      </w:pPr>
    </w:lvl>
    <w:lvl w:ilvl="7" w:tentative="0">
      <w:start w:val="1"/>
      <w:numFmt w:val="lowerLetter"/>
      <w:lvlText w:val="%8)"/>
      <w:lvlJc w:val="left"/>
      <w:pPr>
        <w:ind w:left="4163" w:hanging="440"/>
      </w:pPr>
    </w:lvl>
    <w:lvl w:ilvl="8" w:tentative="0">
      <w:start w:val="1"/>
      <w:numFmt w:val="lowerRoman"/>
      <w:lvlText w:val="%9."/>
      <w:lvlJc w:val="right"/>
      <w:pPr>
        <w:ind w:left="4603" w:hanging="440"/>
      </w:pPr>
    </w:lvl>
  </w:abstractNum>
  <w:abstractNum w:abstractNumId="1">
    <w:nsid w:val="37476C6A"/>
    <w:multiLevelType w:val="singleLevel"/>
    <w:tmpl w:val="37476C6A"/>
    <w:lvl w:ilvl="0" w:tentative="0">
      <w:start w:val="1"/>
      <w:numFmt w:val="chineseCountingThousand"/>
      <w:pStyle w:val="44"/>
      <w:suff w:val="nothing"/>
      <w:lvlText w:val="%1、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zNjNiN2U2NjE0YTg2Yjk2YThkZmY0ZDU3NTVjZDgifQ=="/>
    <w:docVar w:name="KGWebUrl" w:val="http://gcoa.gdczt.gov.cn:8080/bgzdhxt/weaver/weaver.file.FileDownloadForNews?uuid=412bc9f4-0743-441e-910e-9d7dbbe1a168&amp;fileid=5819083&amp;type=document&amp;isofficeview=0"/>
  </w:docVars>
  <w:rsids>
    <w:rsidRoot w:val="00D35728"/>
    <w:rsid w:val="00001734"/>
    <w:rsid w:val="00010645"/>
    <w:rsid w:val="00011262"/>
    <w:rsid w:val="00020494"/>
    <w:rsid w:val="000304BE"/>
    <w:rsid w:val="000317FB"/>
    <w:rsid w:val="00031F6F"/>
    <w:rsid w:val="00032A2B"/>
    <w:rsid w:val="00032F8A"/>
    <w:rsid w:val="00041CEE"/>
    <w:rsid w:val="00051F71"/>
    <w:rsid w:val="0005441E"/>
    <w:rsid w:val="00057044"/>
    <w:rsid w:val="00061B33"/>
    <w:rsid w:val="0006228E"/>
    <w:rsid w:val="000677F1"/>
    <w:rsid w:val="00073E12"/>
    <w:rsid w:val="000754A1"/>
    <w:rsid w:val="000774BC"/>
    <w:rsid w:val="00080A3F"/>
    <w:rsid w:val="0008652F"/>
    <w:rsid w:val="00092E09"/>
    <w:rsid w:val="000A09BF"/>
    <w:rsid w:val="000A720A"/>
    <w:rsid w:val="000B181E"/>
    <w:rsid w:val="000B5B5E"/>
    <w:rsid w:val="000C37B2"/>
    <w:rsid w:val="000C4901"/>
    <w:rsid w:val="000C5C83"/>
    <w:rsid w:val="000D6C5C"/>
    <w:rsid w:val="000E5B7E"/>
    <w:rsid w:val="000E7CE4"/>
    <w:rsid w:val="000F02F9"/>
    <w:rsid w:val="000F5E2B"/>
    <w:rsid w:val="001034FB"/>
    <w:rsid w:val="0011311B"/>
    <w:rsid w:val="00113C9B"/>
    <w:rsid w:val="00113E90"/>
    <w:rsid w:val="00114C15"/>
    <w:rsid w:val="00117946"/>
    <w:rsid w:val="001242CD"/>
    <w:rsid w:val="00132E82"/>
    <w:rsid w:val="00134416"/>
    <w:rsid w:val="00134F2F"/>
    <w:rsid w:val="00136262"/>
    <w:rsid w:val="0013673D"/>
    <w:rsid w:val="00140C77"/>
    <w:rsid w:val="00141743"/>
    <w:rsid w:val="00142C4E"/>
    <w:rsid w:val="001446FA"/>
    <w:rsid w:val="001509AE"/>
    <w:rsid w:val="00154100"/>
    <w:rsid w:val="0015556D"/>
    <w:rsid w:val="0015721E"/>
    <w:rsid w:val="001766B8"/>
    <w:rsid w:val="00186503"/>
    <w:rsid w:val="00192CDB"/>
    <w:rsid w:val="00193AA2"/>
    <w:rsid w:val="00197DD9"/>
    <w:rsid w:val="001B06A5"/>
    <w:rsid w:val="001B297F"/>
    <w:rsid w:val="001B2D54"/>
    <w:rsid w:val="001B47C7"/>
    <w:rsid w:val="001B7782"/>
    <w:rsid w:val="001C6084"/>
    <w:rsid w:val="001D2548"/>
    <w:rsid w:val="001E322D"/>
    <w:rsid w:val="001F06D3"/>
    <w:rsid w:val="00215803"/>
    <w:rsid w:val="00215AD5"/>
    <w:rsid w:val="00217EB3"/>
    <w:rsid w:val="00223BF6"/>
    <w:rsid w:val="002259EB"/>
    <w:rsid w:val="002307EE"/>
    <w:rsid w:val="00236353"/>
    <w:rsid w:val="002450CB"/>
    <w:rsid w:val="002465AF"/>
    <w:rsid w:val="002532C7"/>
    <w:rsid w:val="00253FB8"/>
    <w:rsid w:val="002632DB"/>
    <w:rsid w:val="00263B97"/>
    <w:rsid w:val="00270A76"/>
    <w:rsid w:val="00272D68"/>
    <w:rsid w:val="00274731"/>
    <w:rsid w:val="00274AA4"/>
    <w:rsid w:val="00281442"/>
    <w:rsid w:val="00285A5E"/>
    <w:rsid w:val="00287FFD"/>
    <w:rsid w:val="0029457F"/>
    <w:rsid w:val="002969F9"/>
    <w:rsid w:val="002B18C9"/>
    <w:rsid w:val="002B1996"/>
    <w:rsid w:val="002C0B57"/>
    <w:rsid w:val="002C5396"/>
    <w:rsid w:val="002E0C76"/>
    <w:rsid w:val="002E15B5"/>
    <w:rsid w:val="002E2AA7"/>
    <w:rsid w:val="002E53A9"/>
    <w:rsid w:val="002F1A7B"/>
    <w:rsid w:val="002F4651"/>
    <w:rsid w:val="003134D1"/>
    <w:rsid w:val="003147CA"/>
    <w:rsid w:val="003174B6"/>
    <w:rsid w:val="00317E53"/>
    <w:rsid w:val="0032538E"/>
    <w:rsid w:val="003312F5"/>
    <w:rsid w:val="00334EC1"/>
    <w:rsid w:val="00337590"/>
    <w:rsid w:val="00343E75"/>
    <w:rsid w:val="00346A83"/>
    <w:rsid w:val="0035165D"/>
    <w:rsid w:val="00357501"/>
    <w:rsid w:val="003644C5"/>
    <w:rsid w:val="00380F0D"/>
    <w:rsid w:val="003905A6"/>
    <w:rsid w:val="00395B6B"/>
    <w:rsid w:val="003A4038"/>
    <w:rsid w:val="003A4ECE"/>
    <w:rsid w:val="003B6623"/>
    <w:rsid w:val="003B785A"/>
    <w:rsid w:val="003C2AA2"/>
    <w:rsid w:val="003C461B"/>
    <w:rsid w:val="003C640F"/>
    <w:rsid w:val="003C6586"/>
    <w:rsid w:val="003C7607"/>
    <w:rsid w:val="003D005A"/>
    <w:rsid w:val="003D0D50"/>
    <w:rsid w:val="003D3334"/>
    <w:rsid w:val="003D339B"/>
    <w:rsid w:val="003D63DA"/>
    <w:rsid w:val="003E1C4A"/>
    <w:rsid w:val="003F1688"/>
    <w:rsid w:val="003F2745"/>
    <w:rsid w:val="003F3ABF"/>
    <w:rsid w:val="003F4CD5"/>
    <w:rsid w:val="00404CF4"/>
    <w:rsid w:val="0040543C"/>
    <w:rsid w:val="004116CD"/>
    <w:rsid w:val="00432F07"/>
    <w:rsid w:val="00433A89"/>
    <w:rsid w:val="00442D18"/>
    <w:rsid w:val="004443F6"/>
    <w:rsid w:val="00444DD4"/>
    <w:rsid w:val="004470CE"/>
    <w:rsid w:val="004500CD"/>
    <w:rsid w:val="00460ADD"/>
    <w:rsid w:val="00463A98"/>
    <w:rsid w:val="00467470"/>
    <w:rsid w:val="00470184"/>
    <w:rsid w:val="004717EE"/>
    <w:rsid w:val="004719DC"/>
    <w:rsid w:val="0048271D"/>
    <w:rsid w:val="0048329A"/>
    <w:rsid w:val="00484F2E"/>
    <w:rsid w:val="00487A55"/>
    <w:rsid w:val="004910D8"/>
    <w:rsid w:val="0049283E"/>
    <w:rsid w:val="004A2CDD"/>
    <w:rsid w:val="004A63FC"/>
    <w:rsid w:val="004A6434"/>
    <w:rsid w:val="004B34B2"/>
    <w:rsid w:val="004B4D9C"/>
    <w:rsid w:val="004B72D4"/>
    <w:rsid w:val="004C079C"/>
    <w:rsid w:val="004C6717"/>
    <w:rsid w:val="004C7F4E"/>
    <w:rsid w:val="004D1982"/>
    <w:rsid w:val="004E3177"/>
    <w:rsid w:val="004E34A1"/>
    <w:rsid w:val="004E59BE"/>
    <w:rsid w:val="004E6AB4"/>
    <w:rsid w:val="004F27D9"/>
    <w:rsid w:val="005035F6"/>
    <w:rsid w:val="00505CDB"/>
    <w:rsid w:val="0050652A"/>
    <w:rsid w:val="005076C5"/>
    <w:rsid w:val="005111A7"/>
    <w:rsid w:val="00514016"/>
    <w:rsid w:val="00517D5E"/>
    <w:rsid w:val="00517F91"/>
    <w:rsid w:val="00520E6C"/>
    <w:rsid w:val="0052489B"/>
    <w:rsid w:val="00534505"/>
    <w:rsid w:val="0053694B"/>
    <w:rsid w:val="0054252F"/>
    <w:rsid w:val="00543A1F"/>
    <w:rsid w:val="00546CE4"/>
    <w:rsid w:val="00547F0D"/>
    <w:rsid w:val="00551CF1"/>
    <w:rsid w:val="00552119"/>
    <w:rsid w:val="00560E0D"/>
    <w:rsid w:val="0056150C"/>
    <w:rsid w:val="0056429E"/>
    <w:rsid w:val="0057034E"/>
    <w:rsid w:val="005706B8"/>
    <w:rsid w:val="005750AA"/>
    <w:rsid w:val="00581918"/>
    <w:rsid w:val="00582351"/>
    <w:rsid w:val="005849DF"/>
    <w:rsid w:val="00585123"/>
    <w:rsid w:val="00586C22"/>
    <w:rsid w:val="005913A4"/>
    <w:rsid w:val="00594079"/>
    <w:rsid w:val="0059685F"/>
    <w:rsid w:val="005A0871"/>
    <w:rsid w:val="005B1D83"/>
    <w:rsid w:val="005B220D"/>
    <w:rsid w:val="005B374F"/>
    <w:rsid w:val="005B49ED"/>
    <w:rsid w:val="005B78FC"/>
    <w:rsid w:val="005B7E93"/>
    <w:rsid w:val="005D3239"/>
    <w:rsid w:val="005E3B38"/>
    <w:rsid w:val="005E4164"/>
    <w:rsid w:val="005E45EF"/>
    <w:rsid w:val="005E4D19"/>
    <w:rsid w:val="005E55C6"/>
    <w:rsid w:val="005E7999"/>
    <w:rsid w:val="005E7A2A"/>
    <w:rsid w:val="005F2708"/>
    <w:rsid w:val="005F4B5B"/>
    <w:rsid w:val="005F671B"/>
    <w:rsid w:val="00605AB5"/>
    <w:rsid w:val="00612D80"/>
    <w:rsid w:val="00616C1C"/>
    <w:rsid w:val="00620291"/>
    <w:rsid w:val="00621255"/>
    <w:rsid w:val="00621FCD"/>
    <w:rsid w:val="0062754B"/>
    <w:rsid w:val="00630F4F"/>
    <w:rsid w:val="00631872"/>
    <w:rsid w:val="00643F4D"/>
    <w:rsid w:val="006443BA"/>
    <w:rsid w:val="006546AD"/>
    <w:rsid w:val="00656995"/>
    <w:rsid w:val="00662534"/>
    <w:rsid w:val="00662E00"/>
    <w:rsid w:val="00666A8E"/>
    <w:rsid w:val="006710BC"/>
    <w:rsid w:val="006779CA"/>
    <w:rsid w:val="00681FFF"/>
    <w:rsid w:val="00693D6C"/>
    <w:rsid w:val="006A6285"/>
    <w:rsid w:val="006B0615"/>
    <w:rsid w:val="006B17B8"/>
    <w:rsid w:val="006B602E"/>
    <w:rsid w:val="006B738F"/>
    <w:rsid w:val="006C16ED"/>
    <w:rsid w:val="006C34EE"/>
    <w:rsid w:val="006C3EF3"/>
    <w:rsid w:val="006D17BD"/>
    <w:rsid w:val="006D700F"/>
    <w:rsid w:val="006E400B"/>
    <w:rsid w:val="006E410A"/>
    <w:rsid w:val="006E521F"/>
    <w:rsid w:val="006E75D0"/>
    <w:rsid w:val="006E7A91"/>
    <w:rsid w:val="006F443D"/>
    <w:rsid w:val="006F6898"/>
    <w:rsid w:val="00703694"/>
    <w:rsid w:val="00716340"/>
    <w:rsid w:val="00716D92"/>
    <w:rsid w:val="00717424"/>
    <w:rsid w:val="0072132C"/>
    <w:rsid w:val="00723F1D"/>
    <w:rsid w:val="00724EDB"/>
    <w:rsid w:val="007321E5"/>
    <w:rsid w:val="00743336"/>
    <w:rsid w:val="00744700"/>
    <w:rsid w:val="00744DF1"/>
    <w:rsid w:val="00755DD4"/>
    <w:rsid w:val="0075607C"/>
    <w:rsid w:val="00756473"/>
    <w:rsid w:val="00765DB1"/>
    <w:rsid w:val="00773BF1"/>
    <w:rsid w:val="00775E6A"/>
    <w:rsid w:val="00782F07"/>
    <w:rsid w:val="00792AFB"/>
    <w:rsid w:val="007A071F"/>
    <w:rsid w:val="007A4A5E"/>
    <w:rsid w:val="007A6A8D"/>
    <w:rsid w:val="007A7792"/>
    <w:rsid w:val="007B1E26"/>
    <w:rsid w:val="007B6252"/>
    <w:rsid w:val="007B7C1B"/>
    <w:rsid w:val="007C145C"/>
    <w:rsid w:val="007C417B"/>
    <w:rsid w:val="007C6375"/>
    <w:rsid w:val="007D0396"/>
    <w:rsid w:val="007D435D"/>
    <w:rsid w:val="00800046"/>
    <w:rsid w:val="00805CAB"/>
    <w:rsid w:val="00811BDF"/>
    <w:rsid w:val="00814101"/>
    <w:rsid w:val="00814190"/>
    <w:rsid w:val="0083510B"/>
    <w:rsid w:val="00843434"/>
    <w:rsid w:val="00845CFD"/>
    <w:rsid w:val="0084722B"/>
    <w:rsid w:val="00847BC9"/>
    <w:rsid w:val="008519B9"/>
    <w:rsid w:val="00852F11"/>
    <w:rsid w:val="00854764"/>
    <w:rsid w:val="00863316"/>
    <w:rsid w:val="00873FFA"/>
    <w:rsid w:val="008759B4"/>
    <w:rsid w:val="008808C0"/>
    <w:rsid w:val="0088165E"/>
    <w:rsid w:val="00890429"/>
    <w:rsid w:val="008909EB"/>
    <w:rsid w:val="008A4E56"/>
    <w:rsid w:val="008B526A"/>
    <w:rsid w:val="008C2426"/>
    <w:rsid w:val="008C7022"/>
    <w:rsid w:val="008C7164"/>
    <w:rsid w:val="008C790B"/>
    <w:rsid w:val="008D5BF3"/>
    <w:rsid w:val="008E0DDD"/>
    <w:rsid w:val="008E2168"/>
    <w:rsid w:val="008E3103"/>
    <w:rsid w:val="008E3D97"/>
    <w:rsid w:val="008E3F35"/>
    <w:rsid w:val="008F0267"/>
    <w:rsid w:val="00900AC9"/>
    <w:rsid w:val="00903DC2"/>
    <w:rsid w:val="009058D6"/>
    <w:rsid w:val="00912C0F"/>
    <w:rsid w:val="00921A8D"/>
    <w:rsid w:val="00925AC6"/>
    <w:rsid w:val="0092693B"/>
    <w:rsid w:val="009379E3"/>
    <w:rsid w:val="0094184C"/>
    <w:rsid w:val="00951F24"/>
    <w:rsid w:val="009625B7"/>
    <w:rsid w:val="009742D2"/>
    <w:rsid w:val="00982F5A"/>
    <w:rsid w:val="0098753F"/>
    <w:rsid w:val="0098787B"/>
    <w:rsid w:val="0099401F"/>
    <w:rsid w:val="00994E81"/>
    <w:rsid w:val="00997E2C"/>
    <w:rsid w:val="009A303E"/>
    <w:rsid w:val="009A38C1"/>
    <w:rsid w:val="009A3E30"/>
    <w:rsid w:val="009A4BEC"/>
    <w:rsid w:val="009A5A86"/>
    <w:rsid w:val="009B07B3"/>
    <w:rsid w:val="009D0F49"/>
    <w:rsid w:val="009E445A"/>
    <w:rsid w:val="009E571E"/>
    <w:rsid w:val="00A0017E"/>
    <w:rsid w:val="00A044AB"/>
    <w:rsid w:val="00A046F6"/>
    <w:rsid w:val="00A066A2"/>
    <w:rsid w:val="00A0674C"/>
    <w:rsid w:val="00A11C32"/>
    <w:rsid w:val="00A1225B"/>
    <w:rsid w:val="00A130C0"/>
    <w:rsid w:val="00A1310A"/>
    <w:rsid w:val="00A15E47"/>
    <w:rsid w:val="00A228BD"/>
    <w:rsid w:val="00A23FA6"/>
    <w:rsid w:val="00A24F7C"/>
    <w:rsid w:val="00A275B4"/>
    <w:rsid w:val="00A33C49"/>
    <w:rsid w:val="00A47A1B"/>
    <w:rsid w:val="00A52354"/>
    <w:rsid w:val="00A635A8"/>
    <w:rsid w:val="00A6402F"/>
    <w:rsid w:val="00A72C6C"/>
    <w:rsid w:val="00A8107C"/>
    <w:rsid w:val="00A93896"/>
    <w:rsid w:val="00AA2DE8"/>
    <w:rsid w:val="00AA4919"/>
    <w:rsid w:val="00AB70D2"/>
    <w:rsid w:val="00AC13DA"/>
    <w:rsid w:val="00AD0E51"/>
    <w:rsid w:val="00AD1D66"/>
    <w:rsid w:val="00AD2F13"/>
    <w:rsid w:val="00AE07F8"/>
    <w:rsid w:val="00AE374E"/>
    <w:rsid w:val="00AE6D44"/>
    <w:rsid w:val="00AE759A"/>
    <w:rsid w:val="00AE75D6"/>
    <w:rsid w:val="00AF0F4C"/>
    <w:rsid w:val="00AF382F"/>
    <w:rsid w:val="00AF6F24"/>
    <w:rsid w:val="00B01030"/>
    <w:rsid w:val="00B05906"/>
    <w:rsid w:val="00B07FC6"/>
    <w:rsid w:val="00B1132D"/>
    <w:rsid w:val="00B20185"/>
    <w:rsid w:val="00B27830"/>
    <w:rsid w:val="00B33D07"/>
    <w:rsid w:val="00B3702C"/>
    <w:rsid w:val="00B37151"/>
    <w:rsid w:val="00B407D6"/>
    <w:rsid w:val="00B40AC8"/>
    <w:rsid w:val="00B46FE6"/>
    <w:rsid w:val="00B55848"/>
    <w:rsid w:val="00B56918"/>
    <w:rsid w:val="00B62073"/>
    <w:rsid w:val="00B626DA"/>
    <w:rsid w:val="00B64556"/>
    <w:rsid w:val="00B7210C"/>
    <w:rsid w:val="00B8257E"/>
    <w:rsid w:val="00B83754"/>
    <w:rsid w:val="00B8629F"/>
    <w:rsid w:val="00B951CA"/>
    <w:rsid w:val="00B953FB"/>
    <w:rsid w:val="00BA0706"/>
    <w:rsid w:val="00BA6518"/>
    <w:rsid w:val="00BB0782"/>
    <w:rsid w:val="00BB1819"/>
    <w:rsid w:val="00BB193A"/>
    <w:rsid w:val="00BB3354"/>
    <w:rsid w:val="00BB4754"/>
    <w:rsid w:val="00BB5FEC"/>
    <w:rsid w:val="00BC7DD2"/>
    <w:rsid w:val="00BD0DFE"/>
    <w:rsid w:val="00BD5326"/>
    <w:rsid w:val="00BE2DDB"/>
    <w:rsid w:val="00BE3E0F"/>
    <w:rsid w:val="00BF0E62"/>
    <w:rsid w:val="00BF7AD0"/>
    <w:rsid w:val="00C06C3C"/>
    <w:rsid w:val="00C07EE1"/>
    <w:rsid w:val="00C11B66"/>
    <w:rsid w:val="00C1506D"/>
    <w:rsid w:val="00C1739E"/>
    <w:rsid w:val="00C24413"/>
    <w:rsid w:val="00C35635"/>
    <w:rsid w:val="00C36434"/>
    <w:rsid w:val="00C36598"/>
    <w:rsid w:val="00C40253"/>
    <w:rsid w:val="00C42878"/>
    <w:rsid w:val="00C4337E"/>
    <w:rsid w:val="00C500C2"/>
    <w:rsid w:val="00C53AEB"/>
    <w:rsid w:val="00C57BC4"/>
    <w:rsid w:val="00C618B0"/>
    <w:rsid w:val="00C626B4"/>
    <w:rsid w:val="00C62E6B"/>
    <w:rsid w:val="00C64F1A"/>
    <w:rsid w:val="00C72EDE"/>
    <w:rsid w:val="00C77F75"/>
    <w:rsid w:val="00C90011"/>
    <w:rsid w:val="00C93B0B"/>
    <w:rsid w:val="00C94AF2"/>
    <w:rsid w:val="00C96003"/>
    <w:rsid w:val="00CA2343"/>
    <w:rsid w:val="00CA2798"/>
    <w:rsid w:val="00CA3480"/>
    <w:rsid w:val="00CA34BA"/>
    <w:rsid w:val="00CA6339"/>
    <w:rsid w:val="00CA7D23"/>
    <w:rsid w:val="00CB0749"/>
    <w:rsid w:val="00CB0C3D"/>
    <w:rsid w:val="00CC3184"/>
    <w:rsid w:val="00CC5E3F"/>
    <w:rsid w:val="00CC6EB9"/>
    <w:rsid w:val="00CD03D5"/>
    <w:rsid w:val="00CD0E5E"/>
    <w:rsid w:val="00CD388C"/>
    <w:rsid w:val="00CE4597"/>
    <w:rsid w:val="00CE5D8E"/>
    <w:rsid w:val="00CF3793"/>
    <w:rsid w:val="00D122EE"/>
    <w:rsid w:val="00D1390B"/>
    <w:rsid w:val="00D23E80"/>
    <w:rsid w:val="00D27EAF"/>
    <w:rsid w:val="00D323EC"/>
    <w:rsid w:val="00D33804"/>
    <w:rsid w:val="00D3537B"/>
    <w:rsid w:val="00D35728"/>
    <w:rsid w:val="00D457F5"/>
    <w:rsid w:val="00D47F96"/>
    <w:rsid w:val="00D50B26"/>
    <w:rsid w:val="00D51F1A"/>
    <w:rsid w:val="00D57CD7"/>
    <w:rsid w:val="00D60695"/>
    <w:rsid w:val="00D60B13"/>
    <w:rsid w:val="00D61BF0"/>
    <w:rsid w:val="00D70287"/>
    <w:rsid w:val="00D764E8"/>
    <w:rsid w:val="00D82C35"/>
    <w:rsid w:val="00D8459D"/>
    <w:rsid w:val="00D94524"/>
    <w:rsid w:val="00DA08C2"/>
    <w:rsid w:val="00DA13CF"/>
    <w:rsid w:val="00DB48BA"/>
    <w:rsid w:val="00DB6E81"/>
    <w:rsid w:val="00DC1A7B"/>
    <w:rsid w:val="00DD26EB"/>
    <w:rsid w:val="00DD64DA"/>
    <w:rsid w:val="00DD7FE0"/>
    <w:rsid w:val="00DE2449"/>
    <w:rsid w:val="00DE2FE2"/>
    <w:rsid w:val="00DE4B3C"/>
    <w:rsid w:val="00DF0E67"/>
    <w:rsid w:val="00DF3066"/>
    <w:rsid w:val="00DF56EF"/>
    <w:rsid w:val="00E011EE"/>
    <w:rsid w:val="00E07144"/>
    <w:rsid w:val="00E108D8"/>
    <w:rsid w:val="00E20F92"/>
    <w:rsid w:val="00E2549E"/>
    <w:rsid w:val="00E3277D"/>
    <w:rsid w:val="00E3441E"/>
    <w:rsid w:val="00E34A12"/>
    <w:rsid w:val="00E368A9"/>
    <w:rsid w:val="00E45B7C"/>
    <w:rsid w:val="00E50636"/>
    <w:rsid w:val="00E538C0"/>
    <w:rsid w:val="00E625F3"/>
    <w:rsid w:val="00E6381A"/>
    <w:rsid w:val="00E65A04"/>
    <w:rsid w:val="00E75B4B"/>
    <w:rsid w:val="00E8110C"/>
    <w:rsid w:val="00E85469"/>
    <w:rsid w:val="00E86974"/>
    <w:rsid w:val="00E87F52"/>
    <w:rsid w:val="00EA4D8E"/>
    <w:rsid w:val="00EA7D05"/>
    <w:rsid w:val="00EB2DA5"/>
    <w:rsid w:val="00EB5A47"/>
    <w:rsid w:val="00EC3794"/>
    <w:rsid w:val="00EC42AA"/>
    <w:rsid w:val="00ED0FF9"/>
    <w:rsid w:val="00ED31E0"/>
    <w:rsid w:val="00ED53A3"/>
    <w:rsid w:val="00ED621B"/>
    <w:rsid w:val="00ED7504"/>
    <w:rsid w:val="00ED7ED2"/>
    <w:rsid w:val="00EF0879"/>
    <w:rsid w:val="00EF0C96"/>
    <w:rsid w:val="00EF3F7E"/>
    <w:rsid w:val="00EF5943"/>
    <w:rsid w:val="00EF6D73"/>
    <w:rsid w:val="00F00144"/>
    <w:rsid w:val="00F03148"/>
    <w:rsid w:val="00F03751"/>
    <w:rsid w:val="00F043FC"/>
    <w:rsid w:val="00F10F76"/>
    <w:rsid w:val="00F14E4F"/>
    <w:rsid w:val="00F14EAA"/>
    <w:rsid w:val="00F31879"/>
    <w:rsid w:val="00F32A03"/>
    <w:rsid w:val="00F32E87"/>
    <w:rsid w:val="00F379EF"/>
    <w:rsid w:val="00F37B23"/>
    <w:rsid w:val="00F41D61"/>
    <w:rsid w:val="00F42E12"/>
    <w:rsid w:val="00F46F39"/>
    <w:rsid w:val="00F50021"/>
    <w:rsid w:val="00F5518B"/>
    <w:rsid w:val="00F578DF"/>
    <w:rsid w:val="00F57B9B"/>
    <w:rsid w:val="00F64D36"/>
    <w:rsid w:val="00F6765F"/>
    <w:rsid w:val="00F7057E"/>
    <w:rsid w:val="00F80845"/>
    <w:rsid w:val="00F85DE6"/>
    <w:rsid w:val="00F91C6C"/>
    <w:rsid w:val="00F93051"/>
    <w:rsid w:val="00F9310D"/>
    <w:rsid w:val="00FC2572"/>
    <w:rsid w:val="00FD47F8"/>
    <w:rsid w:val="00FD5EE3"/>
    <w:rsid w:val="00FD6E79"/>
    <w:rsid w:val="00FD7F14"/>
    <w:rsid w:val="00FE22E8"/>
    <w:rsid w:val="00FE7FF5"/>
    <w:rsid w:val="00FF3D86"/>
    <w:rsid w:val="00FF4CBD"/>
    <w:rsid w:val="00FF5FDE"/>
    <w:rsid w:val="00FF690D"/>
    <w:rsid w:val="00FF6E74"/>
    <w:rsid w:val="0EA04E0A"/>
    <w:rsid w:val="12487F89"/>
    <w:rsid w:val="127D06A0"/>
    <w:rsid w:val="12DB66FD"/>
    <w:rsid w:val="1508705F"/>
    <w:rsid w:val="17E5515A"/>
    <w:rsid w:val="1AFF24AC"/>
    <w:rsid w:val="1D084C67"/>
    <w:rsid w:val="204571E2"/>
    <w:rsid w:val="27353F3E"/>
    <w:rsid w:val="287E2C7B"/>
    <w:rsid w:val="2E8F6014"/>
    <w:rsid w:val="3BF86FA0"/>
    <w:rsid w:val="41CD3503"/>
    <w:rsid w:val="489C6B0F"/>
    <w:rsid w:val="6211323E"/>
    <w:rsid w:val="66E54AF6"/>
    <w:rsid w:val="6AF0333F"/>
    <w:rsid w:val="6B33736F"/>
    <w:rsid w:val="7090169A"/>
    <w:rsid w:val="BBFF7893"/>
    <w:rsid w:val="BC77AA7C"/>
    <w:rsid w:val="EE7B61D6"/>
    <w:rsid w:val="FF798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39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3">
    <w:name w:val="annotation text"/>
    <w:basedOn w:val="1"/>
    <w:link w:val="54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qFormat/>
    <w:uiPriority w:val="1"/>
    <w:pPr>
      <w:spacing w:line="480" w:lineRule="auto"/>
      <w:ind w:firstLine="0" w:firstLineChars="0"/>
      <w:jc w:val="center"/>
    </w:pPr>
    <w:rPr>
      <w:rFonts w:ascii="黑体" w:hAnsi="黑体" w:eastAsia="黑体"/>
      <w:bCs/>
      <w:szCs w:val="32"/>
    </w:rPr>
  </w:style>
  <w:style w:type="paragraph" w:styleId="5">
    <w:name w:val="Body Text Indent"/>
    <w:basedOn w:val="1"/>
    <w:link w:val="39"/>
    <w:semiHidden/>
    <w:unhideWhenUsed/>
    <w:qFormat/>
    <w:uiPriority w:val="99"/>
    <w:pPr>
      <w:spacing w:after="120"/>
      <w:ind w:left="420" w:leftChars="200"/>
    </w:pPr>
  </w:style>
  <w:style w:type="paragraph" w:styleId="6">
    <w:name w:val="toc 5"/>
    <w:basedOn w:val="1"/>
    <w:next w:val="1"/>
    <w:unhideWhenUsed/>
    <w:qFormat/>
    <w:uiPriority w:val="39"/>
    <w:pPr>
      <w:ind w:left="1280"/>
      <w:jc w:val="left"/>
    </w:pPr>
    <w:rPr>
      <w:rFonts w:asciiTheme="minorHAnsi" w:eastAsiaTheme="minorHAnsi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640"/>
      <w:jc w:val="left"/>
    </w:pPr>
    <w:rPr>
      <w:rFonts w:asciiTheme="minorHAnsi" w:eastAsiaTheme="minorHAnsi"/>
      <w:i/>
      <w:iCs/>
      <w:sz w:val="20"/>
      <w:szCs w:val="20"/>
    </w:rPr>
  </w:style>
  <w:style w:type="paragraph" w:styleId="8">
    <w:name w:val="toc 8"/>
    <w:basedOn w:val="1"/>
    <w:next w:val="1"/>
    <w:unhideWhenUsed/>
    <w:qFormat/>
    <w:uiPriority w:val="39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link w:val="42"/>
    <w:qFormat/>
    <w:uiPriority w:val="39"/>
    <w:pPr>
      <w:spacing w:before="120" w:after="120"/>
      <w:jc w:val="left"/>
    </w:pPr>
    <w:rPr>
      <w:rFonts w:ascii="Times New Roman" w:hAnsi="Times New Roman" w:eastAsia="黑体"/>
      <w:b/>
      <w:bCs/>
      <w:caps/>
      <w:sz w:val="24"/>
      <w:szCs w:val="20"/>
    </w:rPr>
  </w:style>
  <w:style w:type="paragraph" w:styleId="12">
    <w:name w:val="toc 4"/>
    <w:basedOn w:val="1"/>
    <w:next w:val="1"/>
    <w:unhideWhenUsed/>
    <w:qFormat/>
    <w:uiPriority w:val="39"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13">
    <w:name w:val="Subtitle"/>
    <w:basedOn w:val="1"/>
    <w:next w:val="1"/>
    <w:link w:val="29"/>
    <w:qFormat/>
    <w:uiPriority w:val="0"/>
    <w:pPr>
      <w:spacing w:line="240" w:lineRule="auto"/>
      <w:ind w:firstLine="0" w:firstLineChars="0"/>
      <w:jc w:val="center"/>
      <w:outlineLvl w:val="1"/>
    </w:pPr>
    <w:rPr>
      <w:rFonts w:eastAsia="黑体" w:asciiTheme="minorHAnsi" w:hAnsiTheme="minorHAnsi" w:cstheme="minorBidi"/>
      <w:bCs/>
      <w:kern w:val="28"/>
      <w:sz w:val="36"/>
      <w:szCs w:val="32"/>
    </w:rPr>
  </w:style>
  <w:style w:type="paragraph" w:styleId="14">
    <w:name w:val="toc 6"/>
    <w:basedOn w:val="1"/>
    <w:next w:val="1"/>
    <w:unhideWhenUsed/>
    <w:qFormat/>
    <w:uiPriority w:val="39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15">
    <w:name w:val="toc 2"/>
    <w:basedOn w:val="1"/>
    <w:next w:val="1"/>
    <w:qFormat/>
    <w:uiPriority w:val="39"/>
    <w:pPr>
      <w:ind w:left="320"/>
      <w:jc w:val="left"/>
    </w:pPr>
    <w:rPr>
      <w:rFonts w:eastAsia="楷体_GB2312" w:asciiTheme="minorHAnsi"/>
      <w:smallCaps/>
      <w:sz w:val="24"/>
      <w:szCs w:val="20"/>
    </w:rPr>
  </w:style>
  <w:style w:type="paragraph" w:styleId="16">
    <w:name w:val="toc 9"/>
    <w:basedOn w:val="1"/>
    <w:next w:val="1"/>
    <w:unhideWhenUsed/>
    <w:qFormat/>
    <w:uiPriority w:val="39"/>
    <w:pPr>
      <w:ind w:left="2560"/>
      <w:jc w:val="left"/>
    </w:pPr>
    <w:rPr>
      <w:rFonts w:asciiTheme="minorHAnsi" w:eastAsiaTheme="minorHAnsi"/>
      <w:sz w:val="18"/>
      <w:szCs w:val="18"/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link w:val="30"/>
    <w:qFormat/>
    <w:uiPriority w:val="0"/>
    <w:pPr>
      <w:spacing w:before="240" w:after="60"/>
      <w:ind w:firstLine="0" w:firstLineChars="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paragraph" w:styleId="19">
    <w:name w:val="annotation subject"/>
    <w:basedOn w:val="3"/>
    <w:next w:val="3"/>
    <w:link w:val="55"/>
    <w:semiHidden/>
    <w:unhideWhenUsed/>
    <w:qFormat/>
    <w:uiPriority w:val="99"/>
    <w:rPr>
      <w:b/>
      <w:bCs/>
    </w:rPr>
  </w:style>
  <w:style w:type="paragraph" w:styleId="20">
    <w:name w:val="Body Text First Indent 2"/>
    <w:basedOn w:val="5"/>
    <w:link w:val="40"/>
    <w:semiHidden/>
    <w:unhideWhenUsed/>
    <w:qFormat/>
    <w:uiPriority w:val="99"/>
    <w:pPr>
      <w:ind w:firstLine="420"/>
    </w:pPr>
  </w:style>
  <w:style w:type="table" w:styleId="22">
    <w:name w:val="Table Grid"/>
    <w:basedOn w:val="21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customStyle="1" w:styleId="26">
    <w:name w:val="正文文本 字符"/>
    <w:basedOn w:val="23"/>
    <w:link w:val="4"/>
    <w:qFormat/>
    <w:uiPriority w:val="1"/>
    <w:rPr>
      <w:rFonts w:ascii="黑体" w:hAnsi="黑体" w:eastAsia="黑体" w:cs="Times New Roman"/>
      <w:bCs/>
      <w:sz w:val="32"/>
      <w:szCs w:val="32"/>
      <w14:ligatures w14:val="none"/>
    </w:rPr>
  </w:style>
  <w:style w:type="character" w:customStyle="1" w:styleId="27">
    <w:name w:val="页脚 字符"/>
    <w:basedOn w:val="23"/>
    <w:link w:val="9"/>
    <w:qFormat/>
    <w:uiPriority w:val="99"/>
    <w:rPr>
      <w:rFonts w:ascii="仿宋_GB2312" w:hAnsi="仿宋_GB2312" w:eastAsia="仿宋_GB2312" w:cs="Times New Roman"/>
      <w:sz w:val="18"/>
      <w14:ligatures w14:val="none"/>
    </w:rPr>
  </w:style>
  <w:style w:type="character" w:customStyle="1" w:styleId="28">
    <w:name w:val="页眉 字符"/>
    <w:basedOn w:val="23"/>
    <w:link w:val="10"/>
    <w:qFormat/>
    <w:uiPriority w:val="0"/>
    <w:rPr>
      <w:rFonts w:ascii="仿宋_GB2312" w:hAnsi="仿宋_GB2312" w:eastAsia="仿宋_GB2312" w:cs="Times New Roman"/>
      <w:sz w:val="18"/>
      <w14:ligatures w14:val="none"/>
    </w:rPr>
  </w:style>
  <w:style w:type="character" w:customStyle="1" w:styleId="29">
    <w:name w:val="副标题 字符"/>
    <w:basedOn w:val="23"/>
    <w:link w:val="13"/>
    <w:qFormat/>
    <w:uiPriority w:val="0"/>
    <w:rPr>
      <w:rFonts w:eastAsia="黑体"/>
      <w:bCs/>
      <w:kern w:val="28"/>
      <w:sz w:val="36"/>
      <w:szCs w:val="32"/>
      <w14:ligatures w14:val="none"/>
    </w:rPr>
  </w:style>
  <w:style w:type="character" w:customStyle="1" w:styleId="30">
    <w:name w:val="标题 字符"/>
    <w:basedOn w:val="23"/>
    <w:link w:val="18"/>
    <w:qFormat/>
    <w:uiPriority w:val="0"/>
    <w:rPr>
      <w:rFonts w:eastAsia="方正小标宋简体" w:asciiTheme="majorHAnsi" w:hAnsiTheme="majorHAnsi" w:cstheme="majorBidi"/>
      <w:bCs/>
      <w:sz w:val="44"/>
      <w:szCs w:val="32"/>
      <w14:ligatures w14:val="none"/>
    </w:rPr>
  </w:style>
  <w:style w:type="paragraph" w:customStyle="1" w:styleId="31">
    <w:name w:val="！章前空格"/>
    <w:basedOn w:val="20"/>
    <w:link w:val="32"/>
    <w:qFormat/>
    <w:uiPriority w:val="0"/>
    <w:pPr>
      <w:spacing w:after="0" w:line="240" w:lineRule="auto"/>
      <w:ind w:left="0" w:leftChars="0" w:firstLine="0" w:firstLineChars="0"/>
      <w:jc w:val="left"/>
    </w:pPr>
    <w:rPr>
      <w:rFonts w:ascii="Times New Roman" w:hAnsi="Times New Roman" w:eastAsia="仿宋"/>
      <w:sz w:val="21"/>
      <w:szCs w:val="24"/>
    </w:rPr>
  </w:style>
  <w:style w:type="character" w:customStyle="1" w:styleId="32">
    <w:name w:val="！章前空格 字符"/>
    <w:link w:val="31"/>
    <w:qFormat/>
    <w:uiPriority w:val="0"/>
    <w:rPr>
      <w:rFonts w:ascii="Times New Roman" w:hAnsi="Times New Roman" w:eastAsia="仿宋" w:cs="Times New Roman"/>
      <w:szCs w:val="24"/>
      <w14:ligatures w14:val="none"/>
    </w:rPr>
  </w:style>
  <w:style w:type="paragraph" w:customStyle="1" w:styleId="33">
    <w:name w:val="列表段落3"/>
    <w:basedOn w:val="1"/>
    <w:link w:val="45"/>
    <w:unhideWhenUsed/>
    <w:qFormat/>
    <w:uiPriority w:val="99"/>
    <w:pPr>
      <w:ind w:firstLine="420"/>
    </w:pPr>
  </w:style>
  <w:style w:type="paragraph" w:customStyle="1" w:styleId="34">
    <w:name w:val="!表格名称"/>
    <w:basedOn w:val="1"/>
    <w:link w:val="35"/>
    <w:qFormat/>
    <w:uiPriority w:val="0"/>
    <w:pPr>
      <w:spacing w:line="240" w:lineRule="auto"/>
      <w:ind w:firstLine="0" w:firstLineChars="0"/>
      <w:jc w:val="center"/>
    </w:pPr>
    <w:rPr>
      <w:b/>
      <w:bCs/>
      <w:sz w:val="24"/>
    </w:rPr>
  </w:style>
  <w:style w:type="character" w:customStyle="1" w:styleId="35">
    <w:name w:val="!表格名称 字符"/>
    <w:basedOn w:val="23"/>
    <w:link w:val="34"/>
    <w:qFormat/>
    <w:uiPriority w:val="0"/>
    <w:rPr>
      <w:rFonts w:ascii="仿宋_GB2312" w:hAnsi="仿宋_GB2312" w:eastAsia="仿宋_GB2312" w:cs="Times New Roman"/>
      <w:b/>
      <w:bCs/>
      <w:sz w:val="24"/>
      <w14:ligatures w14:val="none"/>
    </w:rPr>
  </w:style>
  <w:style w:type="paragraph" w:customStyle="1" w:styleId="36">
    <w:name w:val="!正文"/>
    <w:basedOn w:val="1"/>
    <w:link w:val="37"/>
    <w:qFormat/>
    <w:uiPriority w:val="0"/>
  </w:style>
  <w:style w:type="character" w:customStyle="1" w:styleId="37">
    <w:name w:val="!正文 Char"/>
    <w:basedOn w:val="26"/>
    <w:link w:val="36"/>
    <w:qFormat/>
    <w:uiPriority w:val="0"/>
    <w:rPr>
      <w:rFonts w:ascii="仿宋_GB2312" w:hAnsi="仿宋_GB2312" w:eastAsia="仿宋_GB2312" w:cs="Times New Roman"/>
      <w:bCs w:val="0"/>
      <w:sz w:val="32"/>
      <w:szCs w:val="32"/>
      <w14:ligatures w14:val="none"/>
    </w:rPr>
  </w:style>
  <w:style w:type="paragraph" w:styleId="38">
    <w:name w:val="List Paragraph"/>
    <w:basedOn w:val="1"/>
    <w:link w:val="48"/>
    <w:unhideWhenUsed/>
    <w:qFormat/>
    <w:uiPriority w:val="99"/>
    <w:pPr>
      <w:ind w:firstLine="420"/>
    </w:pPr>
  </w:style>
  <w:style w:type="character" w:customStyle="1" w:styleId="39">
    <w:name w:val="正文文本缩进 字符"/>
    <w:basedOn w:val="23"/>
    <w:link w:val="5"/>
    <w:semiHidden/>
    <w:qFormat/>
    <w:uiPriority w:val="99"/>
    <w:rPr>
      <w:rFonts w:ascii="仿宋_GB2312" w:hAnsi="仿宋_GB2312" w:eastAsia="仿宋_GB2312" w:cs="Times New Roman"/>
      <w:sz w:val="32"/>
      <w14:ligatures w14:val="none"/>
    </w:rPr>
  </w:style>
  <w:style w:type="character" w:customStyle="1" w:styleId="40">
    <w:name w:val="正文文本首行缩进 2 字符"/>
    <w:basedOn w:val="39"/>
    <w:link w:val="20"/>
    <w:semiHidden/>
    <w:qFormat/>
    <w:uiPriority w:val="99"/>
    <w:rPr>
      <w:rFonts w:ascii="仿宋_GB2312" w:hAnsi="仿宋_GB2312" w:eastAsia="仿宋_GB2312" w:cs="Times New Roman"/>
      <w:sz w:val="32"/>
      <w14:ligatures w14:val="none"/>
    </w:rPr>
  </w:style>
  <w:style w:type="paragraph" w:customStyle="1" w:styleId="41">
    <w:name w:val="目录"/>
    <w:basedOn w:val="11"/>
    <w:link w:val="43"/>
    <w:qFormat/>
    <w:uiPriority w:val="0"/>
    <w:pPr>
      <w:spacing w:before="200" w:line="360" w:lineRule="auto"/>
      <w:ind w:firstLine="200"/>
    </w:pPr>
  </w:style>
  <w:style w:type="character" w:customStyle="1" w:styleId="42">
    <w:name w:val="TOC 1 字符"/>
    <w:basedOn w:val="23"/>
    <w:link w:val="11"/>
    <w:qFormat/>
    <w:uiPriority w:val="39"/>
    <w:rPr>
      <w:rFonts w:ascii="Times New Roman" w:hAnsi="Times New Roman" w:eastAsia="黑体" w:cs="Times New Roman"/>
      <w:b/>
      <w:bCs/>
      <w:caps/>
      <w:sz w:val="24"/>
      <w:szCs w:val="20"/>
      <w14:ligatures w14:val="none"/>
    </w:rPr>
  </w:style>
  <w:style w:type="character" w:customStyle="1" w:styleId="43">
    <w:name w:val="目录 Char"/>
    <w:basedOn w:val="42"/>
    <w:link w:val="41"/>
    <w:qFormat/>
    <w:uiPriority w:val="0"/>
    <w:rPr>
      <w:rFonts w:hAnsi="仿宋_GB2312" w:cs="Times New Roman" w:asciiTheme="majorHAnsi" w:eastAsiaTheme="majorHAnsi"/>
      <w:sz w:val="24"/>
      <w:szCs w:val="24"/>
      <w14:ligatures w14:val="none"/>
    </w:rPr>
  </w:style>
  <w:style w:type="paragraph" w:customStyle="1" w:styleId="44">
    <w:name w:val="!一级标题"/>
    <w:basedOn w:val="33"/>
    <w:next w:val="1"/>
    <w:link w:val="46"/>
    <w:qFormat/>
    <w:uiPriority w:val="0"/>
    <w:pPr>
      <w:numPr>
        <w:ilvl w:val="0"/>
        <w:numId w:val="1"/>
      </w:numPr>
      <w:ind w:firstLine="200"/>
      <w:outlineLvl w:val="0"/>
    </w:pPr>
    <w:rPr>
      <w:rFonts w:ascii="黑体" w:hAnsi="黑体" w:eastAsia="黑体"/>
    </w:rPr>
  </w:style>
  <w:style w:type="character" w:customStyle="1" w:styleId="45">
    <w:name w:val="列表段落3 Char"/>
    <w:basedOn w:val="23"/>
    <w:link w:val="33"/>
    <w:qFormat/>
    <w:uiPriority w:val="99"/>
    <w:rPr>
      <w:rFonts w:ascii="仿宋_GB2312" w:hAnsi="仿宋_GB2312" w:eastAsia="仿宋_GB2312" w:cs="Times New Roman"/>
      <w:sz w:val="32"/>
      <w14:ligatures w14:val="none"/>
    </w:rPr>
  </w:style>
  <w:style w:type="character" w:customStyle="1" w:styleId="46">
    <w:name w:val="!一级标题 Char"/>
    <w:basedOn w:val="45"/>
    <w:link w:val="44"/>
    <w:qFormat/>
    <w:uiPriority w:val="0"/>
    <w:rPr>
      <w:rFonts w:ascii="黑体" w:hAnsi="黑体" w:eastAsia="黑体" w:cs="Times New Roman"/>
      <w:sz w:val="32"/>
      <w14:ligatures w14:val="none"/>
    </w:rPr>
  </w:style>
  <w:style w:type="paragraph" w:customStyle="1" w:styleId="47">
    <w:name w:val="!二级标题"/>
    <w:basedOn w:val="38"/>
    <w:next w:val="1"/>
    <w:link w:val="49"/>
    <w:qFormat/>
    <w:uiPriority w:val="0"/>
    <w:pPr>
      <w:numPr>
        <w:ilvl w:val="0"/>
        <w:numId w:val="2"/>
      </w:numPr>
      <w:ind w:firstLine="0" w:firstLineChars="0"/>
      <w:outlineLvl w:val="1"/>
    </w:pPr>
    <w:rPr>
      <w:rFonts w:eastAsia="楷体_GB2312" w:cs="仿宋_GB2312"/>
      <w:b/>
      <w:bCs/>
    </w:rPr>
  </w:style>
  <w:style w:type="character" w:customStyle="1" w:styleId="48">
    <w:name w:val="列表段落 字符"/>
    <w:basedOn w:val="23"/>
    <w:link w:val="38"/>
    <w:qFormat/>
    <w:uiPriority w:val="99"/>
    <w:rPr>
      <w:rFonts w:ascii="仿宋_GB2312" w:hAnsi="仿宋_GB2312" w:eastAsia="仿宋_GB2312" w:cs="Times New Roman"/>
      <w:sz w:val="32"/>
      <w14:ligatures w14:val="none"/>
    </w:rPr>
  </w:style>
  <w:style w:type="character" w:customStyle="1" w:styleId="49">
    <w:name w:val="!二级标题 Char"/>
    <w:basedOn w:val="48"/>
    <w:link w:val="47"/>
    <w:qFormat/>
    <w:uiPriority w:val="0"/>
    <w:rPr>
      <w:rFonts w:ascii="仿宋_GB2312" w:hAnsi="仿宋_GB2312" w:eastAsia="楷体_GB2312" w:cs="仿宋_GB2312"/>
      <w:b/>
      <w:bCs/>
      <w:sz w:val="32"/>
      <w14:ligatures w14:val="none"/>
    </w:rPr>
  </w:style>
  <w:style w:type="paragraph" w:customStyle="1" w:styleId="50">
    <w:name w:val="!三级标题"/>
    <w:basedOn w:val="1"/>
    <w:link w:val="51"/>
    <w:qFormat/>
    <w:uiPriority w:val="0"/>
    <w:pPr>
      <w:ind w:firstLine="643"/>
    </w:pPr>
    <w:rPr>
      <w:rFonts w:ascii="Times New Roman" w:hAnsi="Times New Roman"/>
      <w:b/>
      <w:bCs/>
    </w:rPr>
  </w:style>
  <w:style w:type="character" w:customStyle="1" w:styleId="51">
    <w:name w:val="!三级标题 Char"/>
    <w:basedOn w:val="45"/>
    <w:link w:val="50"/>
    <w:qFormat/>
    <w:uiPriority w:val="0"/>
    <w:rPr>
      <w:rFonts w:ascii="Times New Roman" w:hAnsi="Times New Roman" w:eastAsia="仿宋_GB2312" w:cs="Times New Roman"/>
      <w:b/>
      <w:bCs/>
      <w:sz w:val="32"/>
      <w14:ligatures w14:val="none"/>
    </w:rPr>
  </w:style>
  <w:style w:type="paragraph" w:customStyle="1" w:styleId="52">
    <w:name w:val="石家庄-正文"/>
    <w:basedOn w:val="1"/>
    <w:link w:val="53"/>
    <w:qFormat/>
    <w:uiPriority w:val="0"/>
    <w:pPr>
      <w:widowControl/>
      <w:adjustRightInd w:val="0"/>
      <w:snapToGrid w:val="0"/>
      <w:spacing w:line="360" w:lineRule="auto"/>
      <w:ind w:firstLine="200"/>
    </w:pPr>
    <w:rPr>
      <w:rFonts w:ascii="Times New Roman" w:hAnsi="Times New Roman" w:eastAsia="宋体" w:cs="宋体"/>
      <w:kern w:val="0"/>
      <w:sz w:val="28"/>
      <w:szCs w:val="24"/>
    </w:rPr>
  </w:style>
  <w:style w:type="character" w:customStyle="1" w:styleId="53">
    <w:name w:val="石家庄-正文 字符"/>
    <w:basedOn w:val="23"/>
    <w:link w:val="52"/>
    <w:qFormat/>
    <w:uiPriority w:val="0"/>
    <w:rPr>
      <w:rFonts w:ascii="Times New Roman" w:hAnsi="Times New Roman" w:eastAsia="宋体" w:cs="宋体"/>
      <w:kern w:val="0"/>
      <w:sz w:val="28"/>
      <w:szCs w:val="24"/>
      <w14:ligatures w14:val="none"/>
    </w:rPr>
  </w:style>
  <w:style w:type="character" w:customStyle="1" w:styleId="54">
    <w:name w:val="批注文字 字符"/>
    <w:basedOn w:val="23"/>
    <w:link w:val="3"/>
    <w:semiHidden/>
    <w:qFormat/>
    <w:uiPriority w:val="99"/>
    <w:rPr>
      <w:rFonts w:ascii="仿宋_GB2312" w:hAnsi="仿宋_GB2312" w:eastAsia="仿宋_GB2312" w:cs="Times New Roman"/>
      <w:sz w:val="32"/>
      <w14:ligatures w14:val="none"/>
    </w:rPr>
  </w:style>
  <w:style w:type="character" w:customStyle="1" w:styleId="55">
    <w:name w:val="批注主题 字符"/>
    <w:basedOn w:val="54"/>
    <w:link w:val="19"/>
    <w:semiHidden/>
    <w:qFormat/>
    <w:uiPriority w:val="99"/>
    <w:rPr>
      <w:rFonts w:ascii="仿宋_GB2312" w:hAnsi="仿宋_GB2312" w:eastAsia="仿宋_GB2312" w:cs="Times New Roman"/>
      <w:b/>
      <w:bCs/>
      <w:sz w:val="32"/>
      <w14:ligatures w14:val="none"/>
    </w:rPr>
  </w:style>
  <w:style w:type="paragraph" w:customStyle="1" w:styleId="56">
    <w:name w:val="!表格文字"/>
    <w:basedOn w:val="1"/>
    <w:link w:val="57"/>
    <w:qFormat/>
    <w:uiPriority w:val="0"/>
    <w:pPr>
      <w:spacing w:line="240" w:lineRule="auto"/>
      <w:ind w:firstLine="0" w:firstLineChars="0"/>
      <w:jc w:val="center"/>
    </w:pPr>
    <w:rPr>
      <w:sz w:val="24"/>
    </w:rPr>
  </w:style>
  <w:style w:type="character" w:customStyle="1" w:styleId="57">
    <w:name w:val="!表格文字 字符"/>
    <w:basedOn w:val="23"/>
    <w:link w:val="56"/>
    <w:qFormat/>
    <w:uiPriority w:val="0"/>
    <w:rPr>
      <w:rFonts w:ascii="仿宋_GB2312" w:hAnsi="仿宋_GB2312" w:eastAsia="仿宋_GB2312" w:cs="Times New Roman"/>
      <w:sz w:val="24"/>
      <w14:ligatures w14:val="none"/>
    </w:rPr>
  </w:style>
  <w:style w:type="paragraph" w:customStyle="1" w:styleId="58">
    <w:name w:val="!表格文字标题行"/>
    <w:basedOn w:val="56"/>
    <w:link w:val="59"/>
    <w:qFormat/>
    <w:uiPriority w:val="0"/>
    <w:rPr>
      <w:b/>
      <w:bCs/>
    </w:rPr>
  </w:style>
  <w:style w:type="character" w:customStyle="1" w:styleId="59">
    <w:name w:val="!表格文字标题行 字符"/>
    <w:basedOn w:val="57"/>
    <w:link w:val="58"/>
    <w:qFormat/>
    <w:uiPriority w:val="0"/>
    <w:rPr>
      <w:rFonts w:ascii="仿宋_GB2312" w:hAnsi="仿宋_GB2312" w:eastAsia="仿宋_GB2312" w:cs="Times New Roman"/>
      <w:b/>
      <w:bCs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1064</Characters>
  <Lines>104</Lines>
  <Paragraphs>29</Paragraphs>
  <TotalTime>3</TotalTime>
  <ScaleCrop>false</ScaleCrop>
  <LinksUpToDate>false</LinksUpToDate>
  <CharactersWithSpaces>1064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2024-10-28T12:15:00Z</dcterms:created>
  <dc:creator>L L</dc:creator>
  <cp:lastModifiedBy>Bunnyyy~~</cp:lastModifiedBy>
  <cp:lastPrinted>2024-10-24T23:05:00Z</cp:lastPrinted>
  <dcterms:modified xsi:type="dcterms:W3CDTF">2025-03-11T06:54:37Z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254A21F7E1E64BF0A2BCB49D578B8C65_13</vt:lpwstr>
  </property>
  <property fmtid="{D5CDD505-2E9C-101B-9397-08002B2CF9AE}" pid="4" name="KSOTemplateDocerSaveRecord">
    <vt:lpwstr>eyJoZGlkIjoiMzEwNTM5NzYwMDRjMzkwZTVkZjY2ODkwMGIxNGU0OTUiLCJ1c2VySWQiOiI1NDg2MjQxNzAifQ==</vt:lpwstr>
  </property>
</Properties>
</file>