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宋体" w:hAnsi="宋体" w:eastAsia="宋体" w:cs="宋体"/>
          <w:bCs/>
          <w:sz w:val="32"/>
          <w:szCs w:val="32"/>
          <w:lang w:eastAsia="zh-CN"/>
        </w:rPr>
      </w:pPr>
      <w:r>
        <w:rPr>
          <w:rFonts w:hint="eastAsia" w:ascii="宋体" w:hAnsi="宋体" w:eastAsia="宋体" w:cs="宋体"/>
          <w:bCs/>
          <w:sz w:val="32"/>
          <w:szCs w:val="32"/>
          <w:lang w:eastAsia="zh-CN"/>
        </w:rPr>
        <w:t>科技成果登记公示表</w:t>
      </w:r>
    </w:p>
    <w:p>
      <w:pPr>
        <w:rPr>
          <w:rFonts w:hint="eastAsia"/>
          <w:lang w:eastAsia="zh-CN"/>
        </w:rPr>
      </w:pPr>
    </w:p>
    <w:tbl>
      <w:tblPr>
        <w:tblStyle w:val="7"/>
        <w:tblW w:w="9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82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520" w:type="dxa"/>
            <w:tcBorders>
              <w:top w:val="single" w:color="auto" w:sz="2" w:space="0"/>
              <w:left w:val="single" w:color="auto" w:sz="2" w:space="0"/>
              <w:bottom w:val="single" w:color="auto" w:sz="2" w:space="0"/>
              <w:right w:val="single" w:color="auto" w:sz="2" w:space="0"/>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sz w:val="24"/>
                <w:szCs w:val="24"/>
                <w:lang w:eastAsia="zh-CN"/>
              </w:rPr>
            </w:pPr>
            <w:r>
              <w:rPr>
                <w:rFonts w:hint="eastAsia" w:cs="仿宋"/>
                <w:b/>
                <w:bCs/>
                <w:spacing w:val="-6"/>
                <w:sz w:val="24"/>
                <w:szCs w:val="24"/>
                <w:lang w:eastAsia="zh-CN"/>
              </w:rPr>
              <w:t>成果名称：</w:t>
            </w:r>
          </w:p>
        </w:tc>
        <w:tc>
          <w:tcPr>
            <w:tcW w:w="82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高可靠性海洋能源开发用光纤复合海底电缆关键技术及产业化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20" w:type="dxa"/>
            <w:tcBorders>
              <w:top w:val="single" w:color="auto" w:sz="2" w:space="0"/>
              <w:left w:val="single" w:color="auto" w:sz="2" w:space="0"/>
              <w:bottom w:val="single" w:color="auto" w:sz="2" w:space="0"/>
              <w:right w:val="single" w:color="auto" w:sz="2" w:space="0"/>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sz w:val="24"/>
                <w:szCs w:val="24"/>
                <w:lang w:eastAsia="zh-CN"/>
              </w:rPr>
            </w:pPr>
            <w:r>
              <w:rPr>
                <w:rFonts w:hint="eastAsia" w:cs="仿宋"/>
                <w:b/>
                <w:bCs/>
                <w:sz w:val="24"/>
                <w:szCs w:val="24"/>
                <w:lang w:eastAsia="zh-CN"/>
              </w:rPr>
              <w:t>完成单位：</w:t>
            </w:r>
          </w:p>
        </w:tc>
        <w:tc>
          <w:tcPr>
            <w:tcW w:w="82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0" w:leftChars="0"/>
              <w:jc w:val="center"/>
              <w:textAlignment w:val="baseline"/>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南海海缆有限公司、中天科技海缆股份有限公司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20" w:type="dxa"/>
            <w:tcBorders>
              <w:top w:val="single" w:color="auto" w:sz="2" w:space="0"/>
              <w:left w:val="single" w:color="auto" w:sz="2" w:space="0"/>
              <w:bottom w:val="single" w:color="auto" w:sz="2" w:space="0"/>
              <w:right w:val="single" w:color="auto" w:sz="2" w:space="0"/>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主要人员:</w:t>
            </w:r>
          </w:p>
        </w:tc>
        <w:tc>
          <w:tcPr>
            <w:tcW w:w="82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ind w:left="0" w:leftChars="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刘利刚、胡明、缪兵、周远清、陈步圣、张洪亮、王佳佳、许瑞涛、</w:t>
            </w:r>
          </w:p>
          <w:p>
            <w:pPr>
              <w:keepNext w:val="0"/>
              <w:keepLines w:val="0"/>
              <w:pageBreakBefore w:val="0"/>
              <w:widowControl/>
              <w:kinsoku w:val="0"/>
              <w:wordWrap/>
              <w:overflowPunct/>
              <w:topLinePunct w:val="0"/>
              <w:autoSpaceDE w:val="0"/>
              <w:autoSpaceDN w:val="0"/>
              <w:bidi w:val="0"/>
              <w:adjustRightInd w:val="0"/>
              <w:snapToGrid/>
              <w:spacing w:line="240" w:lineRule="auto"/>
              <w:ind w:left="0" w:leftChars="0"/>
              <w:jc w:val="center"/>
              <w:textAlignment w:val="baseline"/>
              <w:rPr>
                <w:rFonts w:hint="eastAsia" w:ascii="仿宋" w:hAnsi="仿宋" w:eastAsia="仿宋" w:cs="仿宋"/>
                <w:b w:val="0"/>
                <w:bCs w:val="0"/>
                <w:sz w:val="24"/>
                <w:szCs w:val="24"/>
              </w:rPr>
            </w:pPr>
            <w:bookmarkStart w:id="1" w:name="_GoBack"/>
            <w:bookmarkEnd w:id="1"/>
            <w:r>
              <w:rPr>
                <w:rFonts w:hint="eastAsia" w:ascii="仿宋" w:hAnsi="仿宋" w:eastAsia="仿宋" w:cs="仿宋"/>
                <w:b w:val="0"/>
                <w:bCs w:val="0"/>
                <w:sz w:val="24"/>
                <w:szCs w:val="24"/>
              </w:rPr>
              <w:t>缪月山、陆权福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7" w:hRule="atLeast"/>
          <w:jc w:val="center"/>
        </w:trPr>
        <w:tc>
          <w:tcPr>
            <w:tcW w:w="1520" w:type="dxa"/>
            <w:tcBorders>
              <w:top w:val="single" w:color="auto" w:sz="2" w:space="0"/>
              <w:left w:val="single" w:color="auto" w:sz="2" w:space="0"/>
              <w:right w:val="single" w:color="auto" w:sz="2" w:space="0"/>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介绍:</w:t>
            </w:r>
          </w:p>
        </w:tc>
        <w:tc>
          <w:tcPr>
            <w:tcW w:w="8218" w:type="dxa"/>
            <w:tcBorders>
              <w:top w:val="single" w:color="auto" w:sz="2" w:space="0"/>
              <w:left w:val="single" w:color="auto" w:sz="2" w:space="0"/>
              <w:bottom w:val="single" w:color="auto" w:sz="2" w:space="0"/>
              <w:right w:val="single" w:color="auto" w:sz="2" w:space="0"/>
            </w:tcBorders>
            <w:vAlign w:val="center"/>
          </w:tcPr>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napToGrid w:val="0"/>
                <w:color w:val="000000"/>
                <w:spacing w:val="7"/>
                <w:kern w:val="0"/>
                <w:sz w:val="24"/>
                <w:szCs w:val="24"/>
                <w:lang w:val="en-US" w:eastAsia="zh-CN" w:bidi="ar-SA"/>
              </w:rPr>
              <w:t>1．</w:t>
            </w:r>
            <w:r>
              <w:rPr>
                <w:rFonts w:hint="eastAsia" w:ascii="仿宋" w:hAnsi="仿宋" w:eastAsia="仿宋" w:cs="仿宋"/>
                <w:b w:val="0"/>
                <w:bCs w:val="0"/>
                <w:spacing w:val="7"/>
                <w:sz w:val="24"/>
                <w:szCs w:val="24"/>
                <w:lang w:val="en-US" w:eastAsia="zh-CN"/>
              </w:rPr>
              <w:t>课题来源与背景：</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本项目</w:t>
            </w:r>
            <w:r>
              <w:rPr>
                <w:rFonts w:hint="eastAsia" w:cs="仿宋"/>
                <w:b w:val="0"/>
                <w:bCs w:val="0"/>
                <w:spacing w:val="7"/>
                <w:sz w:val="24"/>
                <w:szCs w:val="24"/>
                <w:lang w:val="en-US" w:eastAsia="zh-CN"/>
              </w:rPr>
              <w:t>为自选项目，</w:t>
            </w:r>
            <w:r>
              <w:rPr>
                <w:rFonts w:hint="eastAsia" w:ascii="仿宋" w:hAnsi="仿宋" w:eastAsia="仿宋" w:cs="仿宋"/>
                <w:b w:val="0"/>
                <w:bCs w:val="0"/>
                <w:spacing w:val="7"/>
                <w:sz w:val="24"/>
                <w:szCs w:val="24"/>
                <w:lang w:val="en-US" w:eastAsia="zh-CN"/>
              </w:rPr>
              <w:t>所属电气工程下的输配电工程，主要应用领域为海上风电、海底油气平台、岛屿互联等能源互联互通领域。</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海缆是海洋能源和信息传输的“大动脉”，其长期运行于复杂的水下环境，具有技术要求高、施工和维护难度大等特点，被誉为光电传输领域“金字塔塔尖”的产业。我国海洋资源研究及开发起步较晚，基础较弱，国内包括海缆在内的核心海洋装备市场曾长期被国外厂商主导。</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南海海缆有限公司及中天科技海缆股份有限公司自成立以来，一直致力于海缆的研发、设计和生产，通过不断的技术创新和项目经验积累，形成了具有自主知识产权的海缆核心技术，创造了多项领先的技术和产品，自主研制了额定电压33kV、35kV、66kV、220kV、275kV、330kV、500kV三芯交流光纤复合海底电缆，均通过了国家认可的第三方试验室的型式试验，取得了型式试验报告，实现了产业化应用。</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napToGrid w:val="0"/>
                <w:color w:val="000000"/>
                <w:spacing w:val="7"/>
                <w:kern w:val="0"/>
                <w:sz w:val="24"/>
                <w:szCs w:val="24"/>
                <w:lang w:val="en-US" w:eastAsia="zh-CN" w:bidi="ar-SA"/>
              </w:rPr>
              <w:t>2．</w:t>
            </w:r>
            <w:r>
              <w:rPr>
                <w:rFonts w:hint="eastAsia" w:ascii="仿宋" w:hAnsi="仿宋" w:eastAsia="仿宋" w:cs="仿宋"/>
                <w:b w:val="0"/>
                <w:bCs w:val="0"/>
                <w:spacing w:val="7"/>
                <w:sz w:val="24"/>
                <w:szCs w:val="24"/>
                <w:lang w:val="en-US" w:eastAsia="zh-CN"/>
              </w:rPr>
              <w:t>技术原理及性能指标：</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pacing w:val="7"/>
                <w:sz w:val="24"/>
                <w:szCs w:val="24"/>
                <w:lang w:val="en-US" w:eastAsia="zh-CN"/>
              </w:rPr>
              <w:t>技术原理</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1）超高压交联聚乙烯绝缘挤出工艺技术：利用交联聚乙烯替代油浸纸或绝缘油作为超高压海缆绝缘材料，并通过控制交联聚乙烯挤出工艺及洁净度，提升产品性能。</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大长度绝缘、挤铅及护套连续生产技术：通过对生产过程及工艺控制（包括生产设备转速、温度、压力等关键参数以及材料洁净度）的研究，并选用先进、大承重量的生产设备，延长生产线连续稳定开机时间，提高海缆一次性最大生产长度及性能稳定性。</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cs="仿宋"/>
                <w:b w:val="0"/>
                <w:bCs w:val="0"/>
                <w:spacing w:val="7"/>
                <w:sz w:val="24"/>
                <w:szCs w:val="24"/>
                <w:lang w:val="en-US" w:eastAsia="zh-CN"/>
              </w:rPr>
            </w:pPr>
            <w:r>
              <w:rPr>
                <w:rFonts w:hint="eastAsia" w:cs="仿宋"/>
                <w:b w:val="0"/>
                <w:bCs w:val="0"/>
                <w:spacing w:val="7"/>
                <w:sz w:val="24"/>
                <w:szCs w:val="24"/>
                <w:lang w:val="en-US" w:eastAsia="zh-CN"/>
              </w:rPr>
              <w:t>3）轻型光电复合海缆生产技术：在满足产品电气性能及机械性能要求的前提下，根据材料性能和缆芯实际应用情况优化绝缘厚度、金属护套厚度等指标，降低产品重量和生产成本。</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default" w:cs="仿宋"/>
                <w:b w:val="0"/>
                <w:bCs w:val="0"/>
                <w:spacing w:val="7"/>
                <w:sz w:val="24"/>
                <w:szCs w:val="24"/>
                <w:lang w:val="en-US" w:eastAsia="zh-CN"/>
              </w:rPr>
            </w:pPr>
            <w:r>
              <w:rPr>
                <w:rFonts w:hint="eastAsia" w:cs="仿宋"/>
                <w:b w:val="0"/>
                <w:bCs w:val="0"/>
                <w:spacing w:val="7"/>
                <w:sz w:val="24"/>
                <w:szCs w:val="24"/>
                <w:lang w:val="en-US" w:eastAsia="zh-CN"/>
              </w:rPr>
              <w:t>4）海缆软接头技术：通过对导体焊接、绝缘层修复等关键工艺的研究（包括设备压力、温度、交联时间以及表面光滑度控制等），完成两段海缆导体接续及绝缘层恢复，确保接续完成后接头处的性能与本体保持一致，满足长距离海缆敷设和使用要求。</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default"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性能指标</w:t>
            </w:r>
            <w:r>
              <w:rPr>
                <w:rFonts w:hint="eastAsia" w:cs="仿宋"/>
                <w:b w:val="0"/>
                <w:bCs w:val="0"/>
                <w:snapToGrid w:val="0"/>
                <w:color w:val="000000"/>
                <w:spacing w:val="7"/>
                <w:kern w:val="0"/>
                <w:sz w:val="24"/>
                <w:szCs w:val="24"/>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ind w:firstLine="508" w:firstLineChars="200"/>
              <w:textAlignment w:val="baseline"/>
              <w:rPr>
                <w:rFonts w:hint="eastAsia"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1）66kV光纤复合海底电缆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gridCol w:w="3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电压等级（U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/U）</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38/66kV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铜导体焊接强度 MPa</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铝导体、铜铝导体焊接强度 MPa</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绝缘直径</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不超过本体的10%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绝缘偏心度</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介质损耗tgδ测量</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下≤10×10</w:t>
                  </w:r>
                  <w:r>
                    <w:rPr>
                      <w:rFonts w:hint="eastAsia" w:ascii="宋体" w:hAnsi="宋体" w:eastAsia="宋体" w:cs="宋体"/>
                      <w:color w:val="000000"/>
                      <w:kern w:val="0"/>
                      <w:sz w:val="21"/>
                      <w:szCs w:val="21"/>
                      <w:highlight w:val="none"/>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含软接头热循环电压试验（2U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绝缘不击穿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含软接头海缆局部放电试验（1.73U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w:t>
                  </w:r>
                </w:p>
              </w:tc>
              <w:tc>
                <w:tcPr>
                  <w:tcW w:w="3275" w:type="dxa"/>
                </w:tcPr>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无超过背景的放电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含软接头海缆雷电冲击电压试验</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325kV正负极性各10次不击穿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含软接头海缆雷电冲击试验后的工频耐压试验</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2.5U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，15min绝缘不击穿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铜导体透水试验（100bar，10天）</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铝导体透水试验（100bar，10天）</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光单元透水试验（100bar，10天）</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金属屏蔽下透水试验（3bar，10天）</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铜、铝异质接头径向渗水试验（100bar，48h）</w:t>
                  </w:r>
                </w:p>
              </w:tc>
              <w:tc>
                <w:tcPr>
                  <w:tcW w:w="327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阻水层无渗水、无可辨别形变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B1光纤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G.652D</w:t>
                  </w:r>
                  <w:bookmarkStart w:id="0" w:name="OLE_LINK9"/>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衰减系数</w:t>
                  </w:r>
                  <w:bookmarkEnd w:id="0"/>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1310nm</w:t>
                  </w:r>
                </w:p>
              </w:tc>
              <w:tc>
                <w:tcPr>
                  <w:tcW w:w="3275"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≤0.35 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1550nm</w:t>
                  </w:r>
                </w:p>
              </w:tc>
              <w:tc>
                <w:tcPr>
                  <w:tcW w:w="3275"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≤0.21 dB/km</w:t>
                  </w:r>
                </w:p>
              </w:tc>
            </w:tr>
          </w:tbl>
          <w:p>
            <w:pPr>
              <w:keepNext w:val="0"/>
              <w:keepLines w:val="0"/>
              <w:pageBreakBefore w:val="0"/>
              <w:widowControl/>
              <w:kinsoku w:val="0"/>
              <w:wordWrap/>
              <w:overflowPunct/>
              <w:topLinePunct w:val="0"/>
              <w:autoSpaceDE w:val="0"/>
              <w:autoSpaceDN w:val="0"/>
              <w:bidi w:val="0"/>
              <w:adjustRightInd w:val="0"/>
              <w:snapToGrid w:val="0"/>
              <w:ind w:firstLine="508" w:firstLineChars="200"/>
              <w:textAlignment w:val="baseline"/>
              <w:rPr>
                <w:rFonts w:hint="eastAsia"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2）275kV光纤复合海底电缆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电压等级（U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/U）</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160/275kV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绝缘偏心度</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tgδ（95℃~100℃，U</w:t>
                  </w:r>
                  <w:r>
                    <w:rPr>
                      <w:rFonts w:hint="eastAsia" w:ascii="宋体" w:hAnsi="宋体" w:eastAsia="宋体" w:cs="宋体"/>
                      <w:sz w:val="21"/>
                      <w:szCs w:val="21"/>
                      <w:highlight w:val="none"/>
                      <w:vertAlign w:val="subscript"/>
                    </w:rPr>
                    <w:t>0</w:t>
                  </w:r>
                  <w:r>
                    <w:rPr>
                      <w:rFonts w:hint="eastAsia" w:ascii="宋体" w:hAnsi="宋体" w:eastAsia="宋体" w:cs="宋体"/>
                      <w:sz w:val="21"/>
                      <w:szCs w:val="21"/>
                      <w:highlight w:val="none"/>
                    </w:rPr>
                    <w:t>）</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≤10×10</w:t>
                  </w:r>
                  <w:r>
                    <w:rPr>
                      <w:rFonts w:hint="eastAsia" w:ascii="宋体" w:hAnsi="宋体" w:eastAsia="宋体" w:cs="宋体"/>
                      <w:sz w:val="21"/>
                      <w:szCs w:val="21"/>
                      <w:highlight w:val="none"/>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热循环电压试验（2U</w:t>
                  </w:r>
                  <w:r>
                    <w:rPr>
                      <w:rFonts w:hint="eastAsia" w:ascii="宋体" w:hAnsi="宋体" w:eastAsia="宋体" w:cs="宋体"/>
                      <w:sz w:val="21"/>
                      <w:szCs w:val="21"/>
                      <w:highlight w:val="none"/>
                      <w:vertAlign w:val="subscript"/>
                    </w:rPr>
                    <w:t>0</w:t>
                  </w:r>
                  <w:r>
                    <w:rPr>
                      <w:rFonts w:hint="eastAsia" w:ascii="宋体" w:hAnsi="宋体" w:eastAsia="宋体" w:cs="宋体"/>
                      <w:sz w:val="21"/>
                      <w:szCs w:val="21"/>
                      <w:highlight w:val="none"/>
                    </w:rPr>
                    <w:t>）</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95℃～100℃，20次循环，不击穿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局部放电试验（1.5U</w:t>
                  </w:r>
                  <w:r>
                    <w:rPr>
                      <w:rFonts w:hint="eastAsia" w:ascii="宋体" w:hAnsi="宋体" w:eastAsia="宋体" w:cs="宋体"/>
                      <w:sz w:val="21"/>
                      <w:szCs w:val="21"/>
                      <w:highlight w:val="none"/>
                      <w:vertAlign w:val="subscript"/>
                    </w:rPr>
                    <w:t>0</w:t>
                  </w:r>
                  <w:r>
                    <w:rPr>
                      <w:rFonts w:hint="eastAsia" w:ascii="宋体" w:hAnsi="宋体" w:eastAsia="宋体" w:cs="宋体"/>
                      <w:sz w:val="21"/>
                      <w:szCs w:val="21"/>
                      <w:highlight w:val="none"/>
                    </w:rPr>
                    <w:t>）</w:t>
                  </w:r>
                </w:p>
              </w:tc>
              <w:tc>
                <w:tcPr>
                  <w:tcW w:w="3283" w:type="dxa"/>
                </w:tcPr>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宋体" w:hAnsi="宋体" w:eastAsia="宋体" w:cs="宋体"/>
                      <w:sz w:val="21"/>
                      <w:szCs w:val="21"/>
                      <w:vertAlign w:val="baseline"/>
                    </w:rPr>
                  </w:pPr>
                  <w:r>
                    <w:rPr>
                      <w:rFonts w:hint="eastAsia" w:ascii="宋体" w:hAnsi="宋体" w:eastAsia="宋体" w:cs="宋体"/>
                      <w:sz w:val="21"/>
                      <w:szCs w:val="21"/>
                      <w:highlight w:val="none"/>
                    </w:rPr>
                    <w:t>无超过背景的放电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操作冲击电压试验（850kV）</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正负极性各10次不击穿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雷电冲击电压试验（1050kV）</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正负极性各10次不击穿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雷电冲击电压试验后的工频耐压试验</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2U</w:t>
                  </w:r>
                  <w:r>
                    <w:rPr>
                      <w:rFonts w:hint="eastAsia" w:ascii="宋体" w:hAnsi="宋体" w:eastAsia="宋体" w:cs="宋体"/>
                      <w:sz w:val="21"/>
                      <w:szCs w:val="21"/>
                      <w:highlight w:val="none"/>
                      <w:vertAlign w:val="subscript"/>
                    </w:rPr>
                    <w:t>0</w:t>
                  </w:r>
                  <w:r>
                    <w:rPr>
                      <w:rFonts w:hint="eastAsia" w:ascii="宋体" w:hAnsi="宋体" w:eastAsia="宋体" w:cs="宋体"/>
                      <w:color w:val="000000"/>
                      <w:kern w:val="0"/>
                      <w:sz w:val="21"/>
                      <w:szCs w:val="21"/>
                      <w:highlight w:val="none"/>
                    </w:rPr>
                    <w:t>，</w:t>
                  </w:r>
                  <w:r>
                    <w:rPr>
                      <w:rFonts w:hint="eastAsia" w:ascii="宋体" w:hAnsi="宋体" w:eastAsia="宋体" w:cs="宋体"/>
                      <w:sz w:val="21"/>
                      <w:szCs w:val="21"/>
                      <w:highlight w:val="none"/>
                    </w:rPr>
                    <w:t>15min绝缘不击穿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导体透水试验（50bar，10天）</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铅套下透水试验（3bar，10天）</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光单元透水试验（50bar，10天）</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软接头</w:t>
                  </w:r>
                  <w:r>
                    <w:rPr>
                      <w:rFonts w:hint="eastAsia" w:ascii="宋体" w:hAnsi="宋体" w:eastAsia="宋体" w:cs="宋体"/>
                      <w:sz w:val="21"/>
                      <w:szCs w:val="21"/>
                      <w:highlight w:val="none"/>
                    </w:rPr>
                    <w:t>径向渗水试验（55bar，48h）</w:t>
                  </w:r>
                </w:p>
              </w:tc>
              <w:tc>
                <w:tcPr>
                  <w:tcW w:w="3283"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阻水层无渗水、无可辨别形变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B1光纤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G.652D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衰减系数</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1310nm</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≤0.35 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 xml:space="preserve">                              1550nm</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≤0.21 dB/km</w:t>
                  </w:r>
                </w:p>
              </w:tc>
            </w:tr>
          </w:tbl>
          <w:p>
            <w:pPr>
              <w:keepNext w:val="0"/>
              <w:keepLines w:val="0"/>
              <w:pageBreakBefore w:val="0"/>
              <w:widowControl/>
              <w:kinsoku w:val="0"/>
              <w:wordWrap/>
              <w:overflowPunct/>
              <w:topLinePunct w:val="0"/>
              <w:autoSpaceDE w:val="0"/>
              <w:autoSpaceDN w:val="0"/>
              <w:bidi w:val="0"/>
              <w:adjustRightInd w:val="0"/>
              <w:snapToGrid w:val="0"/>
              <w:ind w:firstLine="508" w:firstLineChars="200"/>
              <w:textAlignment w:val="baseline"/>
              <w:rPr>
                <w:rFonts w:hint="eastAsia"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3）500kV光纤复合海底电缆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3"/>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电压等级（U</w:t>
                  </w:r>
                  <w:r>
                    <w:rPr>
                      <w:rFonts w:hint="eastAsia" w:ascii="宋体" w:hAnsi="宋体" w:eastAsia="宋体" w:cs="宋体"/>
                      <w:color w:val="000000"/>
                      <w:kern w:val="0"/>
                      <w:sz w:val="21"/>
                      <w:szCs w:val="21"/>
                      <w:highlight w:val="none"/>
                      <w:vertAlign w:val="subscript"/>
                    </w:rPr>
                    <w:t>0</w:t>
                  </w:r>
                  <w:r>
                    <w:rPr>
                      <w:rFonts w:hint="eastAsia" w:ascii="宋体" w:hAnsi="宋体" w:eastAsia="宋体" w:cs="宋体"/>
                      <w:color w:val="000000"/>
                      <w:kern w:val="0"/>
                      <w:sz w:val="21"/>
                      <w:szCs w:val="21"/>
                      <w:highlight w:val="none"/>
                    </w:rPr>
                    <w:t>/U）</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Cs w:val="21"/>
                      <w:highlight w:val="none"/>
                    </w:rPr>
                    <w:t>290/500kV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Cs w:val="21"/>
                      <w:highlight w:val="none"/>
                    </w:rPr>
                    <w:t>导体材质及截面</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Cs w:val="21"/>
                      <w:highlight w:val="none"/>
                    </w:rPr>
                    <w:t>铜 3×1000mm</w:t>
                  </w:r>
                  <w:r>
                    <w:rPr>
                      <w:rFonts w:hint="eastAsia" w:ascii="宋体" w:hAnsi="宋体" w:eastAsia="宋体" w:cs="宋体"/>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绝缘偏心度</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tgδ（95℃~100℃，U</w:t>
                  </w:r>
                  <w:r>
                    <w:rPr>
                      <w:rFonts w:hint="eastAsia" w:ascii="宋体" w:hAnsi="宋体" w:eastAsia="宋体" w:cs="宋体"/>
                      <w:sz w:val="21"/>
                      <w:szCs w:val="21"/>
                      <w:highlight w:val="none"/>
                      <w:vertAlign w:val="subscript"/>
                    </w:rPr>
                    <w:t>0</w:t>
                  </w:r>
                  <w:r>
                    <w:rPr>
                      <w:rFonts w:hint="eastAsia" w:ascii="宋体" w:hAnsi="宋体" w:eastAsia="宋体" w:cs="宋体"/>
                      <w:sz w:val="21"/>
                      <w:szCs w:val="21"/>
                      <w:highlight w:val="none"/>
                    </w:rPr>
                    <w:t>）</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w:t>
                  </w:r>
                  <w:r>
                    <w:rPr>
                      <w:rFonts w:hint="eastAsia" w:ascii="宋体" w:hAnsi="宋体" w:eastAsia="宋体" w:cs="宋体"/>
                      <w:szCs w:val="21"/>
                      <w:highlight w:val="none"/>
                    </w:rPr>
                    <w:t>8</w:t>
                  </w:r>
                  <w:r>
                    <w:rPr>
                      <w:rFonts w:hint="eastAsia" w:ascii="宋体" w:hAnsi="宋体" w:eastAsia="宋体" w:cs="宋体"/>
                      <w:sz w:val="21"/>
                      <w:szCs w:val="21"/>
                      <w:highlight w:val="none"/>
                    </w:rPr>
                    <w:t>×10</w:t>
                  </w:r>
                  <w:r>
                    <w:rPr>
                      <w:rFonts w:hint="eastAsia" w:ascii="宋体" w:hAnsi="宋体" w:eastAsia="宋体" w:cs="宋体"/>
                      <w:sz w:val="21"/>
                      <w:szCs w:val="21"/>
                      <w:highlight w:val="none"/>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局部放电试验（1.5U</w:t>
                  </w:r>
                  <w:r>
                    <w:rPr>
                      <w:rFonts w:hint="eastAsia" w:ascii="宋体" w:hAnsi="宋体" w:eastAsia="宋体" w:cs="宋体"/>
                      <w:sz w:val="21"/>
                      <w:szCs w:val="21"/>
                      <w:highlight w:val="none"/>
                      <w:vertAlign w:val="subscript"/>
                    </w:rPr>
                    <w:t>0</w:t>
                  </w:r>
                  <w:r>
                    <w:rPr>
                      <w:rFonts w:hint="eastAsia" w:ascii="宋体" w:hAnsi="宋体" w:eastAsia="宋体" w:cs="宋体"/>
                      <w:sz w:val="21"/>
                      <w:szCs w:val="21"/>
                      <w:highlight w:val="none"/>
                    </w:rPr>
                    <w:t>）</w:t>
                  </w:r>
                </w:p>
              </w:tc>
              <w:tc>
                <w:tcPr>
                  <w:tcW w:w="3283"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无超过背景的放电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热循环电压试验（2U</w:t>
                  </w:r>
                  <w:r>
                    <w:rPr>
                      <w:rFonts w:hint="eastAsia" w:ascii="宋体" w:hAnsi="宋体" w:eastAsia="宋体" w:cs="宋体"/>
                      <w:sz w:val="21"/>
                      <w:szCs w:val="21"/>
                      <w:highlight w:val="none"/>
                      <w:vertAlign w:val="subscript"/>
                    </w:rPr>
                    <w:t>0</w:t>
                  </w:r>
                  <w:r>
                    <w:rPr>
                      <w:rFonts w:hint="eastAsia" w:ascii="宋体" w:hAnsi="宋体" w:eastAsia="宋体" w:cs="宋体"/>
                      <w:sz w:val="21"/>
                      <w:szCs w:val="21"/>
                      <w:highlight w:val="none"/>
                    </w:rPr>
                    <w:t>）</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95℃～100℃，20次循环，不击穿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操作冲击电压试验（</w:t>
                  </w:r>
                  <w:r>
                    <w:rPr>
                      <w:rFonts w:hint="eastAsia" w:ascii="宋体" w:hAnsi="宋体" w:eastAsia="宋体" w:cs="宋体"/>
                      <w:szCs w:val="21"/>
                      <w:highlight w:val="none"/>
                    </w:rPr>
                    <w:t>1175k</w:t>
                  </w:r>
                  <w:r>
                    <w:rPr>
                      <w:rFonts w:hint="eastAsia" w:ascii="宋体" w:hAnsi="宋体" w:eastAsia="宋体" w:cs="宋体"/>
                      <w:sz w:val="21"/>
                      <w:szCs w:val="21"/>
                      <w:highlight w:val="none"/>
                    </w:rPr>
                    <w:t>V）</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正负极性各10次不击穿</w:t>
                  </w:r>
                  <w:r>
                    <w:rPr>
                      <w:rFonts w:hint="eastAsia" w:ascii="宋体" w:hAnsi="宋体" w:eastAsia="宋体" w:cs="宋体"/>
                      <w:szCs w:val="21"/>
                      <w:highlight w:val="none"/>
                    </w:rPr>
                    <w:t>或闪络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雷电冲击电压试验（1</w:t>
                  </w:r>
                  <w:r>
                    <w:rPr>
                      <w:rFonts w:hint="eastAsia" w:ascii="宋体" w:hAnsi="宋体" w:eastAsia="宋体" w:cs="宋体"/>
                      <w:szCs w:val="21"/>
                      <w:highlight w:val="none"/>
                    </w:rPr>
                    <w:t>55</w:t>
                  </w:r>
                  <w:r>
                    <w:rPr>
                      <w:rFonts w:hint="eastAsia" w:ascii="宋体" w:hAnsi="宋体" w:eastAsia="宋体" w:cs="宋体"/>
                      <w:sz w:val="21"/>
                      <w:szCs w:val="21"/>
                      <w:highlight w:val="none"/>
                    </w:rPr>
                    <w:t>0kV）</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正负极性各10次不击穿</w:t>
                  </w:r>
                  <w:r>
                    <w:rPr>
                      <w:rFonts w:hint="eastAsia" w:ascii="宋体" w:hAnsi="宋体" w:eastAsia="宋体" w:cs="宋体"/>
                      <w:szCs w:val="21"/>
                      <w:highlight w:val="none"/>
                    </w:rPr>
                    <w:t>或闪络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雷电冲击电压试验后的工频耐压试验</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2U</w:t>
                  </w:r>
                  <w:r>
                    <w:rPr>
                      <w:rFonts w:hint="eastAsia" w:ascii="宋体" w:hAnsi="宋体" w:eastAsia="宋体" w:cs="宋体"/>
                      <w:sz w:val="21"/>
                      <w:szCs w:val="21"/>
                      <w:highlight w:val="none"/>
                      <w:vertAlign w:val="subscript"/>
                    </w:rPr>
                    <w:t>0</w:t>
                  </w:r>
                  <w:r>
                    <w:rPr>
                      <w:rFonts w:hint="eastAsia" w:ascii="宋体" w:hAnsi="宋体" w:eastAsia="宋体" w:cs="宋体"/>
                      <w:color w:val="000000"/>
                      <w:kern w:val="0"/>
                      <w:sz w:val="21"/>
                      <w:szCs w:val="21"/>
                      <w:highlight w:val="none"/>
                    </w:rPr>
                    <w:t>，</w:t>
                  </w:r>
                  <w:r>
                    <w:rPr>
                      <w:rFonts w:hint="eastAsia" w:ascii="宋体" w:hAnsi="宋体" w:eastAsia="宋体" w:cs="宋体"/>
                      <w:sz w:val="21"/>
                      <w:szCs w:val="21"/>
                      <w:highlight w:val="none"/>
                    </w:rPr>
                    <w:t>15min绝缘不击穿</w:t>
                  </w:r>
                  <w:r>
                    <w:rPr>
                      <w:rFonts w:hint="eastAsia" w:ascii="宋体" w:hAnsi="宋体" w:eastAsia="宋体" w:cs="宋体"/>
                      <w:szCs w:val="21"/>
                      <w:highlight w:val="none"/>
                    </w:rPr>
                    <w:t>或闪络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导体透水试验（</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0bar，10天）</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铅套下透水试验（3bar，10天）</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光单元透水试验（</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0bar，10天）</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软接头</w:t>
                  </w:r>
                  <w:r>
                    <w:rPr>
                      <w:rFonts w:hint="eastAsia" w:ascii="宋体" w:hAnsi="宋体" w:eastAsia="宋体" w:cs="宋体"/>
                      <w:sz w:val="21"/>
                      <w:szCs w:val="21"/>
                      <w:highlight w:val="none"/>
                    </w:rPr>
                    <w:t>径向渗水试验（</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bar，48h）</w:t>
                  </w:r>
                </w:p>
              </w:tc>
              <w:tc>
                <w:tcPr>
                  <w:tcW w:w="3283" w:type="dxa"/>
                </w:tcPr>
                <w:p>
                  <w:pPr>
                    <w:rPr>
                      <w:rFonts w:hint="eastAsia" w:ascii="宋体" w:hAnsi="宋体" w:eastAsia="宋体" w:cs="宋体"/>
                      <w:sz w:val="21"/>
                      <w:szCs w:val="21"/>
                      <w:vertAlign w:val="baseline"/>
                    </w:rPr>
                  </w:pPr>
                  <w:r>
                    <w:rPr>
                      <w:rFonts w:hint="eastAsia" w:ascii="宋体" w:hAnsi="宋体" w:eastAsia="宋体" w:cs="宋体"/>
                      <w:color w:val="000000"/>
                      <w:kern w:val="0"/>
                      <w:sz w:val="21"/>
                      <w:szCs w:val="21"/>
                      <w:highlight w:val="none"/>
                    </w:rPr>
                    <w:t>阻水层无渗水、无可辨别形变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B1光纤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G.652D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衰减系数</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1310nm</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≤0.35 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3" w:type="dxa"/>
                </w:tcPr>
                <w:p>
                  <w:pP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 xml:space="preserve">                              1550nm</w:t>
                  </w:r>
                </w:p>
              </w:tc>
              <w:tc>
                <w:tcPr>
                  <w:tcW w:w="3283" w:type="dxa"/>
                </w:tcPr>
                <w:p>
                  <w:pPr>
                    <w:rPr>
                      <w:rFonts w:hint="eastAsia" w:ascii="宋体" w:hAnsi="宋体" w:eastAsia="宋体" w:cs="宋体"/>
                      <w:sz w:val="21"/>
                      <w:szCs w:val="21"/>
                      <w:vertAlign w:val="baseline"/>
                    </w:rPr>
                  </w:pPr>
                  <w:r>
                    <w:rPr>
                      <w:rFonts w:hint="eastAsia" w:ascii="宋体" w:hAnsi="宋体" w:eastAsia="宋体" w:cs="宋体"/>
                      <w:sz w:val="21"/>
                      <w:szCs w:val="21"/>
                      <w:highlight w:val="none"/>
                    </w:rPr>
                    <w:t>≤0.21 dB/km</w:t>
                  </w:r>
                </w:p>
              </w:tc>
            </w:tr>
          </w:tbl>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napToGrid w:val="0"/>
                <w:color w:val="000000"/>
                <w:spacing w:val="7"/>
                <w:kern w:val="0"/>
                <w:sz w:val="24"/>
                <w:szCs w:val="24"/>
                <w:lang w:val="en-US" w:eastAsia="zh-CN" w:bidi="ar-SA"/>
              </w:rPr>
            </w:pP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napToGrid w:val="0"/>
                <w:color w:val="000000"/>
                <w:spacing w:val="7"/>
                <w:kern w:val="0"/>
                <w:sz w:val="24"/>
                <w:szCs w:val="24"/>
                <w:lang w:val="en-US" w:eastAsia="zh-CN" w:bidi="ar-SA"/>
              </w:rPr>
              <w:t>3．</w:t>
            </w:r>
            <w:r>
              <w:rPr>
                <w:rFonts w:hint="eastAsia" w:ascii="仿宋" w:hAnsi="仿宋" w:eastAsia="仿宋" w:cs="仿宋"/>
                <w:b w:val="0"/>
                <w:bCs w:val="0"/>
                <w:spacing w:val="7"/>
                <w:sz w:val="24"/>
                <w:szCs w:val="24"/>
                <w:lang w:val="en-US" w:eastAsia="zh-CN"/>
              </w:rPr>
              <w:t>技术的创造性与先进性：</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本项目围绕“光纤复合海底电缆关键技术及产业化”，从产品设计、生产设备改进、软接头制作、产品检测、海缆水下修复等方面，形成发明专利13件，实用新型专利18件，参编国家标准1项、团体标准8项，发表论文11篇。</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核心技术创新点如下：</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1）超高压、</w:t>
            </w:r>
            <w:r>
              <w:rPr>
                <w:rFonts w:hint="eastAsia" w:cs="仿宋"/>
                <w:b w:val="0"/>
                <w:bCs w:val="0"/>
                <w:spacing w:val="7"/>
                <w:sz w:val="24"/>
                <w:szCs w:val="24"/>
                <w:lang w:val="en-US" w:eastAsia="zh-CN"/>
              </w:rPr>
              <w:t>高场强</w:t>
            </w:r>
            <w:r>
              <w:rPr>
                <w:rFonts w:hint="eastAsia" w:ascii="仿宋" w:hAnsi="仿宋" w:eastAsia="仿宋" w:cs="仿宋"/>
                <w:b w:val="0"/>
                <w:bCs w:val="0"/>
                <w:spacing w:val="7"/>
                <w:sz w:val="24"/>
                <w:szCs w:val="24"/>
                <w:lang w:val="en-US" w:eastAsia="zh-CN"/>
              </w:rPr>
              <w:t>绝缘挤出工艺及洁净度控制技术，利用交联聚乙烯替代油浸纸或绝缘油作为超高压海缆绝缘材料，并优化工艺参数，确保绝缘最薄厚度和偏心度得到控制，将绝缘偏心度降低到5%以内，是国内少数几家掌握500kV交联聚乙烯绝缘交流海缆生产技术企业之一。</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大长度绝缘、挤铅及护套连续生产技术，通过对生产过程及工艺控制（包括生产设备转速、温度、压力等关键参数以及材料洁净度）的研究，延长生产线连续稳定开机时间，提高海缆一次性最大生产长度及性能稳定性。</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3）三芯大直径、超高压海缆成缆和铠装光纤复合一体化技术，验证成缆、钢丝铠装设备牵引力等相关问题；优化填充条设计，研究大填充条固定及光纤单元保护等技术，保证缆芯圆整度。</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4）突破大截面铝导体超高压海缆研发，设计大截面阻水铝导体生产工艺，使其绞合更佳，导体结构更紧密，防止因牵引及弯曲后造成的结构松散，结构更稳定，提升导体表面光洁度和导体阻水性能，延长电缆使用寿命，减少经济损失。</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5）开发绝缘副产物快速分离系统，交联副产物与气体的快速分离，有效去除氮气中的交联副产物，保证超高压交联电缆生产过程中产生的气体副产物不会造成环境污染，且提升大长度海缆除气效率，解决大长度海缆副产物分离时间长的难题。</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6）大截面和大水深阻水技术，采用合适的阻水胶及填充技术，确保导体具有良好的纵向阻水性能；对绕包不同厚度半导电阻水缓冲层的绝缘线芯进行热膨胀试验，确定合理半导电阻水缓冲层厚度</w:t>
            </w:r>
            <w:r>
              <w:rPr>
                <w:rFonts w:hint="eastAsia" w:cs="仿宋"/>
                <w:b w:val="0"/>
                <w:bCs w:val="0"/>
                <w:spacing w:val="7"/>
                <w:sz w:val="24"/>
                <w:szCs w:val="24"/>
                <w:lang w:val="en-US" w:eastAsia="zh-CN"/>
              </w:rPr>
              <w:t>、</w:t>
            </w:r>
            <w:r>
              <w:rPr>
                <w:rFonts w:hint="eastAsia" w:ascii="仿宋" w:hAnsi="仿宋" w:eastAsia="仿宋" w:cs="仿宋"/>
                <w:b w:val="0"/>
                <w:bCs w:val="0"/>
                <w:spacing w:val="7"/>
                <w:sz w:val="24"/>
                <w:szCs w:val="24"/>
                <w:lang w:val="en-US" w:eastAsia="zh-CN"/>
              </w:rPr>
              <w:t>铅套挤制模具尺寸，确保铅套兼顾纵向阻水性能及长期密封保护性能。</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7）非铅套干式设计海底电缆研制，开发耐高温、高粘结性能热熔胶材料，研究大直径、大截面干式设计海底电缆大长度连续铝塑复合带纵包工艺，应用视觉识别及激光焊接技术保障大长度海缆稳定可靠连续生产，成功研制满足要求的干式设计海底电缆。</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8）非磁性钢丝铠装技术，进行镀锌低碳钢丝与非磁性不锈钢丝载流量和经济性对比研究，研究非磁性不锈钢丝冷态加工前后相对磁导率变化以及不锈钢丝人工海水中长期加速耐腐蚀性能，研制可以满足海缆机械和电气运行要求铠装结构；攻克高强度双层高强度扁钢丝铠装生产成型工艺难题。</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9）海缆软接头技术，通过对导体焊接、绝缘层修复等关键工艺的研究（包括设备压力、温度、交联时间以及表面光滑度控制），开展不等截面工厂接头电场仿真分析，掌握不等截面工厂接头制造工艺，对不同反应力锥尺寸的软接头进行试验，选择氩弧焊保护导体分层焊接工艺，调整软接头绝缘材料挤出、交联温度及交联时间等工艺参数，确保软接头导体焊接质量与强度，软接头与电缆本体绝缘界面结合紧密，电气性能优良；同时确定不同规格尺寸现场柔性接头物质制作模型，掌握三芯超高压海缆成品恢复在线长度调节技术、三芯成缆恢复技术、铠装钢丝快速恢复技术；</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10）海缆水下修复技术，开发了一种密封性能更加可靠的铜丝屏蔽电缆密封防水技术，实现不同金属屏蔽结构海缆刚性维修接头连接技术，分析现场刚性维修接头的机械性能、修理接头阻水性能、修理接头电热学性能；同时解决铝导体附件连接发热难题，掌握超高压、大截面铝芯海缆修理接头技术，实现海底光电复合缆现场柔性接头和刚性接头双重突破，提供工程应用解决方案，满足业主不同形式抢修方案的双向选择。</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napToGrid w:val="0"/>
                <w:color w:val="000000"/>
                <w:spacing w:val="7"/>
                <w:kern w:val="0"/>
                <w:sz w:val="24"/>
                <w:szCs w:val="24"/>
                <w:lang w:val="en-US" w:eastAsia="zh-CN" w:bidi="ar-SA"/>
              </w:rPr>
              <w:t>4．</w:t>
            </w:r>
            <w:r>
              <w:rPr>
                <w:rFonts w:hint="eastAsia" w:ascii="仿宋" w:hAnsi="仿宋" w:eastAsia="仿宋" w:cs="仿宋"/>
                <w:b w:val="0"/>
                <w:bCs w:val="0"/>
                <w:spacing w:val="7"/>
                <w:sz w:val="24"/>
                <w:szCs w:val="24"/>
                <w:lang w:val="en-US" w:eastAsia="zh-CN"/>
              </w:rPr>
              <w:t>技术的成熟程度、适用范围和安全性：</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国内海缆在投用前一般需要花费一年以上的时间完成型式试验（按一般工业生产基础上供应一种型式海底电缆系统，或海缆，或附件之前所进行的试验，以证明海缆或附件具有满足预期使用条件的良好性能）。</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本</w:t>
            </w:r>
            <w:r>
              <w:rPr>
                <w:rFonts w:hint="eastAsia" w:cs="仿宋"/>
                <w:b w:val="0"/>
                <w:bCs w:val="0"/>
                <w:snapToGrid w:val="0"/>
                <w:color w:val="000000"/>
                <w:spacing w:val="7"/>
                <w:kern w:val="0"/>
                <w:sz w:val="24"/>
                <w:szCs w:val="24"/>
                <w:lang w:val="en-US" w:eastAsia="zh-CN" w:bidi="ar-SA"/>
              </w:rPr>
              <w:t>成果</w:t>
            </w:r>
            <w:r>
              <w:rPr>
                <w:rFonts w:hint="eastAsia" w:ascii="仿宋" w:hAnsi="仿宋" w:eastAsia="仿宋" w:cs="仿宋"/>
                <w:b w:val="0"/>
                <w:bCs w:val="0"/>
                <w:snapToGrid w:val="0"/>
                <w:color w:val="000000"/>
                <w:spacing w:val="7"/>
                <w:kern w:val="0"/>
                <w:sz w:val="24"/>
                <w:szCs w:val="24"/>
                <w:lang w:val="en-US" w:eastAsia="zh-CN" w:bidi="ar-SA"/>
              </w:rPr>
              <w:t>自主研制的额定电压33kV、35kV、66kV、220kV、275kV、330kV、500kV光纤复合海底电缆均已通过国家认可的第三方试验室的型式试验，均已取得了型式试验报告，各项性能指标对应符合GB/T 32346.2-2015；GB/T 41629.2-2022；JB/T 11167.2-2011；TICW 10.2-2019；TICW 23.2-2022；CIGRE TB 490:2012；CIGRE TB 623:2015；IEC 63026:2019等标准要求</w:t>
            </w:r>
            <w:r>
              <w:rPr>
                <w:rFonts w:hint="eastAsia" w:cs="仿宋"/>
                <w:b w:val="0"/>
                <w:bCs w:val="0"/>
                <w:snapToGrid w:val="0"/>
                <w:color w:val="000000"/>
                <w:spacing w:val="7"/>
                <w:kern w:val="0"/>
                <w:sz w:val="24"/>
                <w:szCs w:val="24"/>
                <w:lang w:val="en-US" w:eastAsia="zh-CN" w:bidi="ar-SA"/>
              </w:rPr>
              <w:t>，适用范围广泛，能够满足不同电压等级和输电方式的需求，确保</w:t>
            </w:r>
            <w:r>
              <w:rPr>
                <w:rFonts w:hint="eastAsia" w:ascii="仿宋" w:hAnsi="仿宋" w:eastAsia="仿宋" w:cs="仿宋"/>
                <w:b w:val="0"/>
                <w:bCs w:val="0"/>
                <w:sz w:val="24"/>
                <w:szCs w:val="24"/>
              </w:rPr>
              <w:t>海洋能源开发用</w:t>
            </w:r>
            <w:r>
              <w:rPr>
                <w:rFonts w:hint="eastAsia" w:cs="仿宋"/>
                <w:b w:val="0"/>
                <w:bCs w:val="0"/>
                <w:sz w:val="24"/>
                <w:szCs w:val="24"/>
                <w:lang w:val="en-US" w:eastAsia="zh-CN"/>
              </w:rPr>
              <w:t>66kV及以下阵列光纤复合海底电缆、220kV及以上送出光纤复合海底电缆可靠、安全，</w:t>
            </w:r>
            <w:r>
              <w:rPr>
                <w:rFonts w:hint="eastAsia" w:ascii="仿宋" w:hAnsi="仿宋" w:eastAsia="仿宋" w:cs="仿宋"/>
                <w:b w:val="0"/>
                <w:bCs w:val="0"/>
                <w:snapToGrid w:val="0"/>
                <w:color w:val="000000"/>
                <w:spacing w:val="7"/>
                <w:kern w:val="0"/>
                <w:sz w:val="24"/>
                <w:szCs w:val="24"/>
                <w:lang w:val="en-US" w:eastAsia="zh-CN" w:bidi="ar-SA"/>
              </w:rPr>
              <w:t>为我国海上风电发展做出贡献</w:t>
            </w:r>
            <w:r>
              <w:rPr>
                <w:rFonts w:hint="eastAsia" w:cs="仿宋"/>
                <w:b w:val="0"/>
                <w:bCs w:val="0"/>
                <w:snapToGrid w:val="0"/>
                <w:color w:val="000000"/>
                <w:spacing w:val="7"/>
                <w:kern w:val="0"/>
                <w:sz w:val="24"/>
                <w:szCs w:val="24"/>
                <w:lang w:val="en-US" w:eastAsia="zh-CN" w:bidi="ar-SA"/>
              </w:rPr>
              <w:t>。</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napToGrid w:val="0"/>
                <w:color w:val="000000"/>
                <w:spacing w:val="7"/>
                <w:kern w:val="0"/>
                <w:sz w:val="24"/>
                <w:szCs w:val="24"/>
                <w:lang w:val="en-US" w:eastAsia="zh-CN" w:bidi="ar-SA"/>
              </w:rPr>
              <w:t>5．</w:t>
            </w:r>
            <w:r>
              <w:rPr>
                <w:rFonts w:hint="eastAsia" w:ascii="仿宋" w:hAnsi="仿宋" w:eastAsia="仿宋" w:cs="仿宋"/>
                <w:b w:val="0"/>
                <w:bCs w:val="0"/>
                <w:spacing w:val="7"/>
                <w:sz w:val="24"/>
                <w:szCs w:val="24"/>
                <w:lang w:val="en-US" w:eastAsia="zh-CN"/>
              </w:rPr>
              <w:t>应用情况及存在的问题：</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cs="仿宋"/>
                <w:b w:val="0"/>
                <w:bCs w:val="0"/>
                <w:snapToGrid w:val="0"/>
                <w:color w:val="000000"/>
                <w:spacing w:val="7"/>
                <w:kern w:val="0"/>
                <w:sz w:val="24"/>
                <w:szCs w:val="24"/>
                <w:lang w:val="en-US" w:eastAsia="zh-CN" w:bidi="ar-SA"/>
              </w:rPr>
            </w:pPr>
            <w:r>
              <w:rPr>
                <w:rFonts w:hint="eastAsia" w:ascii="仿宋" w:hAnsi="仿宋" w:eastAsia="仿宋" w:cs="仿宋"/>
                <w:b w:val="0"/>
                <w:bCs w:val="0"/>
                <w:snapToGrid w:val="0"/>
                <w:color w:val="000000"/>
                <w:spacing w:val="7"/>
                <w:kern w:val="0"/>
                <w:sz w:val="24"/>
                <w:szCs w:val="24"/>
                <w:lang w:val="en-US" w:eastAsia="zh-CN" w:bidi="ar-SA"/>
              </w:rPr>
              <w:t>本</w:t>
            </w:r>
            <w:r>
              <w:rPr>
                <w:rFonts w:hint="eastAsia" w:cs="仿宋"/>
                <w:b w:val="0"/>
                <w:bCs w:val="0"/>
                <w:snapToGrid w:val="0"/>
                <w:color w:val="000000"/>
                <w:spacing w:val="7"/>
                <w:kern w:val="0"/>
                <w:sz w:val="24"/>
                <w:szCs w:val="24"/>
                <w:lang w:val="en-US" w:eastAsia="zh-CN" w:bidi="ar-SA"/>
              </w:rPr>
              <w:t>成果</w:t>
            </w:r>
            <w:r>
              <w:rPr>
                <w:rFonts w:hint="eastAsia" w:ascii="仿宋" w:hAnsi="仿宋" w:eastAsia="仿宋" w:cs="仿宋"/>
                <w:b w:val="0"/>
                <w:bCs w:val="0"/>
                <w:snapToGrid w:val="0"/>
                <w:color w:val="000000"/>
                <w:spacing w:val="7"/>
                <w:kern w:val="0"/>
                <w:sz w:val="24"/>
                <w:szCs w:val="24"/>
                <w:lang w:val="en-US" w:eastAsia="zh-CN" w:bidi="ar-SA"/>
              </w:rPr>
              <w:t>已成功交付中广核汕尾甲子一、甲子二90万千瓦海上风电项目、中广核汕尾后湖50万千瓦海上风电项目、中广核惠州港口100万千瓦海上风电项目、三峡能源阳江青洲六100万千瓦海上风电项目、中节能阳江南鹏岛30万千瓦海上风电项目、广东粤电外罗二期20万千瓦海上风电项目等众多重大工程项目</w:t>
            </w:r>
            <w:r>
              <w:rPr>
                <w:rFonts w:hint="eastAsia" w:cs="仿宋"/>
                <w:b w:val="0"/>
                <w:bCs w:val="0"/>
                <w:snapToGrid w:val="0"/>
                <w:color w:val="000000"/>
                <w:spacing w:val="7"/>
                <w:kern w:val="0"/>
                <w:sz w:val="24"/>
                <w:szCs w:val="24"/>
                <w:lang w:val="en-US" w:eastAsia="zh-CN" w:bidi="ar-SA"/>
              </w:rPr>
              <w:t>。</w:t>
            </w:r>
            <w:r>
              <w:rPr>
                <w:rFonts w:hint="eastAsia" w:ascii="仿宋" w:hAnsi="仿宋" w:eastAsia="仿宋" w:cs="仿宋"/>
                <w:b w:val="0"/>
                <w:bCs w:val="0"/>
                <w:snapToGrid w:val="0"/>
                <w:color w:val="000000"/>
                <w:spacing w:val="7"/>
                <w:kern w:val="0"/>
                <w:sz w:val="24"/>
                <w:szCs w:val="24"/>
                <w:lang w:val="en-US" w:eastAsia="zh-CN" w:bidi="ar-SA"/>
              </w:rPr>
              <w:t>本</w:t>
            </w:r>
            <w:r>
              <w:rPr>
                <w:rFonts w:hint="eastAsia" w:cs="仿宋"/>
                <w:b w:val="0"/>
                <w:bCs w:val="0"/>
                <w:snapToGrid w:val="0"/>
                <w:color w:val="000000"/>
                <w:spacing w:val="7"/>
                <w:kern w:val="0"/>
                <w:sz w:val="24"/>
                <w:szCs w:val="24"/>
                <w:lang w:val="en-US" w:eastAsia="zh-CN" w:bidi="ar-SA"/>
              </w:rPr>
              <w:t>成果</w:t>
            </w:r>
            <w:r>
              <w:rPr>
                <w:rFonts w:hint="eastAsia" w:ascii="仿宋" w:hAnsi="仿宋" w:eastAsia="仿宋" w:cs="仿宋"/>
                <w:b w:val="0"/>
                <w:bCs w:val="0"/>
                <w:snapToGrid w:val="0"/>
                <w:color w:val="000000"/>
                <w:spacing w:val="7"/>
                <w:kern w:val="0"/>
                <w:sz w:val="24"/>
                <w:szCs w:val="24"/>
                <w:lang w:val="en-US" w:eastAsia="zh-CN" w:bidi="ar-SA"/>
              </w:rPr>
              <w:t>已在广东海域、江苏海域、山东海域实现330kV及以下电压等级光纤复合海底电缆产业化，从2022年9月投运后，至今可靠运行。</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cs="仿宋"/>
                <w:b w:val="0"/>
                <w:bCs w:val="0"/>
                <w:snapToGrid w:val="0"/>
                <w:color w:val="000000"/>
                <w:spacing w:val="7"/>
                <w:kern w:val="0"/>
                <w:sz w:val="24"/>
                <w:szCs w:val="24"/>
                <w:lang w:val="en-US" w:eastAsia="zh-CN" w:bidi="ar-SA"/>
              </w:rPr>
            </w:pPr>
            <w:r>
              <w:rPr>
                <w:rFonts w:hint="eastAsia" w:cs="仿宋"/>
                <w:b w:val="0"/>
                <w:bCs w:val="0"/>
                <w:snapToGrid w:val="0"/>
                <w:color w:val="000000"/>
                <w:spacing w:val="7"/>
                <w:kern w:val="0"/>
                <w:sz w:val="24"/>
                <w:szCs w:val="24"/>
                <w:lang w:val="en-US" w:eastAsia="zh-CN" w:bidi="ar-SA"/>
              </w:rPr>
              <w:t>本项目研究的海缆技术门槛高，更新换代快，在海洋能源开发等领域扮演着至关重要的角色，但其发展和应用仍然存在一些局限性，特别是在材料耐久性、深海环境适应性等方面仍需进一步突破，主要包括以下两点：</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cs="仿宋"/>
                <w:b w:val="0"/>
                <w:bCs w:val="0"/>
                <w:snapToGrid w:val="0"/>
                <w:color w:val="000000"/>
                <w:spacing w:val="7"/>
                <w:kern w:val="0"/>
                <w:sz w:val="24"/>
                <w:szCs w:val="24"/>
                <w:lang w:val="en-US" w:eastAsia="zh-CN" w:bidi="ar-SA"/>
              </w:rPr>
            </w:pPr>
            <w:r>
              <w:rPr>
                <w:rFonts w:hint="eastAsia" w:cs="仿宋"/>
                <w:b w:val="0"/>
                <w:bCs w:val="0"/>
                <w:snapToGrid w:val="0"/>
                <w:color w:val="000000"/>
                <w:spacing w:val="7"/>
                <w:kern w:val="0"/>
                <w:sz w:val="24"/>
                <w:szCs w:val="24"/>
                <w:lang w:val="en-US" w:eastAsia="zh-CN" w:bidi="ar-SA"/>
              </w:rPr>
              <w:t>1）我国超高压电缆绝缘及半导电屏蔽材料的研制仍处于起步阶段，后续还需要和国内高校科研院所开展材料改性基础研究，为生产高性能超高压交直流海缆提供坚实技术基础。</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cs="仿宋"/>
                <w:b w:val="0"/>
                <w:bCs w:val="0"/>
                <w:snapToGrid w:val="0"/>
                <w:color w:val="000000"/>
                <w:spacing w:val="7"/>
                <w:kern w:val="0"/>
                <w:sz w:val="24"/>
                <w:szCs w:val="24"/>
                <w:lang w:val="en-US" w:eastAsia="zh-CN" w:bidi="ar-SA"/>
              </w:rPr>
            </w:pPr>
            <w:r>
              <w:rPr>
                <w:rFonts w:hint="eastAsia" w:cs="仿宋"/>
                <w:b w:val="0"/>
                <w:bCs w:val="0"/>
                <w:snapToGrid w:val="0"/>
                <w:color w:val="000000"/>
                <w:spacing w:val="7"/>
                <w:kern w:val="0"/>
                <w:sz w:val="24"/>
                <w:szCs w:val="24"/>
                <w:lang w:val="en-US" w:eastAsia="zh-CN" w:bidi="ar-SA"/>
              </w:rPr>
              <w:t>2）国内的海缆敷设单位，仅有近海敷设经验，为应对更复杂的深远海域挑战，后续还需同海缆敷设单位紧密合作，共同研发自主的深远海海缆敷设装备及技术。</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0" w:leftChars="0" w:firstLine="0" w:firstLineChars="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napToGrid w:val="0"/>
                <w:color w:val="000000"/>
                <w:spacing w:val="7"/>
                <w:kern w:val="0"/>
                <w:sz w:val="24"/>
                <w:szCs w:val="24"/>
                <w:lang w:val="en-US" w:eastAsia="zh-CN" w:bidi="ar-SA"/>
              </w:rPr>
              <w:t>6．</w:t>
            </w:r>
            <w:r>
              <w:rPr>
                <w:rFonts w:hint="eastAsia" w:ascii="仿宋" w:hAnsi="仿宋" w:eastAsia="仿宋" w:cs="仿宋"/>
                <w:b w:val="0"/>
                <w:bCs w:val="0"/>
                <w:spacing w:val="7"/>
                <w:sz w:val="24"/>
                <w:szCs w:val="24"/>
                <w:lang w:val="en-US" w:eastAsia="zh-CN"/>
              </w:rPr>
              <w:t>历年获奖情况：</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1）南海海缆有限公司、中天科技海缆股份有限公司完成的“海洋能源传输用超高压大截面光纤复合海底电缆系统研制及产业化”项目获广东省质量协会授予的2024年质量技术奖项目奖一等奖。</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2）南海海缆有限公司完成的“漂浮式海上风电用动态海缆技术研究及产业化”项目获中国机械工业联合会、中国机械工程学会授予的2024年机械工业科学技术奖科技进步二等奖。</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3）南海海缆有限公司完成的“海上能源开发用大长度超高压光电复合海底电缆研制与产业化”项目获中国电工技术学会授予的2023年度中国电工技术学会科学技术奖科技进步二等奖。</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4）南海海缆有限公司完成的“超深水重载设备动力传输及通信脐带缆研制”项目获中国电力企业联合会授予的2023年度电力科技创新奖二等奖。</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5）南海海缆有限公司完成的“海洋能源资源开发用动态海缆技术研究及产业化”项目获中国机械工业联合会、中国机械工程学会授予的2023年机械工业科学技术奖科技进步二等奖。</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leftChars="0" w:firstLine="508" w:firstLineChars="200"/>
              <w:jc w:val="both"/>
              <w:textAlignment w:val="baseline"/>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6）南海海缆有限公司完成的“大长度三芯220kV及以下轻型低碳海底电缆技术研究及产业化”项目获中国机械工业联合会、中国机械工程学会授予的2022年机械工业科学技术奖科技进步三等奖。</w:t>
            </w:r>
          </w:p>
        </w:tc>
      </w:tr>
    </w:tbl>
    <w:p>
      <w:pPr>
        <w:spacing w:line="20" w:lineRule="exact"/>
        <w:rPr>
          <w:rFonts w:hint="eastAsia" w:ascii="仿宋" w:hAnsi="仿宋" w:eastAsia="仿宋" w:cs="仿宋"/>
          <w:sz w:val="21"/>
        </w:rPr>
      </w:pPr>
    </w:p>
    <w:sectPr>
      <w:pgSz w:w="11906" w:h="16839"/>
      <w:pgMar w:top="1440" w:right="1080" w:bottom="1440" w:left="1080" w:header="0" w:footer="8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NiZTQ2NjVmYmJmMGNlZjIwZDI1NTI1ODEwMzlmYzcifQ=="/>
  </w:docVars>
  <w:rsids>
    <w:rsidRoot w:val="00172A27"/>
    <w:rsid w:val="006F0A7E"/>
    <w:rsid w:val="01341807"/>
    <w:rsid w:val="01655B5D"/>
    <w:rsid w:val="0196601E"/>
    <w:rsid w:val="05726C3F"/>
    <w:rsid w:val="05BA3C68"/>
    <w:rsid w:val="05C50C80"/>
    <w:rsid w:val="08526BDD"/>
    <w:rsid w:val="0A535B50"/>
    <w:rsid w:val="0D5D3E94"/>
    <w:rsid w:val="0D961658"/>
    <w:rsid w:val="0DD93BDF"/>
    <w:rsid w:val="0E2844A2"/>
    <w:rsid w:val="10525806"/>
    <w:rsid w:val="121C6250"/>
    <w:rsid w:val="13125799"/>
    <w:rsid w:val="13276BCF"/>
    <w:rsid w:val="14342A15"/>
    <w:rsid w:val="169E305E"/>
    <w:rsid w:val="1A3B730B"/>
    <w:rsid w:val="1CE04199"/>
    <w:rsid w:val="1F3802BD"/>
    <w:rsid w:val="1F8D021C"/>
    <w:rsid w:val="206A6B9C"/>
    <w:rsid w:val="22BD7DA9"/>
    <w:rsid w:val="2339489D"/>
    <w:rsid w:val="254A2AF8"/>
    <w:rsid w:val="27286E69"/>
    <w:rsid w:val="286D547B"/>
    <w:rsid w:val="297E088B"/>
    <w:rsid w:val="29885815"/>
    <w:rsid w:val="29A749BD"/>
    <w:rsid w:val="2AEB08D9"/>
    <w:rsid w:val="2C1A1476"/>
    <w:rsid w:val="2D414E11"/>
    <w:rsid w:val="2DB057BD"/>
    <w:rsid w:val="311C5A68"/>
    <w:rsid w:val="317D1841"/>
    <w:rsid w:val="317E6003"/>
    <w:rsid w:val="32907C25"/>
    <w:rsid w:val="330518B2"/>
    <w:rsid w:val="33CE26E6"/>
    <w:rsid w:val="356B689E"/>
    <w:rsid w:val="36A238B1"/>
    <w:rsid w:val="36D83E65"/>
    <w:rsid w:val="39D543DA"/>
    <w:rsid w:val="3C1459B4"/>
    <w:rsid w:val="40D20119"/>
    <w:rsid w:val="42220C2D"/>
    <w:rsid w:val="49584F34"/>
    <w:rsid w:val="4B0C5FD6"/>
    <w:rsid w:val="4B977BD2"/>
    <w:rsid w:val="4D744F0A"/>
    <w:rsid w:val="4D7904DF"/>
    <w:rsid w:val="4F6458BC"/>
    <w:rsid w:val="50293AB8"/>
    <w:rsid w:val="516C3C72"/>
    <w:rsid w:val="52707792"/>
    <w:rsid w:val="52B03A6C"/>
    <w:rsid w:val="53175B20"/>
    <w:rsid w:val="54F00716"/>
    <w:rsid w:val="55202DAA"/>
    <w:rsid w:val="554A067A"/>
    <w:rsid w:val="598F04FE"/>
    <w:rsid w:val="5A4E2167"/>
    <w:rsid w:val="5C6C2D78"/>
    <w:rsid w:val="5CAC7773"/>
    <w:rsid w:val="5CC44962"/>
    <w:rsid w:val="5EEE3AEE"/>
    <w:rsid w:val="61472336"/>
    <w:rsid w:val="618B3CA1"/>
    <w:rsid w:val="61D365BA"/>
    <w:rsid w:val="63043601"/>
    <w:rsid w:val="637024EA"/>
    <w:rsid w:val="64487AC8"/>
    <w:rsid w:val="644B199A"/>
    <w:rsid w:val="675611A9"/>
    <w:rsid w:val="699833FF"/>
    <w:rsid w:val="6A0D5B9B"/>
    <w:rsid w:val="6AD246EE"/>
    <w:rsid w:val="6B5C045C"/>
    <w:rsid w:val="6C21592D"/>
    <w:rsid w:val="6CEC2F10"/>
    <w:rsid w:val="6E8757F0"/>
    <w:rsid w:val="707A03ED"/>
    <w:rsid w:val="72086C48"/>
    <w:rsid w:val="73E01C2A"/>
    <w:rsid w:val="740457C6"/>
    <w:rsid w:val="797A6F35"/>
    <w:rsid w:val="798E3ED6"/>
    <w:rsid w:val="7AB135F1"/>
    <w:rsid w:val="7B3F4D1D"/>
    <w:rsid w:val="7C675FB9"/>
    <w:rsid w:val="7D991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31"/>
    <w:basedOn w:val="6"/>
    <w:qFormat/>
    <w:uiPriority w:val="0"/>
    <w:rPr>
      <w:rFonts w:hint="eastAsia" w:ascii="宋体" w:hAnsi="宋体" w:eastAsia="宋体" w:cs="宋体"/>
      <w:i/>
      <w:iCs/>
      <w:color w:val="000000"/>
      <w:sz w:val="20"/>
      <w:szCs w:val="20"/>
      <w:u w:val="none"/>
    </w:rPr>
  </w:style>
  <w:style w:type="paragraph" w:customStyle="1" w:styleId="11">
    <w:name w:val="li_正文"/>
    <w:basedOn w:val="1"/>
    <w:qFormat/>
    <w:uiPriority w:val="0"/>
    <w:pPr>
      <w:ind w:firstLine="200" w:firstLineChars="200"/>
      <w:jc w:val="left"/>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4109</Words>
  <Characters>4653</Characters>
  <TotalTime>8</TotalTime>
  <ScaleCrop>false</ScaleCrop>
  <LinksUpToDate>false</LinksUpToDate>
  <CharactersWithSpaces>4771</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2024-12-05T11:49:00Z</dcterms:created>
  <dc:creator>藏羚羊^^</dc:creator>
  <cp:lastModifiedBy>袁劭翊</cp:lastModifiedBy>
  <dcterms:modified xsi:type="dcterms:W3CDTF">2025-01-24T01:58:19Z</dcterms:modified>
  <dc:title>附件4 2024年度广东省科学技奖公示表1203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2024-12-26T14:44:47Z</vt:filetime>
  </property>
  <property fmtid="{D5CDD505-2E9C-101B-9397-08002B2CF9AE}" pid="4" name="KSOProductBuildVer">
    <vt:lpwstr>2052-11.8.2.11716</vt:lpwstr>
  </property>
  <property fmtid="{D5CDD505-2E9C-101B-9397-08002B2CF9AE}" pid="5" name="ICV">
    <vt:lpwstr>3FA24C0557214FD2B5D831257A690CF7_13</vt:lpwstr>
  </property>
  <property fmtid="{D5CDD505-2E9C-101B-9397-08002B2CF9AE}" pid="6" name="KSOTemplateDocerSaveRecord">
    <vt:lpwstr>eyJoZGlkIjoiNzI1MzljODBiNDliMzEyMzFlZWNlN2EzYjU0N2YzMWEiLCJ1c2VySWQiOiIxNTQ1OTc4Mzk0In0=</vt:lpwstr>
  </property>
</Properties>
</file>