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1"/>
        <w:ind w:left="4"/>
        <w:jc w:val="center"/>
        <w:rPr>
          <w:rFonts w:hint="eastAsia" w:asciiTheme="majorEastAsia" w:hAnsiTheme="majorEastAsia" w:eastAsiaTheme="majorEastAsia" w:cstheme="majorEastAsia"/>
          <w:sz w:val="35"/>
          <w:szCs w:val="35"/>
        </w:rPr>
      </w:pPr>
      <w:bookmarkStart w:id="0" w:name="2024年度广东省科学技术奖公示表"/>
      <w:bookmarkEnd w:id="0"/>
      <w:r>
        <w:rPr>
          <w:rFonts w:hint="eastAsia" w:asciiTheme="majorEastAsia" w:hAnsiTheme="majorEastAsia" w:eastAsiaTheme="majorEastAsia" w:cstheme="majorEastAsia"/>
          <w:spacing w:val="-2"/>
          <w:sz w:val="35"/>
          <w:szCs w:val="35"/>
        </w:rPr>
        <w:t>2024</w:t>
      </w:r>
      <w:r>
        <w:rPr>
          <w:rFonts w:hint="eastAsia" w:asciiTheme="majorEastAsia" w:hAnsiTheme="majorEastAsia" w:eastAsiaTheme="majorEastAsia" w:cstheme="majorEastAsia"/>
          <w:spacing w:val="-3"/>
          <w:sz w:val="35"/>
          <w:szCs w:val="35"/>
        </w:rPr>
        <w:t>年度广东省科学技术奖公示表</w:t>
      </w:r>
    </w:p>
    <w:p>
      <w:pPr>
        <w:pStyle w:val="2"/>
        <w:ind w:left="4"/>
        <w:jc w:val="center"/>
        <w:rPr>
          <w:rFonts w:hint="eastAsia" w:asciiTheme="majorEastAsia" w:hAnsiTheme="majorEastAsia" w:eastAsiaTheme="majorEastAsia" w:cstheme="majorEastAsia"/>
          <w:sz w:val="35"/>
          <w:szCs w:val="35"/>
        </w:rPr>
      </w:pPr>
      <w:bookmarkStart w:id="1" w:name="（青年科技创新奖格式）"/>
      <w:bookmarkEnd w:id="1"/>
      <w:r>
        <w:rPr>
          <w:rFonts w:hint="eastAsia" w:asciiTheme="majorEastAsia" w:hAnsiTheme="majorEastAsia" w:eastAsiaTheme="majorEastAsia" w:cstheme="majorEastAsia"/>
          <w:spacing w:val="-4"/>
          <w:sz w:val="35"/>
          <w:szCs w:val="35"/>
        </w:rPr>
        <w:t>（青年科技创新奖</w:t>
      </w:r>
      <w:bookmarkStart w:id="2" w:name="_GoBack"/>
      <w:bookmarkEnd w:id="2"/>
      <w:r>
        <w:rPr>
          <w:rFonts w:hint="eastAsia" w:asciiTheme="majorEastAsia" w:hAnsiTheme="majorEastAsia" w:eastAsiaTheme="majorEastAsia" w:cstheme="majorEastAsia"/>
          <w:spacing w:val="-10"/>
          <w:sz w:val="35"/>
          <w:szCs w:val="35"/>
        </w:rPr>
        <w:t>）</w:t>
      </w:r>
    </w:p>
    <w:p>
      <w:pPr>
        <w:pStyle w:val="2"/>
        <w:spacing w:before="11"/>
        <w:rPr>
          <w:rFonts w:hint="eastAsia"/>
          <w:sz w:val="18"/>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9"/>
        <w:gridCol w:w="708"/>
        <w:gridCol w:w="1560"/>
        <w:gridCol w:w="1053"/>
        <w:gridCol w:w="1417"/>
        <w:gridCol w:w="1134"/>
        <w:gridCol w:w="24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129" w:type="dxa"/>
            <w:vMerge w:val="restart"/>
            <w:vAlign w:val="center"/>
          </w:tcPr>
          <w:p>
            <w:pPr>
              <w:pStyle w:val="9"/>
              <w:jc w:val="center"/>
              <w:rPr>
                <w:rFonts w:ascii="Times New Roman" w:hAnsi="Times New Roman" w:cs="Times New Roman"/>
                <w:b/>
                <w:spacing w:val="-4"/>
                <w:sz w:val="20"/>
                <w:szCs w:val="20"/>
              </w:rPr>
            </w:pPr>
            <w:r>
              <w:rPr>
                <w:rFonts w:ascii="Times New Roman" w:hAnsi="Times New Roman" w:cs="Times New Roman"/>
                <w:b/>
                <w:spacing w:val="-4"/>
                <w:sz w:val="20"/>
                <w:szCs w:val="20"/>
              </w:rPr>
              <w:t>候选人</w:t>
            </w:r>
          </w:p>
          <w:p>
            <w:pPr>
              <w:pStyle w:val="9"/>
              <w:jc w:val="center"/>
              <w:rPr>
                <w:rFonts w:ascii="Times New Roman" w:hAnsi="Times New Roman" w:cs="Times New Roman"/>
                <w:b/>
                <w:spacing w:val="-4"/>
                <w:sz w:val="20"/>
                <w:szCs w:val="20"/>
              </w:rPr>
            </w:pPr>
            <w:r>
              <w:rPr>
                <w:rFonts w:ascii="Times New Roman" w:hAnsi="Times New Roman" w:cs="Times New Roman"/>
                <w:b/>
                <w:spacing w:val="-4"/>
                <w:sz w:val="20"/>
                <w:szCs w:val="20"/>
              </w:rPr>
              <w:t>基本情况</w:t>
            </w:r>
          </w:p>
        </w:tc>
        <w:tc>
          <w:tcPr>
            <w:tcW w:w="708" w:type="dxa"/>
            <w:vAlign w:val="center"/>
          </w:tcPr>
          <w:p>
            <w:pPr>
              <w:pStyle w:val="9"/>
              <w:jc w:val="center"/>
              <w:rPr>
                <w:rFonts w:ascii="Times New Roman" w:hAnsi="Times New Roman" w:cs="Times New Roman"/>
                <w:b/>
                <w:spacing w:val="-4"/>
                <w:sz w:val="20"/>
                <w:szCs w:val="20"/>
              </w:rPr>
            </w:pPr>
            <w:r>
              <w:rPr>
                <w:rFonts w:ascii="Times New Roman" w:hAnsi="Times New Roman" w:cs="Times New Roman"/>
                <w:b/>
                <w:spacing w:val="-4"/>
                <w:sz w:val="20"/>
                <w:szCs w:val="20"/>
              </w:rPr>
              <w:t>姓名</w:t>
            </w:r>
          </w:p>
        </w:tc>
        <w:tc>
          <w:tcPr>
            <w:tcW w:w="1560" w:type="dxa"/>
            <w:vAlign w:val="center"/>
          </w:tcPr>
          <w:p>
            <w:pPr>
              <w:pStyle w:val="9"/>
              <w:jc w:val="center"/>
              <w:rPr>
                <w:rFonts w:ascii="Times New Roman" w:hAnsi="Times New Roman" w:cs="Times New Roman"/>
                <w:b/>
                <w:spacing w:val="-4"/>
                <w:sz w:val="20"/>
                <w:szCs w:val="20"/>
              </w:rPr>
            </w:pPr>
            <w:r>
              <w:rPr>
                <w:rFonts w:ascii="Times New Roman" w:hAnsi="Times New Roman" w:cs="Times New Roman"/>
                <w:b/>
                <w:spacing w:val="-4"/>
                <w:sz w:val="20"/>
                <w:szCs w:val="20"/>
              </w:rPr>
              <w:t>冯盼学</w:t>
            </w:r>
          </w:p>
        </w:tc>
        <w:tc>
          <w:tcPr>
            <w:tcW w:w="1053" w:type="dxa"/>
            <w:vAlign w:val="center"/>
          </w:tcPr>
          <w:p>
            <w:pPr>
              <w:pStyle w:val="9"/>
              <w:jc w:val="center"/>
              <w:rPr>
                <w:rFonts w:ascii="Times New Roman" w:hAnsi="Times New Roman" w:cs="Times New Roman"/>
                <w:b/>
                <w:spacing w:val="-4"/>
                <w:sz w:val="20"/>
                <w:szCs w:val="20"/>
              </w:rPr>
            </w:pPr>
            <w:r>
              <w:rPr>
                <w:rFonts w:ascii="Times New Roman" w:hAnsi="Times New Roman" w:cs="Times New Roman"/>
                <w:b/>
                <w:spacing w:val="-4"/>
                <w:sz w:val="20"/>
                <w:szCs w:val="20"/>
              </w:rPr>
              <w:t>工作单位</w:t>
            </w:r>
          </w:p>
        </w:tc>
        <w:tc>
          <w:tcPr>
            <w:tcW w:w="5014" w:type="dxa"/>
            <w:gridSpan w:val="3"/>
            <w:vAlign w:val="center"/>
          </w:tcPr>
          <w:p>
            <w:pPr>
              <w:pStyle w:val="9"/>
              <w:jc w:val="center"/>
              <w:rPr>
                <w:rFonts w:ascii="Times New Roman" w:hAnsi="Times New Roman" w:cs="Times New Roman"/>
                <w:b/>
                <w:spacing w:val="-4"/>
                <w:sz w:val="20"/>
                <w:szCs w:val="20"/>
              </w:rPr>
            </w:pPr>
            <w:r>
              <w:rPr>
                <w:rFonts w:ascii="Times New Roman" w:hAnsi="Times New Roman" w:cs="Times New Roman"/>
                <w:b/>
                <w:spacing w:val="-4"/>
                <w:sz w:val="20"/>
                <w:szCs w:val="20"/>
              </w:rPr>
              <w:t>绿色智能矿业科技（广东）有限公司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dxa"/>
            <w:vMerge w:val="continue"/>
            <w:tcBorders>
              <w:top w:val="nil"/>
            </w:tcBorders>
            <w:vAlign w:val="center"/>
          </w:tcPr>
          <w:p>
            <w:pPr>
              <w:pStyle w:val="9"/>
              <w:ind w:left="497"/>
              <w:jc w:val="center"/>
              <w:rPr>
                <w:rFonts w:ascii="Times New Roman" w:hAnsi="Times New Roman" w:cs="Times New Roman"/>
                <w:b/>
                <w:spacing w:val="-4"/>
                <w:sz w:val="20"/>
                <w:szCs w:val="20"/>
              </w:rPr>
            </w:pPr>
          </w:p>
        </w:tc>
        <w:tc>
          <w:tcPr>
            <w:tcW w:w="708" w:type="dxa"/>
            <w:vAlign w:val="center"/>
          </w:tcPr>
          <w:p>
            <w:pPr>
              <w:pStyle w:val="9"/>
              <w:jc w:val="center"/>
              <w:rPr>
                <w:rFonts w:ascii="Times New Roman" w:hAnsi="Times New Roman" w:cs="Times New Roman"/>
                <w:b/>
                <w:spacing w:val="-4"/>
                <w:sz w:val="20"/>
                <w:szCs w:val="20"/>
              </w:rPr>
            </w:pPr>
            <w:r>
              <w:rPr>
                <w:rFonts w:ascii="Times New Roman" w:hAnsi="Times New Roman" w:cs="Times New Roman"/>
                <w:b/>
                <w:spacing w:val="-4"/>
                <w:sz w:val="20"/>
                <w:szCs w:val="20"/>
              </w:rPr>
              <w:t>职称</w:t>
            </w:r>
          </w:p>
        </w:tc>
        <w:tc>
          <w:tcPr>
            <w:tcW w:w="1560" w:type="dxa"/>
            <w:vAlign w:val="center"/>
          </w:tcPr>
          <w:p>
            <w:pPr>
              <w:pStyle w:val="9"/>
              <w:ind w:right="162"/>
              <w:jc w:val="center"/>
              <w:rPr>
                <w:rFonts w:ascii="Times New Roman" w:hAnsi="Times New Roman" w:cs="Times New Roman"/>
                <w:b/>
                <w:spacing w:val="-4"/>
                <w:sz w:val="20"/>
                <w:szCs w:val="20"/>
              </w:rPr>
            </w:pPr>
            <w:r>
              <w:rPr>
                <w:rFonts w:ascii="Times New Roman" w:hAnsi="Times New Roman" w:cs="Times New Roman"/>
                <w:b/>
                <w:spacing w:val="-4"/>
                <w:sz w:val="20"/>
                <w:szCs w:val="20"/>
              </w:rPr>
              <w:t>正高级工程师</w:t>
            </w:r>
          </w:p>
        </w:tc>
        <w:tc>
          <w:tcPr>
            <w:tcW w:w="1053" w:type="dxa"/>
            <w:vAlign w:val="center"/>
          </w:tcPr>
          <w:p>
            <w:pPr>
              <w:pStyle w:val="9"/>
              <w:ind w:right="162"/>
              <w:jc w:val="center"/>
              <w:rPr>
                <w:rFonts w:ascii="Times New Roman" w:hAnsi="Times New Roman" w:cs="Times New Roman"/>
                <w:b/>
                <w:spacing w:val="-4"/>
                <w:sz w:val="20"/>
                <w:szCs w:val="20"/>
              </w:rPr>
            </w:pPr>
            <w:r>
              <w:rPr>
                <w:rFonts w:ascii="Times New Roman" w:hAnsi="Times New Roman" w:cs="Times New Roman"/>
                <w:b/>
                <w:spacing w:val="-4"/>
                <w:sz w:val="20"/>
                <w:szCs w:val="20"/>
              </w:rPr>
              <w:t>学历</w:t>
            </w:r>
          </w:p>
        </w:tc>
        <w:tc>
          <w:tcPr>
            <w:tcW w:w="1417" w:type="dxa"/>
            <w:vAlign w:val="center"/>
          </w:tcPr>
          <w:p>
            <w:pPr>
              <w:pStyle w:val="9"/>
              <w:ind w:right="162"/>
              <w:jc w:val="center"/>
              <w:rPr>
                <w:rFonts w:ascii="Times New Roman" w:hAnsi="Times New Roman" w:cs="Times New Roman"/>
                <w:b/>
                <w:spacing w:val="-4"/>
                <w:sz w:val="20"/>
                <w:szCs w:val="20"/>
              </w:rPr>
            </w:pPr>
            <w:r>
              <w:rPr>
                <w:rFonts w:ascii="Times New Roman" w:hAnsi="Times New Roman" w:cs="Times New Roman"/>
                <w:b/>
                <w:spacing w:val="-4"/>
                <w:sz w:val="20"/>
                <w:szCs w:val="20"/>
              </w:rPr>
              <w:t>博士</w:t>
            </w:r>
            <w:r>
              <w:rPr>
                <w:rFonts w:hint="eastAsia" w:ascii="Times New Roman" w:hAnsi="Times New Roman" w:cs="Times New Roman"/>
                <w:b/>
                <w:spacing w:val="-4"/>
                <w:sz w:val="20"/>
                <w:szCs w:val="20"/>
              </w:rPr>
              <w:t>研究生</w:t>
            </w:r>
          </w:p>
        </w:tc>
        <w:tc>
          <w:tcPr>
            <w:tcW w:w="1134" w:type="dxa"/>
            <w:vAlign w:val="center"/>
          </w:tcPr>
          <w:p>
            <w:pPr>
              <w:pStyle w:val="9"/>
              <w:ind w:right="162"/>
              <w:jc w:val="center"/>
              <w:rPr>
                <w:rFonts w:ascii="Times New Roman" w:hAnsi="Times New Roman" w:cs="Times New Roman"/>
                <w:b/>
                <w:spacing w:val="-4"/>
                <w:sz w:val="20"/>
                <w:szCs w:val="20"/>
              </w:rPr>
            </w:pPr>
            <w:r>
              <w:rPr>
                <w:rFonts w:ascii="Times New Roman" w:hAnsi="Times New Roman" w:cs="Times New Roman"/>
                <w:b/>
                <w:spacing w:val="-4"/>
                <w:sz w:val="20"/>
                <w:szCs w:val="20"/>
              </w:rPr>
              <w:t>从事专业</w:t>
            </w:r>
          </w:p>
        </w:tc>
        <w:tc>
          <w:tcPr>
            <w:tcW w:w="2463" w:type="dxa"/>
            <w:vAlign w:val="center"/>
          </w:tcPr>
          <w:p>
            <w:pPr>
              <w:pStyle w:val="9"/>
              <w:ind w:right="162"/>
              <w:jc w:val="center"/>
              <w:rPr>
                <w:rFonts w:ascii="Times New Roman" w:hAnsi="Times New Roman" w:cs="Times New Roman"/>
                <w:b/>
                <w:spacing w:val="-4"/>
                <w:sz w:val="20"/>
                <w:szCs w:val="20"/>
              </w:rPr>
            </w:pPr>
            <w:r>
              <w:rPr>
                <w:rFonts w:ascii="Times New Roman" w:hAnsi="Times New Roman" w:cs="Times New Roman"/>
                <w:b/>
                <w:spacing w:val="-4"/>
                <w:sz w:val="20"/>
                <w:szCs w:val="20"/>
              </w:rPr>
              <w:t>智能采矿工程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837" w:type="dxa"/>
            <w:gridSpan w:val="2"/>
            <w:vAlign w:val="center"/>
          </w:tcPr>
          <w:p>
            <w:pPr>
              <w:pStyle w:val="9"/>
              <w:jc w:val="center"/>
              <w:rPr>
                <w:rFonts w:ascii="Times New Roman" w:hAnsi="Times New Roman" w:cs="Times New Roman"/>
                <w:b/>
                <w:spacing w:val="-4"/>
                <w:sz w:val="20"/>
                <w:szCs w:val="20"/>
              </w:rPr>
            </w:pPr>
            <w:r>
              <w:rPr>
                <w:rFonts w:ascii="Times New Roman" w:hAnsi="Times New Roman" w:cs="Times New Roman"/>
                <w:b/>
                <w:spacing w:val="-4"/>
                <w:sz w:val="20"/>
                <w:szCs w:val="20"/>
              </w:rPr>
              <w:t>提名者</w:t>
            </w:r>
          </w:p>
        </w:tc>
        <w:tc>
          <w:tcPr>
            <w:tcW w:w="7627" w:type="dxa"/>
            <w:gridSpan w:val="5"/>
            <w:vAlign w:val="center"/>
          </w:tcPr>
          <w:p>
            <w:pPr>
              <w:pStyle w:val="9"/>
              <w:jc w:val="center"/>
              <w:rPr>
                <w:rFonts w:ascii="Times New Roman" w:hAnsi="Times New Roman" w:cs="Times New Roman"/>
                <w:b/>
                <w:spacing w:val="-4"/>
                <w:sz w:val="20"/>
                <w:szCs w:val="20"/>
              </w:rPr>
            </w:pPr>
            <w:r>
              <w:rPr>
                <w:rFonts w:ascii="Times New Roman" w:hAnsi="Times New Roman" w:cs="Times New Roman"/>
                <w:b/>
                <w:spacing w:val="-4"/>
                <w:sz w:val="20"/>
                <w:szCs w:val="20"/>
              </w:rPr>
              <w:t>汕尾市科学技术局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2" w:hRule="atLeast"/>
          <w:jc w:val="center"/>
        </w:trPr>
        <w:tc>
          <w:tcPr>
            <w:tcW w:w="1837" w:type="dxa"/>
            <w:gridSpan w:val="2"/>
            <w:vAlign w:val="center"/>
          </w:tcPr>
          <w:p>
            <w:pPr>
              <w:pStyle w:val="9"/>
              <w:ind w:left="497"/>
              <w:rPr>
                <w:rFonts w:ascii="Times New Roman" w:hAnsi="Times New Roman" w:cs="Times New Roman"/>
                <w:b/>
                <w:spacing w:val="-4"/>
                <w:sz w:val="20"/>
                <w:szCs w:val="20"/>
              </w:rPr>
            </w:pPr>
            <w:r>
              <w:rPr>
                <w:rFonts w:ascii="Times New Roman" w:hAnsi="Times New Roman" w:cs="Times New Roman"/>
                <w:b/>
                <w:spacing w:val="-4"/>
                <w:sz w:val="20"/>
                <w:szCs w:val="20"/>
              </w:rPr>
              <w:t>提名意见</w:t>
            </w:r>
          </w:p>
        </w:tc>
        <w:tc>
          <w:tcPr>
            <w:tcW w:w="7627" w:type="dxa"/>
            <w:gridSpan w:val="5"/>
            <w:vAlign w:val="center"/>
          </w:tcPr>
          <w:p>
            <w:pPr>
              <w:pStyle w:val="9"/>
              <w:ind w:firstLine="384" w:firstLineChars="200"/>
              <w:jc w:val="both"/>
              <w:rPr>
                <w:rFonts w:hint="eastAsia" w:ascii="Times New Roman" w:hAnsi="Times New Roman" w:cs="Times New Roman"/>
                <w:bCs/>
                <w:spacing w:val="-4"/>
                <w:sz w:val="20"/>
                <w:szCs w:val="20"/>
              </w:rPr>
            </w:pPr>
            <w:r>
              <w:rPr>
                <w:rFonts w:hint="eastAsia" w:ascii="Times New Roman" w:hAnsi="Times New Roman" w:cs="Times New Roman"/>
                <w:bCs/>
                <w:spacing w:val="-4"/>
                <w:sz w:val="20"/>
                <w:szCs w:val="20"/>
              </w:rPr>
              <w:t>候选人是汪旭光院士（智能采矿爆破提出者）团队青年学科带头人，专门从事矿业人工智能领域无人采矿、智慧爆破、智能采矿爆破机器人等方向的科技攻关，现任国家金属矿产资源综合利用工程技术研究中心学术（技术）带头人、金属矿绿色开采国家级国际联合研究中心学术（技术）带头人、国务院安全生产委员会专家等。</w:t>
            </w:r>
          </w:p>
          <w:p>
            <w:pPr>
              <w:pStyle w:val="9"/>
              <w:ind w:firstLine="384" w:firstLineChars="200"/>
              <w:jc w:val="both"/>
              <w:rPr>
                <w:rFonts w:hint="eastAsia" w:ascii="Times New Roman" w:hAnsi="Times New Roman" w:cs="Times New Roman"/>
                <w:bCs/>
                <w:spacing w:val="-4"/>
                <w:sz w:val="20"/>
                <w:szCs w:val="20"/>
              </w:rPr>
            </w:pPr>
            <w:r>
              <w:rPr>
                <w:rFonts w:hint="eastAsia" w:ascii="Times New Roman" w:hAnsi="Times New Roman" w:cs="Times New Roman"/>
                <w:bCs/>
                <w:spacing w:val="-4"/>
                <w:sz w:val="20"/>
                <w:szCs w:val="20"/>
              </w:rPr>
              <w:t>候选人瞄准战略性矿产资源智慧开发的重大科学问题与技术难题，攻克了多层重叠残矿智能开采、近海海底黄金智能采矿、亚洲第一深竖井智能爆破、全球单体资源量及生产规模最大石墨矿智能协同采选、薄矿体受限空间全息透明开采等一批重大核心共性关键理论技术，建成了5个国家级示范基地，实现了战略资源智慧开发领域的国家一流研发团队与全球领先创新能力。</w:t>
            </w:r>
          </w:p>
          <w:p>
            <w:pPr>
              <w:pStyle w:val="9"/>
              <w:ind w:firstLine="384" w:firstLineChars="200"/>
              <w:jc w:val="both"/>
              <w:rPr>
                <w:rFonts w:hint="eastAsia" w:ascii="Times New Roman" w:hAnsi="Times New Roman" w:cs="Times New Roman"/>
                <w:bCs/>
                <w:spacing w:val="-4"/>
                <w:sz w:val="20"/>
                <w:szCs w:val="20"/>
              </w:rPr>
            </w:pPr>
            <w:r>
              <w:rPr>
                <w:rFonts w:hint="eastAsia" w:ascii="Times New Roman" w:hAnsi="Times New Roman" w:cs="Times New Roman"/>
                <w:bCs/>
                <w:spacing w:val="-4"/>
                <w:sz w:val="20"/>
                <w:szCs w:val="20"/>
              </w:rPr>
              <w:t>候选人近5年在重大科学发现、推动学科与行业发展方面创新成效显著：主持40项科研项目，包括10项国家级纵向课题和30项国内外企业横向项目；获省部级及以上科技奖励11项，包括：一等奖3项、二等奖7项、优秀奖1项，其中5项为第一完成人；发表高水平科技论文50余篇，获多年“被引频次T0P10论文优秀作者”称号；授权有较大价值并取得显著效益的发明专利9项，其中6项为第一发明人；以第一完成人获省部级及以上新技术新产品认证3项；5项科技成果经评价为国际领先水平；主持研发的科技成果在国内外推广应用，年创造经济效益10亿元。</w:t>
            </w:r>
          </w:p>
          <w:p>
            <w:pPr>
              <w:pStyle w:val="9"/>
              <w:ind w:firstLine="384" w:firstLineChars="200"/>
              <w:jc w:val="both"/>
              <w:rPr>
                <w:rFonts w:ascii="Times New Roman" w:hAnsi="Times New Roman" w:cs="Times New Roman"/>
                <w:b/>
                <w:spacing w:val="-4"/>
                <w:sz w:val="20"/>
                <w:szCs w:val="20"/>
              </w:rPr>
            </w:pPr>
            <w:r>
              <w:rPr>
                <w:rFonts w:hint="eastAsia" w:ascii="Times New Roman" w:hAnsi="Times New Roman" w:cs="Times New Roman"/>
                <w:bCs/>
                <w:spacing w:val="-4"/>
                <w:sz w:val="20"/>
                <w:szCs w:val="20"/>
              </w:rPr>
              <w:t>因此，鉴于发挥了青年科技创新人才的模范带头作用，提名其申报广东省科学技术奖青年科技创新奖。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5" w:hRule="atLeast"/>
          <w:jc w:val="center"/>
        </w:trPr>
        <w:tc>
          <w:tcPr>
            <w:tcW w:w="1837" w:type="dxa"/>
            <w:gridSpan w:val="2"/>
            <w:vAlign w:val="center"/>
          </w:tcPr>
          <w:p>
            <w:pPr>
              <w:pStyle w:val="9"/>
              <w:jc w:val="center"/>
              <w:rPr>
                <w:rFonts w:ascii="Times New Roman" w:hAnsi="Times New Roman" w:cs="Times New Roman"/>
                <w:b/>
                <w:spacing w:val="-4"/>
                <w:sz w:val="20"/>
                <w:szCs w:val="20"/>
              </w:rPr>
            </w:pPr>
            <w:r>
              <w:rPr>
                <w:rFonts w:ascii="Times New Roman" w:hAnsi="Times New Roman" w:cs="Times New Roman"/>
                <w:b/>
                <w:spacing w:val="-4"/>
                <w:sz w:val="20"/>
                <w:szCs w:val="20"/>
              </w:rPr>
              <w:t>候选人的主要</w:t>
            </w:r>
          </w:p>
          <w:p>
            <w:pPr>
              <w:pStyle w:val="9"/>
              <w:jc w:val="center"/>
              <w:rPr>
                <w:rFonts w:ascii="Times New Roman" w:hAnsi="Times New Roman" w:cs="Times New Roman"/>
                <w:b/>
                <w:spacing w:val="-4"/>
                <w:sz w:val="20"/>
                <w:szCs w:val="20"/>
              </w:rPr>
            </w:pPr>
            <w:r>
              <w:rPr>
                <w:rFonts w:ascii="Times New Roman" w:hAnsi="Times New Roman" w:cs="Times New Roman"/>
                <w:b/>
                <w:spacing w:val="-4"/>
                <w:sz w:val="20"/>
                <w:szCs w:val="20"/>
              </w:rPr>
              <w:t>科研业绩</w:t>
            </w:r>
          </w:p>
        </w:tc>
        <w:tc>
          <w:tcPr>
            <w:tcW w:w="7627" w:type="dxa"/>
            <w:gridSpan w:val="5"/>
            <w:vAlign w:val="center"/>
          </w:tcPr>
          <w:p>
            <w:pPr>
              <w:pStyle w:val="9"/>
              <w:ind w:firstLine="384" w:firstLineChars="200"/>
              <w:jc w:val="both"/>
              <w:rPr>
                <w:rFonts w:ascii="Times New Roman" w:hAnsi="Times New Roman" w:cs="Times New Roman"/>
                <w:bCs/>
                <w:spacing w:val="-4"/>
                <w:sz w:val="20"/>
                <w:szCs w:val="20"/>
              </w:rPr>
            </w:pPr>
            <w:r>
              <w:rPr>
                <w:rFonts w:ascii="Times New Roman" w:hAnsi="Times New Roman" w:cs="Times New Roman"/>
                <w:bCs/>
                <w:spacing w:val="-4"/>
                <w:sz w:val="20"/>
                <w:szCs w:val="20"/>
              </w:rPr>
              <w:t>候选人现任国家金属矿产资源综合利用工程技术研究中心学术（技术）带头人、金属矿绿色开采国家级国际联合研究中心学术（技术）带头人、国务院安全生产委员会专家等。聚焦战略性矿产资源智能开发的关键技术研发，形成了多层重叠矿柱阶梯式开采与反链式调控、地下金属矿智能开采、深竖井高效率低损害智能爆破掘进、晶质石墨智能协同采选、薄矿脉受限空间产业链一体化智慧采矿等一批智能采矿爆破原创性科技成果，实现了战略资源智慧生态开发领域的国际领先创新能力，发展了矿业人工智能战略性新兴产业。</w:t>
            </w:r>
          </w:p>
          <w:p>
            <w:pPr>
              <w:pStyle w:val="9"/>
              <w:ind w:firstLine="384" w:firstLineChars="200"/>
              <w:jc w:val="both"/>
              <w:rPr>
                <w:rFonts w:ascii="Times New Roman" w:hAnsi="Times New Roman" w:cs="Times New Roman"/>
                <w:bCs/>
                <w:spacing w:val="-4"/>
                <w:sz w:val="20"/>
                <w:szCs w:val="20"/>
              </w:rPr>
            </w:pPr>
            <w:r>
              <w:rPr>
                <w:rFonts w:ascii="Times New Roman" w:hAnsi="Times New Roman" w:cs="Times New Roman"/>
                <w:bCs/>
                <w:spacing w:val="-4"/>
                <w:sz w:val="20"/>
                <w:szCs w:val="20"/>
              </w:rPr>
              <w:t>近5年技术研发方面：主持40项科研项目，包括10项国家级纵向课题和30项国内外企业横向项目；获省部级及以上科技奖励11项，包括：一等奖3项、二等奖7项、优秀奖1项，其中5项为第一完成人；在国内外高水平期刊发表科技论文50余篇，获多年“被引频次T0P10论文优秀作者”称号；授权有较大价值并取得显著效益的发明专利9项，其中6项为第一发明人；以第一完成人获省部级及以上新技术新产品认证3项；5项科技成果经评价为国际领先水平。</w:t>
            </w:r>
          </w:p>
          <w:p>
            <w:pPr>
              <w:pStyle w:val="9"/>
              <w:ind w:firstLine="384" w:firstLineChars="200"/>
              <w:jc w:val="both"/>
              <w:rPr>
                <w:rFonts w:ascii="Times New Roman" w:hAnsi="Times New Roman" w:cs="Times New Roman"/>
                <w:b/>
                <w:spacing w:val="-4"/>
                <w:sz w:val="20"/>
                <w:szCs w:val="20"/>
              </w:rPr>
            </w:pPr>
            <w:r>
              <w:rPr>
                <w:rFonts w:ascii="Times New Roman" w:hAnsi="Times New Roman" w:cs="Times New Roman"/>
                <w:bCs/>
                <w:spacing w:val="-4"/>
                <w:sz w:val="20"/>
                <w:szCs w:val="20"/>
              </w:rPr>
              <w:t>近5年技术应用方面：建成了多层重叠残矿智能开采工程、近海海底黄金智能采矿工程、亚洲第一深竖井智能爆破工程、</w:t>
            </w:r>
            <w:r>
              <w:rPr>
                <w:rFonts w:hint="eastAsia" w:ascii="Times New Roman" w:hAnsi="Times New Roman" w:cs="Times New Roman"/>
                <w:bCs/>
                <w:spacing w:val="-4"/>
                <w:sz w:val="20"/>
                <w:szCs w:val="20"/>
              </w:rPr>
              <w:t>全球单体资源量及生产规模最大石墨矿</w:t>
            </w:r>
            <w:r>
              <w:rPr>
                <w:rFonts w:ascii="Times New Roman" w:hAnsi="Times New Roman" w:cs="Times New Roman"/>
                <w:bCs/>
                <w:spacing w:val="-4"/>
                <w:sz w:val="20"/>
                <w:szCs w:val="20"/>
              </w:rPr>
              <w:t>采选协同智能矿山、薄矿体受限空间全息透明开采工程等多个国家级示范基地；主持研发的科技成果、专利、新技术新产品等在国内外多个矿山推广应用，年创造经济效益10亿元。</w:t>
            </w:r>
          </w:p>
        </w:tc>
      </w:tr>
    </w:tbl>
    <w:p>
      <w:pPr>
        <w:pStyle w:val="2"/>
        <w:spacing w:before="59"/>
        <w:rPr>
          <w:rFonts w:hint="eastAsia"/>
          <w:sz w:val="28"/>
        </w:rPr>
      </w:pPr>
    </w:p>
    <w:sectPr>
      <w:type w:val="continuous"/>
      <w:pgSz w:w="11910" w:h="16840"/>
      <w:pgMar w:top="1920" w:right="820" w:bottom="280" w:left="13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051"/>
    <w:rsid w:val="000765B4"/>
    <w:rsid w:val="000918BE"/>
    <w:rsid w:val="000B09E6"/>
    <w:rsid w:val="000B6816"/>
    <w:rsid w:val="00114D99"/>
    <w:rsid w:val="00141D46"/>
    <w:rsid w:val="001B1299"/>
    <w:rsid w:val="001D5DC3"/>
    <w:rsid w:val="002155C1"/>
    <w:rsid w:val="002A5008"/>
    <w:rsid w:val="00302727"/>
    <w:rsid w:val="003110BC"/>
    <w:rsid w:val="00385CE4"/>
    <w:rsid w:val="003C069F"/>
    <w:rsid w:val="003E65D7"/>
    <w:rsid w:val="003F0820"/>
    <w:rsid w:val="003F682E"/>
    <w:rsid w:val="004153B4"/>
    <w:rsid w:val="00434208"/>
    <w:rsid w:val="0043660B"/>
    <w:rsid w:val="00447047"/>
    <w:rsid w:val="004517DF"/>
    <w:rsid w:val="00484E5B"/>
    <w:rsid w:val="004A7718"/>
    <w:rsid w:val="004C547C"/>
    <w:rsid w:val="004F62F5"/>
    <w:rsid w:val="0052497C"/>
    <w:rsid w:val="00581E93"/>
    <w:rsid w:val="005A619F"/>
    <w:rsid w:val="005B24ED"/>
    <w:rsid w:val="006159CA"/>
    <w:rsid w:val="00645BDD"/>
    <w:rsid w:val="00682115"/>
    <w:rsid w:val="006D7EE1"/>
    <w:rsid w:val="007A5DAB"/>
    <w:rsid w:val="007C7D91"/>
    <w:rsid w:val="007D7D4E"/>
    <w:rsid w:val="007F39B4"/>
    <w:rsid w:val="0084403F"/>
    <w:rsid w:val="0085395B"/>
    <w:rsid w:val="008A252A"/>
    <w:rsid w:val="008B6E73"/>
    <w:rsid w:val="008D7E8E"/>
    <w:rsid w:val="008E4470"/>
    <w:rsid w:val="009352F3"/>
    <w:rsid w:val="009B2ABC"/>
    <w:rsid w:val="009F0E51"/>
    <w:rsid w:val="009F140D"/>
    <w:rsid w:val="00A1657E"/>
    <w:rsid w:val="00B43F0E"/>
    <w:rsid w:val="00B4562A"/>
    <w:rsid w:val="00B467CD"/>
    <w:rsid w:val="00B521E6"/>
    <w:rsid w:val="00B724BA"/>
    <w:rsid w:val="00BE0D10"/>
    <w:rsid w:val="00BE7E41"/>
    <w:rsid w:val="00C01158"/>
    <w:rsid w:val="00C264F1"/>
    <w:rsid w:val="00C371F3"/>
    <w:rsid w:val="00C92966"/>
    <w:rsid w:val="00CA207B"/>
    <w:rsid w:val="00D95C73"/>
    <w:rsid w:val="00DC28E5"/>
    <w:rsid w:val="00DE3936"/>
    <w:rsid w:val="00E01F01"/>
    <w:rsid w:val="00E02659"/>
    <w:rsid w:val="00E14030"/>
    <w:rsid w:val="00E17718"/>
    <w:rsid w:val="00E57051"/>
    <w:rsid w:val="00E7622F"/>
    <w:rsid w:val="00EA0761"/>
    <w:rsid w:val="00ED0A96"/>
    <w:rsid w:val="00EE494D"/>
    <w:rsid w:val="00EF1E82"/>
    <w:rsid w:val="00F50235"/>
    <w:rsid w:val="00F75D55"/>
    <w:rsid w:val="00FA3166"/>
    <w:rsid w:val="00FA43E8"/>
    <w:rsid w:val="00FE70BB"/>
    <w:rsid w:val="06E845C5"/>
    <w:rsid w:val="07EA5872"/>
    <w:rsid w:val="09A45050"/>
    <w:rsid w:val="0A137F1C"/>
    <w:rsid w:val="0B8B2BB7"/>
    <w:rsid w:val="0D9818A6"/>
    <w:rsid w:val="190B1D26"/>
    <w:rsid w:val="2B5D0E7D"/>
    <w:rsid w:val="2C4955AF"/>
    <w:rsid w:val="2D845A39"/>
    <w:rsid w:val="3A904CEE"/>
    <w:rsid w:val="3A9A1385"/>
    <w:rsid w:val="3E2B6A45"/>
    <w:rsid w:val="451F3201"/>
    <w:rsid w:val="5147093D"/>
    <w:rsid w:val="5BE32D83"/>
    <w:rsid w:val="6E6A5093"/>
    <w:rsid w:val="78D83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b/>
      <w:bCs/>
      <w:sz w:val="36"/>
      <w:szCs w:val="36"/>
    </w:rPr>
  </w:style>
  <w:style w:type="paragraph" w:styleId="3">
    <w:name w:val="footer"/>
    <w:basedOn w:val="1"/>
    <w:link w:val="11"/>
    <w:unhideWhenUsed/>
    <w:qFormat/>
    <w:uiPriority w:val="99"/>
    <w:pPr>
      <w:tabs>
        <w:tab w:val="center" w:pos="4153"/>
        <w:tab w:val="right" w:pos="8306"/>
      </w:tabs>
      <w:snapToGrid w:val="0"/>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页眉 字符"/>
    <w:basedOn w:val="6"/>
    <w:link w:val="4"/>
    <w:qFormat/>
    <w:uiPriority w:val="99"/>
    <w:rPr>
      <w:rFonts w:ascii="仿宋" w:hAnsi="仿宋" w:eastAsia="仿宋" w:cs="仿宋"/>
      <w:sz w:val="18"/>
      <w:szCs w:val="18"/>
      <w:lang w:eastAsia="zh-CN"/>
    </w:rPr>
  </w:style>
  <w:style w:type="character" w:customStyle="1" w:styleId="11">
    <w:name w:val="页脚 字符"/>
    <w:basedOn w:val="6"/>
    <w:link w:val="3"/>
    <w:qFormat/>
    <w:uiPriority w:val="99"/>
    <w:rPr>
      <w:rFonts w:ascii="仿宋" w:hAnsi="仿宋" w:eastAsia="仿宋" w:cs="仿宋"/>
      <w:sz w:val="18"/>
      <w:szCs w:val="18"/>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1287</Words>
  <Characters>1310</Characters>
  <Lines>9</Lines>
  <Paragraphs>2</Paragraphs>
  <TotalTime>4</TotalTime>
  <ScaleCrop>false</ScaleCrop>
  <LinksUpToDate>false</LinksUpToDate>
  <CharactersWithSpaces>1310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2025-01-06T02:00:00Z</dcterms:created>
  <dc:creator>Mining</dc:creator>
  <cp:lastModifiedBy>袁劭翊</cp:lastModifiedBy>
  <dcterms:modified xsi:type="dcterms:W3CDTF">2025-01-06T09:11:44Z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eyJoZGlkIjoiYWJmZDJjYTU4YWU2ZTkyMzJmNjc1NjhhNjEwMDNiNjMifQ==</vt:lpwstr>
  </property>
  <property fmtid="{D5CDD505-2E9C-101B-9397-08002B2CF9AE}" pid="3" name="KSOProductBuildVer">
    <vt:lpwstr>2052-11.8.2.11716</vt:lpwstr>
  </property>
  <property fmtid="{D5CDD505-2E9C-101B-9397-08002B2CF9AE}" pid="4" name="ICV">
    <vt:lpwstr>6A6BD6D182EB4CE688CAD72563324ABD_12</vt:lpwstr>
  </property>
</Properties>
</file>