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B4A37">
      <w:pPr>
        <w:spacing w:line="240" w:lineRule="auto"/>
        <w:ind w:firstLine="0" w:firstLineChars="0"/>
        <w:jc w:val="center"/>
        <w:rPr>
          <w:rFonts w:eastAsia="华文新魏" w:cs="Times New Roman"/>
          <w:color w:val="FF0000"/>
          <w:sz w:val="72"/>
          <w:szCs w:val="72"/>
        </w:rPr>
      </w:pPr>
      <w:r>
        <w:rPr>
          <w:rFonts w:eastAsia="华文新魏" w:cs="Times New Roman"/>
          <w:color w:val="FF0000"/>
          <w:sz w:val="72"/>
          <w:szCs w:val="72"/>
        </w:rPr>
        <w:t>专利技术分析简报</w:t>
      </w:r>
    </w:p>
    <w:p w14:paraId="12A2AE8A">
      <w:pPr>
        <w:spacing w:line="400" w:lineRule="exact"/>
        <w:jc w:val="center"/>
        <w:rPr>
          <w:rFonts w:cs="Times New Roman"/>
          <w:color w:val="auto"/>
          <w:sz w:val="21"/>
        </w:rPr>
      </w:pPr>
      <w:r>
        <w:rPr>
          <w:rFonts w:cs="Times New Roman"/>
          <w:color w:val="auto"/>
          <w:sz w:val="21"/>
        </w:rPr>
        <w:t>20</w:t>
      </w:r>
      <w:r>
        <w:rPr>
          <w:rFonts w:hint="eastAsia" w:cs="Times New Roman"/>
          <w:color w:val="auto"/>
          <w:sz w:val="21"/>
          <w:lang w:val="en-US" w:eastAsia="zh-CN"/>
        </w:rPr>
        <w:t>24</w:t>
      </w:r>
      <w:r>
        <w:rPr>
          <w:rFonts w:cs="Times New Roman"/>
          <w:color w:val="auto"/>
          <w:sz w:val="21"/>
        </w:rPr>
        <w:t>年第</w:t>
      </w:r>
      <w:r>
        <w:rPr>
          <w:rFonts w:hint="eastAsia" w:cs="Times New Roman"/>
          <w:color w:val="auto"/>
          <w:sz w:val="21"/>
          <w:lang w:val="en-US" w:eastAsia="zh-CN"/>
        </w:rPr>
        <w:t>1</w:t>
      </w:r>
      <w:r>
        <w:rPr>
          <w:rFonts w:cs="Times New Roman"/>
          <w:color w:val="auto"/>
          <w:sz w:val="21"/>
        </w:rPr>
        <w:t>期</w:t>
      </w:r>
    </w:p>
    <w:p w14:paraId="0DA2D9F3">
      <w:pPr>
        <w:spacing w:line="400" w:lineRule="exact"/>
        <w:jc w:val="center"/>
        <w:rPr>
          <w:rFonts w:cs="Times New Roman"/>
          <w:sz w:val="21"/>
        </w:rPr>
      </w:pPr>
    </w:p>
    <w:p w14:paraId="55053821">
      <w:pPr>
        <w:pBdr>
          <w:bottom w:val="single" w:color="FF0000" w:sz="18" w:space="0"/>
        </w:pBdr>
        <w:spacing w:line="400" w:lineRule="exact"/>
        <w:ind w:firstLine="0" w:firstLineChars="0"/>
        <w:rPr>
          <w:rFonts w:cs="Times New Roman"/>
          <w:sz w:val="21"/>
        </w:rPr>
      </w:pPr>
      <w:r>
        <w:rPr>
          <w:rFonts w:hint="eastAsia" w:cs="Times New Roman"/>
          <w:sz w:val="21"/>
        </w:rPr>
        <w:t>汕尾市专利导航服务基地</w:t>
      </w:r>
      <w:r>
        <w:rPr>
          <w:rFonts w:cs="Times New Roman"/>
          <w:sz w:val="21"/>
        </w:rPr>
        <w:t xml:space="preserve">       </w:t>
      </w:r>
      <w:r>
        <w:rPr>
          <w:rFonts w:hint="eastAsia" w:cs="Times New Roman"/>
          <w:sz w:val="21"/>
        </w:rPr>
        <w:t xml:space="preserve">    </w:t>
      </w:r>
      <w:r>
        <w:rPr>
          <w:rFonts w:cs="Times New Roman"/>
          <w:sz w:val="21"/>
        </w:rPr>
        <w:t xml:space="preserve">  </w:t>
      </w:r>
      <w:r>
        <w:rPr>
          <w:rFonts w:hint="eastAsia" w:cs="Times New Roman"/>
          <w:sz w:val="21"/>
          <w:lang w:val="en-US" w:eastAsia="zh-CN"/>
        </w:rPr>
        <w:t xml:space="preserve">   </w:t>
      </w:r>
      <w:r>
        <w:rPr>
          <w:rFonts w:cs="Times New Roman"/>
          <w:sz w:val="21"/>
        </w:rPr>
        <w:t xml:space="preserve">      </w:t>
      </w:r>
      <w:r>
        <w:rPr>
          <w:rFonts w:hint="eastAsia" w:cs="Times New Roman"/>
          <w:sz w:val="21"/>
        </w:rPr>
        <w:t xml:space="preserve"> </w:t>
      </w:r>
      <w:r>
        <w:rPr>
          <w:rFonts w:cs="Times New Roman"/>
          <w:sz w:val="21"/>
        </w:rPr>
        <w:t xml:space="preserve">   </w:t>
      </w:r>
      <w:r>
        <w:rPr>
          <w:rFonts w:hint="eastAsia" w:cs="Times New Roman"/>
          <w:sz w:val="21"/>
          <w:lang w:val="en-US" w:eastAsia="zh-CN"/>
        </w:rPr>
        <w:t xml:space="preserve">                   </w:t>
      </w:r>
      <w:r>
        <w:rPr>
          <w:rFonts w:cs="Times New Roman"/>
          <w:sz w:val="21"/>
        </w:rPr>
        <w:t>202</w:t>
      </w:r>
      <w:r>
        <w:rPr>
          <w:rFonts w:hint="eastAsia" w:cs="Times New Roman"/>
          <w:sz w:val="21"/>
          <w:lang w:val="en-US" w:eastAsia="zh-CN"/>
        </w:rPr>
        <w:t>4</w:t>
      </w:r>
      <w:r>
        <w:rPr>
          <w:rFonts w:cs="Times New Roman"/>
          <w:sz w:val="21"/>
        </w:rPr>
        <w:t>年</w:t>
      </w:r>
      <w:r>
        <w:rPr>
          <w:rFonts w:hint="eastAsia" w:cs="Times New Roman"/>
          <w:sz w:val="21"/>
          <w:lang w:val="en-US" w:eastAsia="zh-CN"/>
        </w:rPr>
        <w:t>10</w:t>
      </w:r>
      <w:r>
        <w:rPr>
          <w:rFonts w:cs="Times New Roman"/>
          <w:sz w:val="21"/>
        </w:rPr>
        <w:t>月</w:t>
      </w:r>
    </w:p>
    <w:p w14:paraId="45DD7AE4">
      <w:pPr>
        <w:spacing w:line="400" w:lineRule="exact"/>
        <w:ind w:firstLine="480"/>
        <w:rPr>
          <w:rFonts w:cs="Times New Roman" w:eastAsiaTheme="minorEastAsia"/>
          <w:sz w:val="21"/>
        </w:rPr>
      </w:pPr>
      <w:r>
        <w:rPr>
          <w:rFonts w:hint="eastAsia"/>
        </w:rPr>
        <mc:AlternateContent>
          <mc:Choice Requires="wps">
            <w:drawing>
              <wp:anchor distT="45720" distB="45720" distL="114300" distR="114300" simplePos="0" relativeHeight="251660288" behindDoc="0" locked="0" layoutInCell="1" allowOverlap="1">
                <wp:simplePos x="0" y="0"/>
                <wp:positionH relativeFrom="column">
                  <wp:posOffset>1905</wp:posOffset>
                </wp:positionH>
                <wp:positionV relativeFrom="paragraph">
                  <wp:posOffset>59055</wp:posOffset>
                </wp:positionV>
                <wp:extent cx="1151890" cy="347980"/>
                <wp:effectExtent l="4445" t="5080" r="5715" b="889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51890" cy="347980"/>
                        </a:xfrm>
                        <a:prstGeom prst="rect">
                          <a:avLst/>
                        </a:prstGeom>
                        <a:solidFill>
                          <a:srgbClr val="FFFFFF"/>
                        </a:solidFill>
                        <a:ln w="9525">
                          <a:solidFill>
                            <a:srgbClr val="000000"/>
                          </a:solidFill>
                          <a:prstDash val="dash"/>
                          <a:miter lim="800000"/>
                        </a:ln>
                      </wps:spPr>
                      <wps:txbx>
                        <w:txbxContent>
                          <w:p w14:paraId="01419E47">
                            <w:pPr>
                              <w:spacing w:line="240" w:lineRule="auto"/>
                              <w:ind w:firstLine="0" w:firstLineChars="0"/>
                              <w:rPr>
                                <w:sz w:val="22"/>
                                <w:szCs w:val="28"/>
                              </w:rPr>
                            </w:pPr>
                            <w:r>
                              <w:rPr>
                                <w:rFonts w:hint="eastAsia" w:ascii="隶书" w:eastAsia="隶书"/>
                                <w:szCs w:val="32"/>
                              </w:rPr>
                              <w:t>专利技术分析</w:t>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0.15pt;margin-top:4.65pt;height:27.4pt;width:90.7pt;z-index:251660288;v-text-anchor:middle;mso-width-relative:page;mso-height-relative:page;" fillcolor="#FFFFFF" filled="t" stroked="t" coordsize="21600,21600" o:gfxdata="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6HKZ9IAAAAFAQAADwAAAAAAAAABACAAAAAi&#10;AAAAZHJzL2Rvd25yZXYueG1sUEsBAhQAFAAAAAgAh07iQEIim8pJAgAAlwQAAA4AAAAAAAAAAQAg&#10;AAAAIQEAAGRycy9lMm9Eb2MueG1sUEsFBgAAAAAGAAYAWQEAANwFAAAAAA==&#10;">
                <v:fill on="t" focussize="0,0"/>
                <v:stroke color="#000000" miterlimit="8" joinstyle="miter" dashstyle="dash"/>
                <v:imagedata o:title=""/>
                <o:lock v:ext="edit" aspectratio="f"/>
                <v:textbox>
                  <w:txbxContent>
                    <w:p w14:paraId="01419E47">
                      <w:pPr>
                        <w:spacing w:line="240" w:lineRule="auto"/>
                        <w:ind w:firstLine="0" w:firstLineChars="0"/>
                        <w:rPr>
                          <w:sz w:val="22"/>
                          <w:szCs w:val="28"/>
                        </w:rPr>
                      </w:pPr>
                      <w:r>
                        <w:rPr>
                          <w:rFonts w:hint="eastAsia" w:ascii="隶书" w:eastAsia="隶书"/>
                          <w:szCs w:val="32"/>
                        </w:rPr>
                        <w:t>专利技术分析</w:t>
                      </w:r>
                    </w:p>
                  </w:txbxContent>
                </v:textbox>
              </v:shape>
            </w:pict>
          </mc:Fallback>
        </mc:AlternateContent>
      </w:r>
    </w:p>
    <w:p w14:paraId="753D22F1">
      <w:pPr>
        <w:ind w:firstLine="480"/>
      </w:pPr>
    </w:p>
    <w:p w14:paraId="595C059B">
      <w:pPr>
        <w:pStyle w:val="8"/>
        <w:ind w:firstLine="643"/>
      </w:pPr>
      <w:r>
        <w:rPr>
          <w:rFonts w:hint="eastAsia"/>
          <w:lang w:val="en-US" w:eastAsia="zh-CN"/>
        </w:rPr>
        <w:t>海洋油气资源勘探开发装备制造</w:t>
      </w:r>
      <w:r>
        <w:rPr>
          <w:rFonts w:hint="eastAsia"/>
        </w:rPr>
        <w:t>专利信息分析</w:t>
      </w:r>
    </w:p>
    <w:p w14:paraId="1A426C43">
      <w:pPr>
        <w:ind w:firstLine="0" w:firstLineChars="0"/>
        <w:jc w:val="left"/>
        <w:rPr>
          <w:rFonts w:ascii="宋体" w:hAnsi="宋体" w:eastAsia="宋体" w:cs="宋体"/>
          <w:b/>
          <w:bCs/>
        </w:rPr>
      </w:pPr>
      <w:r>
        <w:rPr>
          <w:rFonts w:hint="eastAsia" w:ascii="宋体" w:hAnsi="宋体" w:eastAsia="宋体" w:cs="宋体"/>
          <w:b/>
          <w:bCs/>
        </w:rPr>
        <w:t>导语：</w:t>
      </w:r>
    </w:p>
    <w:p w14:paraId="5DA1A1E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海洋油气资源勘探开发装备制造是指生产用于海洋油气资源勘探、开发所需的各种装备和设备的过程。这些装备和设备是海洋工程装备的重要组成部分，涵盖了从勘探、开发到生产、输送以及环境保护等多个环节所需的技术和设备。从“十一五”规划到“十四五”规划，海洋工程装备制造业始终是国家重点发展的新兴产业。这些规划明确指出要优化海洋产业结构，扶持海洋装备制造等产业发展，并围绕海洋工程、海洋资源、海洋环境等领域突破一批关键核心技术。本文将从专利的角度对海洋油气资源勘探开发装备制造进行分析，明确本领域的技术优势，</w:t>
      </w:r>
      <w:r>
        <w:rPr>
          <w:rFonts w:hint="default" w:ascii="仿宋" w:hAnsi="仿宋" w:eastAsia="仿宋" w:cs="仿宋"/>
          <w:color w:val="000000"/>
          <w:kern w:val="0"/>
          <w:sz w:val="24"/>
          <w:szCs w:val="24"/>
          <w:lang w:val="en-US" w:eastAsia="zh-CN" w:bidi="ar"/>
        </w:rPr>
        <w:t>发现技术空白</w:t>
      </w:r>
      <w:r>
        <w:rPr>
          <w:rFonts w:hint="default" w:ascii="Times New Roman" w:hAnsi="Times New Roman" w:eastAsia="宋体" w:cs="Times New Roman"/>
          <w:color w:val="000000"/>
          <w:kern w:val="0"/>
          <w:sz w:val="24"/>
          <w:szCs w:val="24"/>
          <w:lang w:val="en-US" w:eastAsia="zh-CN" w:bidi="ar"/>
        </w:rPr>
        <w:t>/</w:t>
      </w:r>
      <w:r>
        <w:rPr>
          <w:rFonts w:hint="default" w:ascii="仿宋" w:hAnsi="仿宋" w:eastAsia="仿宋" w:cs="仿宋"/>
          <w:color w:val="000000"/>
          <w:kern w:val="0"/>
          <w:sz w:val="24"/>
          <w:szCs w:val="24"/>
          <w:lang w:val="en-US" w:eastAsia="zh-CN" w:bidi="ar"/>
        </w:rPr>
        <w:t>劣势点，探寻</w:t>
      </w:r>
      <w:r>
        <w:rPr>
          <w:rFonts w:hint="eastAsia" w:ascii="仿宋" w:hAnsi="仿宋" w:eastAsia="仿宋" w:cs="仿宋"/>
          <w:color w:val="000000"/>
          <w:kern w:val="0"/>
          <w:sz w:val="24"/>
          <w:szCs w:val="24"/>
          <w:lang w:val="en-US" w:eastAsia="zh-CN" w:bidi="ar"/>
        </w:rPr>
        <w:t>海洋油气资源勘探开发装备制造</w:t>
      </w:r>
      <w:r>
        <w:rPr>
          <w:rFonts w:hint="default" w:ascii="仿宋" w:hAnsi="仿宋" w:eastAsia="仿宋" w:cs="仿宋"/>
          <w:color w:val="000000"/>
          <w:kern w:val="0"/>
          <w:sz w:val="24"/>
          <w:szCs w:val="24"/>
          <w:lang w:val="en-US" w:eastAsia="zh-CN" w:bidi="ar"/>
        </w:rPr>
        <w:t>的潜在发展技术</w:t>
      </w:r>
      <w:r>
        <w:rPr>
          <w:rFonts w:hint="eastAsia" w:ascii="仿宋" w:hAnsi="仿宋" w:eastAsia="仿宋" w:cs="仿宋"/>
          <w:color w:val="000000"/>
          <w:kern w:val="0"/>
          <w:sz w:val="24"/>
          <w:szCs w:val="24"/>
          <w:lang w:val="en-US" w:eastAsia="zh-CN" w:bidi="ar"/>
        </w:rPr>
        <w:t>，以期为海洋油气资源勘探开发装备制造</w:t>
      </w:r>
      <w:r>
        <w:rPr>
          <w:rFonts w:hint="eastAsia" w:ascii="仿宋" w:hAnsi="仿宋" w:cs="仿宋"/>
          <w:color w:val="000000"/>
          <w:kern w:val="0"/>
          <w:sz w:val="24"/>
          <w:szCs w:val="24"/>
          <w:lang w:val="en-US" w:eastAsia="zh-CN" w:bidi="ar"/>
        </w:rPr>
        <w:t>的研发和应用</w:t>
      </w:r>
      <w:r>
        <w:rPr>
          <w:rFonts w:hint="eastAsia" w:ascii="仿宋" w:hAnsi="仿宋" w:eastAsia="仿宋" w:cs="仿宋"/>
          <w:color w:val="000000"/>
          <w:kern w:val="0"/>
          <w:sz w:val="24"/>
          <w:szCs w:val="24"/>
          <w:lang w:val="en-US" w:eastAsia="zh-CN" w:bidi="ar"/>
        </w:rPr>
        <w:t>提供借鉴和参考</w:t>
      </w:r>
      <w:r>
        <w:rPr>
          <w:rFonts w:hint="eastAsia" w:ascii="仿宋" w:hAnsi="仿宋" w:cs="仿宋"/>
          <w:color w:val="000000"/>
          <w:kern w:val="0"/>
          <w:sz w:val="24"/>
          <w:szCs w:val="24"/>
          <w:lang w:val="en-US" w:eastAsia="zh-CN" w:bidi="ar"/>
        </w:rPr>
        <w:t>。</w:t>
      </w:r>
    </w:p>
    <w:p w14:paraId="75C362B1">
      <w:pPr>
        <w:pStyle w:val="3"/>
        <w:numPr>
          <w:ilvl w:val="0"/>
          <w:numId w:val="0"/>
        </w:numPr>
        <w:spacing w:before="156" w:after="156"/>
        <w:rPr>
          <w:sz w:val="24"/>
          <w:szCs w:val="28"/>
        </w:rPr>
      </w:pPr>
      <w:r>
        <w:rPr>
          <w:sz w:val="24"/>
          <w:szCs w:val="28"/>
        </w:rPr>
        <w:t>数据来源与说明</w:t>
      </w:r>
    </w:p>
    <w:p w14:paraId="7B00A392">
      <w:pPr>
        <w:ind w:firstLine="0" w:firstLineChars="0"/>
      </w:pPr>
      <w:r>
        <w:t>数据来源：ISPatent专利检索分析平台</w:t>
      </w:r>
    </w:p>
    <w:p w14:paraId="418D934C">
      <w:pPr>
        <w:ind w:firstLine="0" w:firstLineChars="0"/>
      </w:pPr>
      <w:r>
        <w:t>检索时间：202</w:t>
      </w:r>
      <w:r>
        <w:rPr>
          <w:rFonts w:hint="eastAsia"/>
          <w:lang w:val="en-US" w:eastAsia="zh-CN"/>
        </w:rPr>
        <w:t>4</w:t>
      </w:r>
      <w:r>
        <w:t>年</w:t>
      </w:r>
      <w:r>
        <w:rPr>
          <w:rFonts w:hint="eastAsia"/>
          <w:lang w:val="en-US" w:eastAsia="zh-CN"/>
        </w:rPr>
        <w:t>10</w:t>
      </w:r>
      <w:r>
        <w:t>月</w:t>
      </w:r>
      <w:r>
        <w:rPr>
          <w:rFonts w:hint="eastAsia"/>
          <w:lang w:val="en-US" w:eastAsia="zh-CN"/>
        </w:rPr>
        <w:t>10</w:t>
      </w:r>
      <w:r>
        <w:t>日</w:t>
      </w:r>
    </w:p>
    <w:p w14:paraId="7D39268D">
      <w:pPr>
        <w:ind w:firstLine="0" w:firstLineChars="0"/>
      </w:pPr>
      <w:r>
        <w:t>数据范围：</w:t>
      </w:r>
      <w:r>
        <w:rPr>
          <w:rFonts w:hint="eastAsia"/>
          <w:lang w:val="en-US" w:eastAsia="zh-CN"/>
        </w:rPr>
        <w:t>首次公开日</w:t>
      </w:r>
      <w:r>
        <w:rPr>
          <w:rFonts w:hint="eastAsia"/>
        </w:rPr>
        <w:t>在</w:t>
      </w:r>
      <w:r>
        <w:rPr>
          <w:rFonts w:hint="eastAsia"/>
          <w:color w:val="auto"/>
          <w:u w:val="none"/>
        </w:rPr>
        <w:t>200</w:t>
      </w:r>
      <w:r>
        <w:rPr>
          <w:rFonts w:hint="eastAsia"/>
          <w:color w:val="auto"/>
          <w:u w:val="none"/>
          <w:lang w:val="en-US" w:eastAsia="zh-CN"/>
        </w:rPr>
        <w:t>4</w:t>
      </w:r>
      <w:r>
        <w:rPr>
          <w:rFonts w:hint="eastAsia"/>
          <w:color w:val="auto"/>
          <w:u w:val="none"/>
        </w:rPr>
        <w:t>年1月1日至20</w:t>
      </w:r>
      <w:r>
        <w:rPr>
          <w:rFonts w:hint="eastAsia"/>
          <w:color w:val="auto"/>
          <w:u w:val="none"/>
          <w:lang w:val="en-US" w:eastAsia="zh-CN"/>
        </w:rPr>
        <w:t>24</w:t>
      </w:r>
      <w:r>
        <w:rPr>
          <w:rFonts w:hint="eastAsia"/>
          <w:color w:val="auto"/>
          <w:u w:val="none"/>
        </w:rPr>
        <w:t>年</w:t>
      </w:r>
      <w:r>
        <w:rPr>
          <w:rFonts w:hint="eastAsia"/>
          <w:color w:val="auto"/>
          <w:u w:val="none"/>
          <w:lang w:val="en-US" w:eastAsia="zh-CN"/>
        </w:rPr>
        <w:t>10</w:t>
      </w:r>
      <w:r>
        <w:rPr>
          <w:rFonts w:hint="eastAsia"/>
          <w:color w:val="auto"/>
          <w:u w:val="none"/>
        </w:rPr>
        <w:t>月</w:t>
      </w:r>
      <w:r>
        <w:rPr>
          <w:rFonts w:hint="eastAsia"/>
          <w:color w:val="auto"/>
          <w:u w:val="none"/>
          <w:lang w:val="en-US" w:eastAsia="zh-CN"/>
        </w:rPr>
        <w:t>10</w:t>
      </w:r>
      <w:r>
        <w:rPr>
          <w:rFonts w:hint="eastAsia"/>
          <w:color w:val="auto"/>
          <w:u w:val="none"/>
        </w:rPr>
        <w:t>日</w:t>
      </w:r>
      <w:r>
        <w:rPr>
          <w:rFonts w:hint="eastAsia"/>
        </w:rPr>
        <w:t>之间的数据</w:t>
      </w:r>
    </w:p>
    <w:p w14:paraId="4E80EFCA">
      <w:pPr>
        <w:pStyle w:val="2"/>
        <w:spacing w:before="156" w:after="312"/>
        <w:rPr>
          <w:rFonts w:hint="eastAsia"/>
        </w:rPr>
      </w:pPr>
      <w:r>
        <w:rPr>
          <w:rFonts w:hint="eastAsia"/>
          <w:lang w:val="en-US" w:eastAsia="zh-CN"/>
        </w:rPr>
        <w:t>海洋油气资源勘探开发装备制造</w:t>
      </w:r>
      <w:r>
        <w:rPr>
          <w:rFonts w:hint="eastAsia"/>
        </w:rPr>
        <w:t>专利总体情况</w:t>
      </w:r>
    </w:p>
    <w:p w14:paraId="4BE69FD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lang w:val="en-US" w:eastAsia="zh-CN"/>
        </w:rPr>
        <w:fldChar w:fldCharType="begin"/>
      </w:r>
      <w:r>
        <w:rPr>
          <w:rFonts w:hint="eastAsia"/>
          <w:lang w:val="en-US" w:eastAsia="zh-CN"/>
        </w:rPr>
        <w:instrText xml:space="preserve"> REF _Ref28685 \h </w:instrText>
      </w:r>
      <w:r>
        <w:rPr>
          <w:rFonts w:hint="eastAsia"/>
          <w:lang w:val="en-US" w:eastAsia="zh-CN"/>
        </w:rPr>
        <w:fldChar w:fldCharType="separate"/>
      </w:r>
      <w:r>
        <w:t>表 1</w:t>
      </w:r>
      <w:r>
        <w:rPr>
          <w:rFonts w:hint="eastAsia"/>
          <w:lang w:val="en-US" w:eastAsia="zh-CN"/>
        </w:rPr>
        <w:fldChar w:fldCharType="end"/>
      </w:r>
      <w:r>
        <w:rPr>
          <w:rFonts w:hint="eastAsia"/>
          <w:lang w:val="en-US" w:eastAsia="zh-CN"/>
        </w:rPr>
        <w:t>展示了</w:t>
      </w:r>
      <w:r>
        <w:rPr>
          <w:rFonts w:hint="eastAsia" w:ascii="仿宋" w:hAnsi="仿宋" w:eastAsia="仿宋" w:cs="仿宋"/>
          <w:color w:val="000000"/>
          <w:kern w:val="0"/>
          <w:sz w:val="24"/>
          <w:szCs w:val="24"/>
          <w:lang w:val="en-US" w:eastAsia="zh-CN" w:bidi="ar"/>
        </w:rPr>
        <w:t>海洋油气资源勘探开发装备制造</w:t>
      </w:r>
      <w:r>
        <w:rPr>
          <w:rFonts w:hint="eastAsia"/>
          <w:lang w:val="en-US" w:eastAsia="zh-CN"/>
        </w:rPr>
        <w:t>专利总体情况。</w:t>
      </w:r>
      <w:r>
        <w:rPr>
          <w:rFonts w:hint="eastAsia" w:ascii="仿宋" w:hAnsi="仿宋" w:eastAsia="仿宋" w:cs="仿宋"/>
          <w:color w:val="000000"/>
          <w:kern w:val="0"/>
          <w:sz w:val="24"/>
          <w:szCs w:val="24"/>
          <w:lang w:val="en-US" w:eastAsia="zh-CN" w:bidi="ar"/>
        </w:rPr>
        <w:t>由表可知，近二十年来，全球海洋油气资源勘探开发装备制造的相关专利申请共计</w:t>
      </w:r>
      <w:r>
        <w:rPr>
          <w:rFonts w:hint="eastAsia" w:eastAsia="宋体" w:cs="Times New Roman"/>
          <w:color w:val="000000"/>
          <w:kern w:val="0"/>
          <w:sz w:val="24"/>
          <w:szCs w:val="24"/>
          <w:lang w:val="en-US" w:eastAsia="zh-CN" w:bidi="ar"/>
        </w:rPr>
        <w:t>15774</w:t>
      </w:r>
      <w:r>
        <w:rPr>
          <w:rFonts w:hint="eastAsia" w:ascii="仿宋" w:hAnsi="仿宋" w:eastAsia="仿宋" w:cs="仿宋"/>
          <w:color w:val="000000"/>
          <w:kern w:val="0"/>
          <w:sz w:val="24"/>
          <w:szCs w:val="24"/>
          <w:lang w:val="en-US" w:eastAsia="zh-CN" w:bidi="ar"/>
        </w:rPr>
        <w:t>件，其中发明专利</w:t>
      </w:r>
      <w:r>
        <w:rPr>
          <w:rFonts w:hint="eastAsia" w:eastAsia="宋体" w:cs="Times New Roman"/>
          <w:color w:val="000000"/>
          <w:kern w:val="0"/>
          <w:sz w:val="24"/>
          <w:szCs w:val="24"/>
          <w:lang w:val="en-US" w:eastAsia="zh-CN" w:bidi="ar"/>
        </w:rPr>
        <w:t>12727</w:t>
      </w:r>
      <w:r>
        <w:rPr>
          <w:rFonts w:hint="eastAsia" w:ascii="仿宋" w:hAnsi="仿宋" w:eastAsia="仿宋" w:cs="仿宋"/>
          <w:color w:val="000000"/>
          <w:kern w:val="0"/>
          <w:sz w:val="24"/>
          <w:szCs w:val="24"/>
          <w:lang w:val="en-US" w:eastAsia="zh-CN" w:bidi="ar"/>
        </w:rPr>
        <w:t>件、实用新型专利</w:t>
      </w:r>
      <w:r>
        <w:rPr>
          <w:rFonts w:hint="eastAsia" w:eastAsia="宋体" w:cs="Times New Roman"/>
          <w:color w:val="000000"/>
          <w:kern w:val="0"/>
          <w:sz w:val="24"/>
          <w:szCs w:val="24"/>
          <w:lang w:val="en-US" w:eastAsia="zh-CN" w:bidi="ar"/>
        </w:rPr>
        <w:t>3047</w:t>
      </w:r>
      <w:r>
        <w:rPr>
          <w:rFonts w:hint="eastAsia" w:ascii="仿宋" w:hAnsi="仿宋" w:eastAsia="仿宋" w:cs="仿宋"/>
          <w:color w:val="000000"/>
          <w:kern w:val="0"/>
          <w:sz w:val="24"/>
          <w:szCs w:val="24"/>
          <w:lang w:val="en-US" w:eastAsia="zh-CN" w:bidi="ar"/>
        </w:rPr>
        <w:t>件，占比全球专利数</w:t>
      </w:r>
      <w:r>
        <w:rPr>
          <w:rFonts w:hint="eastAsia" w:eastAsia="宋体" w:cs="Times New Roman"/>
          <w:color w:val="000000"/>
          <w:kern w:val="0"/>
          <w:sz w:val="24"/>
          <w:szCs w:val="24"/>
          <w:lang w:val="en-US" w:eastAsia="zh-CN" w:bidi="ar"/>
        </w:rPr>
        <w:t>80.68</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eastAsia="宋体" w:cs="Times New Roman"/>
          <w:color w:val="000000"/>
          <w:kern w:val="0"/>
          <w:sz w:val="24"/>
          <w:szCs w:val="24"/>
          <w:lang w:val="en-US" w:eastAsia="zh-CN" w:bidi="ar"/>
        </w:rPr>
        <w:t>1.95</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；海洋油气资源勘探开发装备制造专利授权</w:t>
      </w:r>
      <w:r>
        <w:rPr>
          <w:rFonts w:hint="eastAsia" w:eastAsia="宋体" w:cs="Times New Roman"/>
          <w:color w:val="000000"/>
          <w:kern w:val="0"/>
          <w:sz w:val="24"/>
          <w:szCs w:val="24"/>
          <w:lang w:val="en-US" w:eastAsia="zh-CN" w:bidi="ar"/>
        </w:rPr>
        <w:t>9199</w:t>
      </w:r>
      <w:r>
        <w:rPr>
          <w:rFonts w:hint="eastAsia" w:ascii="仿宋" w:hAnsi="仿宋" w:eastAsia="仿宋" w:cs="仿宋"/>
          <w:color w:val="000000"/>
          <w:kern w:val="0"/>
          <w:sz w:val="24"/>
          <w:szCs w:val="24"/>
          <w:lang w:val="en-US" w:eastAsia="zh-CN" w:bidi="ar"/>
        </w:rPr>
        <w:t>件，其中发明授权专利</w:t>
      </w:r>
      <w:r>
        <w:rPr>
          <w:rFonts w:hint="eastAsia" w:eastAsia="宋体" w:cs="Times New Roman"/>
          <w:color w:val="000000"/>
          <w:kern w:val="0"/>
          <w:sz w:val="24"/>
          <w:szCs w:val="24"/>
          <w:lang w:val="en-US" w:eastAsia="zh-CN" w:bidi="ar"/>
        </w:rPr>
        <w:t>6218</w:t>
      </w:r>
      <w:r>
        <w:rPr>
          <w:rFonts w:hint="eastAsia" w:ascii="仿宋" w:hAnsi="仿宋" w:eastAsia="仿宋" w:cs="仿宋"/>
          <w:color w:val="000000"/>
          <w:kern w:val="0"/>
          <w:sz w:val="24"/>
          <w:szCs w:val="24"/>
          <w:lang w:val="en-US" w:eastAsia="zh-CN" w:bidi="ar"/>
        </w:rPr>
        <w:t>件，占比</w:t>
      </w:r>
      <w:r>
        <w:rPr>
          <w:rFonts w:hint="eastAsia" w:eastAsia="宋体" w:cs="Times New Roman"/>
          <w:color w:val="000000"/>
          <w:kern w:val="0"/>
          <w:sz w:val="24"/>
          <w:szCs w:val="24"/>
          <w:lang w:val="en-US" w:eastAsia="zh-CN" w:bidi="ar"/>
        </w:rPr>
        <w:t>67.59</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，近</w:t>
      </w:r>
      <w:r>
        <w:rPr>
          <w:rFonts w:hint="default"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年全球发明专利</w:t>
      </w:r>
      <w:r>
        <w:rPr>
          <w:rFonts w:hint="eastAsia" w:ascii="仿宋" w:hAnsi="仿宋" w:cs="仿宋"/>
          <w:color w:val="000000"/>
          <w:kern w:val="0"/>
          <w:sz w:val="24"/>
          <w:szCs w:val="24"/>
          <w:lang w:val="en-US" w:eastAsia="zh-CN" w:bidi="ar"/>
        </w:rPr>
        <w:t>申请量</w:t>
      </w:r>
      <w:r>
        <w:rPr>
          <w:rFonts w:hint="eastAsia" w:ascii="仿宋" w:hAnsi="仿宋" w:eastAsia="仿宋" w:cs="仿宋"/>
          <w:color w:val="000000"/>
          <w:kern w:val="0"/>
          <w:sz w:val="24"/>
          <w:szCs w:val="24"/>
          <w:lang w:val="en-US" w:eastAsia="zh-CN" w:bidi="ar"/>
        </w:rPr>
        <w:t>为</w:t>
      </w:r>
      <w:r>
        <w:rPr>
          <w:rFonts w:hint="default" w:ascii="Times New Roman" w:hAnsi="Times New Roman" w:cs="Times New Roman"/>
          <w:color w:val="000000"/>
          <w:kern w:val="0"/>
          <w:sz w:val="24"/>
          <w:szCs w:val="24"/>
          <w:lang w:val="en-US" w:eastAsia="zh-CN" w:bidi="ar"/>
        </w:rPr>
        <w:t>5667件</w:t>
      </w:r>
      <w:r>
        <w:rPr>
          <w:rFonts w:hint="eastAsia" w:ascii="仿宋" w:hAnsi="仿宋" w:eastAsia="仿宋" w:cs="仿宋"/>
          <w:color w:val="000000"/>
          <w:kern w:val="0"/>
          <w:sz w:val="24"/>
          <w:szCs w:val="24"/>
          <w:lang w:val="en-US" w:eastAsia="zh-CN" w:bidi="ar"/>
        </w:rPr>
        <w:t>。</w:t>
      </w:r>
      <w:r>
        <w:rPr>
          <w:rFonts w:ascii="仿宋" w:hAnsi="仿宋" w:eastAsia="仿宋" w:cs="仿宋"/>
          <w:color w:val="000000"/>
          <w:kern w:val="0"/>
          <w:sz w:val="24"/>
          <w:szCs w:val="24"/>
          <w:lang w:val="en-US" w:eastAsia="zh-CN" w:bidi="ar"/>
        </w:rPr>
        <w:t>全球</w:t>
      </w:r>
      <w:r>
        <w:rPr>
          <w:rFonts w:hint="eastAsia" w:ascii="仿宋" w:hAnsi="仿宋" w:eastAsia="仿宋" w:cs="仿宋"/>
          <w:color w:val="000000"/>
          <w:kern w:val="0"/>
          <w:sz w:val="24"/>
          <w:szCs w:val="24"/>
          <w:lang w:val="en-US" w:eastAsia="zh-CN" w:bidi="ar"/>
        </w:rPr>
        <w:t>海洋油气资源勘探开发装备制造</w:t>
      </w:r>
      <w:r>
        <w:rPr>
          <w:rFonts w:hint="eastAsia" w:ascii="仿宋" w:hAnsi="仿宋" w:cs="仿宋"/>
          <w:color w:val="000000"/>
          <w:kern w:val="0"/>
          <w:sz w:val="24"/>
          <w:szCs w:val="24"/>
          <w:lang w:val="en-US" w:eastAsia="zh-CN" w:bidi="ar"/>
        </w:rPr>
        <w:t>的</w:t>
      </w:r>
      <w:r>
        <w:rPr>
          <w:rFonts w:ascii="仿宋" w:hAnsi="仿宋" w:eastAsia="仿宋" w:cs="仿宋"/>
          <w:color w:val="000000"/>
          <w:kern w:val="0"/>
          <w:sz w:val="24"/>
          <w:szCs w:val="24"/>
          <w:lang w:val="en-US" w:eastAsia="zh-CN" w:bidi="ar"/>
        </w:rPr>
        <w:t>申请</w:t>
      </w:r>
      <w:r>
        <w:rPr>
          <w:rFonts w:hint="eastAsia" w:ascii="仿宋" w:hAnsi="仿宋" w:cs="仿宋"/>
          <w:color w:val="000000"/>
          <w:kern w:val="0"/>
          <w:sz w:val="24"/>
          <w:szCs w:val="24"/>
          <w:lang w:val="en-US" w:eastAsia="zh-CN" w:bidi="ar"/>
        </w:rPr>
        <w:t>与授权都</w:t>
      </w:r>
      <w:r>
        <w:rPr>
          <w:rFonts w:ascii="仿宋" w:hAnsi="仿宋" w:eastAsia="仿宋" w:cs="仿宋"/>
          <w:color w:val="000000"/>
          <w:kern w:val="0"/>
          <w:sz w:val="24"/>
          <w:szCs w:val="24"/>
          <w:lang w:val="en-US" w:eastAsia="zh-CN" w:bidi="ar"/>
        </w:rPr>
        <w:t>以发明专利为主，一定程度上反映出本产业研发技</w:t>
      </w:r>
      <w:r>
        <w:rPr>
          <w:rFonts w:hint="eastAsia" w:ascii="仿宋" w:hAnsi="仿宋" w:eastAsia="仿宋" w:cs="仿宋"/>
          <w:color w:val="000000"/>
          <w:kern w:val="0"/>
          <w:sz w:val="24"/>
          <w:szCs w:val="24"/>
          <w:lang w:val="en-US" w:eastAsia="zh-CN" w:bidi="ar"/>
        </w:rPr>
        <w:t>术含金量高，且专利质量较高。</w:t>
      </w:r>
    </w:p>
    <w:p w14:paraId="52B87B79">
      <w:pPr>
        <w:keepNext w:val="0"/>
        <w:keepLines w:val="0"/>
        <w:widowControl/>
        <w:suppressLineNumbers w:val="0"/>
        <w:jc w:val="left"/>
      </w:pPr>
      <w:r>
        <w:rPr>
          <w:rFonts w:hint="eastAsia" w:ascii="仿宋" w:hAnsi="仿宋" w:eastAsia="仿宋" w:cs="仿宋"/>
          <w:color w:val="000000"/>
          <w:kern w:val="0"/>
          <w:sz w:val="24"/>
          <w:szCs w:val="24"/>
          <w:lang w:val="en-US" w:eastAsia="zh-CN" w:bidi="ar"/>
        </w:rPr>
        <w:t>中国海洋油气资源勘探开发装备制造专利申请共计</w:t>
      </w:r>
      <w:r>
        <w:rPr>
          <w:rFonts w:hint="eastAsia" w:eastAsia="宋体" w:cs="Times New Roman"/>
          <w:color w:val="000000"/>
          <w:kern w:val="0"/>
          <w:sz w:val="24"/>
          <w:szCs w:val="24"/>
          <w:lang w:val="en-US" w:eastAsia="zh-CN" w:bidi="ar"/>
        </w:rPr>
        <w:t>6215</w:t>
      </w:r>
      <w:r>
        <w:rPr>
          <w:rFonts w:hint="eastAsia" w:ascii="仿宋" w:hAnsi="仿宋" w:eastAsia="仿宋" w:cs="仿宋"/>
          <w:color w:val="000000"/>
          <w:kern w:val="0"/>
          <w:sz w:val="24"/>
          <w:szCs w:val="24"/>
          <w:lang w:val="en-US" w:eastAsia="zh-CN" w:bidi="ar"/>
        </w:rPr>
        <w:t>件，</w:t>
      </w:r>
      <w:r>
        <w:rPr>
          <w:rFonts w:ascii="仿宋" w:hAnsi="仿宋" w:eastAsia="仿宋" w:cs="仿宋"/>
          <w:color w:val="000000"/>
          <w:kern w:val="0"/>
          <w:sz w:val="24"/>
          <w:szCs w:val="24"/>
          <w:lang w:val="en-US" w:eastAsia="zh-CN" w:bidi="ar"/>
        </w:rPr>
        <w:t>占全球</w:t>
      </w:r>
      <w:r>
        <w:rPr>
          <w:rFonts w:hint="eastAsia" w:ascii="仿宋" w:hAnsi="仿宋" w:eastAsia="仿宋" w:cs="仿宋"/>
          <w:color w:val="000000"/>
          <w:kern w:val="0"/>
          <w:sz w:val="24"/>
          <w:szCs w:val="24"/>
          <w:lang w:val="en-US" w:eastAsia="zh-CN" w:bidi="ar"/>
        </w:rPr>
        <w:t>海洋油气资源勘探开发装备制造</w:t>
      </w:r>
      <w:r>
        <w:rPr>
          <w:rFonts w:ascii="仿宋" w:hAnsi="仿宋" w:eastAsia="仿宋" w:cs="仿宋"/>
          <w:color w:val="000000"/>
          <w:kern w:val="0"/>
          <w:sz w:val="24"/>
          <w:szCs w:val="24"/>
          <w:lang w:val="en-US" w:eastAsia="zh-CN" w:bidi="ar"/>
        </w:rPr>
        <w:t>专利总量</w:t>
      </w:r>
      <w:r>
        <w:rPr>
          <w:rFonts w:hint="eastAsia" w:eastAsia="宋体" w:cs="Times New Roman"/>
          <w:color w:val="000000"/>
          <w:kern w:val="0"/>
          <w:sz w:val="24"/>
          <w:szCs w:val="24"/>
          <w:lang w:val="en-US" w:eastAsia="zh-CN" w:bidi="ar"/>
        </w:rPr>
        <w:t>39.40</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，排名全球第一。其中发明专利申请</w:t>
      </w:r>
      <w:r>
        <w:rPr>
          <w:rFonts w:hint="eastAsia" w:eastAsia="宋体" w:cs="Times New Roman"/>
          <w:color w:val="000000"/>
          <w:kern w:val="0"/>
          <w:sz w:val="24"/>
          <w:szCs w:val="24"/>
          <w:lang w:val="en-US" w:eastAsia="zh-CN" w:bidi="ar"/>
        </w:rPr>
        <w:t>3447</w:t>
      </w:r>
      <w:r>
        <w:rPr>
          <w:rFonts w:hint="eastAsia" w:ascii="仿宋" w:hAnsi="仿宋" w:eastAsia="仿宋" w:cs="仿宋"/>
          <w:color w:val="000000"/>
          <w:kern w:val="0"/>
          <w:sz w:val="24"/>
          <w:szCs w:val="24"/>
          <w:lang w:val="en-US" w:eastAsia="zh-CN" w:bidi="ar"/>
        </w:rPr>
        <w:t>件，占中国专利申请</w:t>
      </w:r>
      <w:r>
        <w:rPr>
          <w:rFonts w:hint="eastAsia" w:eastAsia="宋体" w:cs="Times New Roman"/>
          <w:color w:val="000000"/>
          <w:kern w:val="0"/>
          <w:sz w:val="24"/>
          <w:szCs w:val="24"/>
          <w:lang w:val="en-US" w:eastAsia="zh-CN" w:bidi="ar"/>
        </w:rPr>
        <w:t>55.46</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；海洋油气资源勘探开发装备制造专利授权</w:t>
      </w:r>
      <w:r>
        <w:rPr>
          <w:rFonts w:hint="eastAsia" w:eastAsia="宋体" w:cs="Times New Roman"/>
          <w:color w:val="000000"/>
          <w:kern w:val="0"/>
          <w:sz w:val="24"/>
          <w:szCs w:val="24"/>
          <w:lang w:val="en-US" w:eastAsia="zh-CN" w:bidi="ar"/>
        </w:rPr>
        <w:t>4317</w:t>
      </w:r>
      <w:r>
        <w:rPr>
          <w:rFonts w:hint="eastAsia" w:ascii="仿宋" w:hAnsi="仿宋" w:eastAsia="仿宋" w:cs="仿宋"/>
          <w:color w:val="000000"/>
          <w:kern w:val="0"/>
          <w:sz w:val="24"/>
          <w:szCs w:val="24"/>
          <w:lang w:val="en-US" w:eastAsia="zh-CN" w:bidi="ar"/>
        </w:rPr>
        <w:t>件，其中发明授权专利</w:t>
      </w:r>
      <w:r>
        <w:rPr>
          <w:rFonts w:hint="eastAsia" w:eastAsia="宋体" w:cs="Times New Roman"/>
          <w:color w:val="000000"/>
          <w:kern w:val="0"/>
          <w:sz w:val="24"/>
          <w:szCs w:val="24"/>
          <w:lang w:val="en-US" w:eastAsia="zh-CN" w:bidi="ar"/>
        </w:rPr>
        <w:t>1549</w:t>
      </w:r>
      <w:r>
        <w:rPr>
          <w:rFonts w:hint="eastAsia" w:ascii="仿宋" w:hAnsi="仿宋" w:eastAsia="仿宋" w:cs="仿宋"/>
          <w:color w:val="000000"/>
          <w:kern w:val="0"/>
          <w:sz w:val="24"/>
          <w:szCs w:val="24"/>
          <w:lang w:val="en-US" w:eastAsia="zh-CN" w:bidi="ar"/>
        </w:rPr>
        <w:t>件，占授权专利</w:t>
      </w:r>
      <w:r>
        <w:rPr>
          <w:rFonts w:hint="eastAsia" w:eastAsia="宋体" w:cs="Times New Roman"/>
          <w:color w:val="000000"/>
          <w:kern w:val="0"/>
          <w:sz w:val="24"/>
          <w:szCs w:val="24"/>
          <w:lang w:val="en-US" w:eastAsia="zh-CN" w:bidi="ar"/>
        </w:rPr>
        <w:t>35.88</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，近</w:t>
      </w:r>
      <w:r>
        <w:rPr>
          <w:rFonts w:hint="eastAsia"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年中国发明专利</w:t>
      </w:r>
      <w:r>
        <w:rPr>
          <w:rFonts w:hint="eastAsia" w:ascii="仿宋" w:hAnsi="仿宋" w:cs="仿宋"/>
          <w:color w:val="000000"/>
          <w:kern w:val="0"/>
          <w:sz w:val="24"/>
          <w:szCs w:val="24"/>
          <w:lang w:val="en-US" w:eastAsia="zh-CN" w:bidi="ar"/>
        </w:rPr>
        <w:t>申请量</w:t>
      </w:r>
      <w:r>
        <w:rPr>
          <w:rFonts w:hint="eastAsia" w:ascii="仿宋" w:hAnsi="仿宋" w:eastAsia="仿宋" w:cs="仿宋"/>
          <w:color w:val="000000"/>
          <w:kern w:val="0"/>
          <w:sz w:val="24"/>
          <w:szCs w:val="24"/>
          <w:lang w:val="en-US" w:eastAsia="zh-CN" w:bidi="ar"/>
        </w:rPr>
        <w:t>为</w:t>
      </w:r>
      <w:r>
        <w:rPr>
          <w:rFonts w:hint="default" w:ascii="Times New Roman" w:hAnsi="Times New Roman" w:cs="Times New Roman"/>
          <w:color w:val="000000"/>
          <w:kern w:val="0"/>
          <w:sz w:val="24"/>
          <w:szCs w:val="24"/>
          <w:lang w:val="en-US" w:eastAsia="zh-CN" w:bidi="ar"/>
        </w:rPr>
        <w:t>3121</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；有效专利为</w:t>
      </w:r>
      <w:r>
        <w:rPr>
          <w:rFonts w:hint="eastAsia" w:eastAsia="宋体" w:cs="Times New Roman"/>
          <w:color w:val="000000"/>
          <w:kern w:val="0"/>
          <w:sz w:val="24"/>
          <w:szCs w:val="24"/>
          <w:lang w:val="en-US" w:eastAsia="zh-CN" w:bidi="ar"/>
        </w:rPr>
        <w:t>2537</w:t>
      </w:r>
      <w:r>
        <w:rPr>
          <w:rFonts w:hint="eastAsia" w:ascii="仿宋" w:hAnsi="仿宋" w:eastAsia="仿宋" w:cs="仿宋"/>
          <w:color w:val="000000"/>
          <w:kern w:val="0"/>
          <w:sz w:val="24"/>
          <w:szCs w:val="24"/>
          <w:lang w:val="en-US" w:eastAsia="zh-CN" w:bidi="ar"/>
        </w:rPr>
        <w:t>件，占总专利申请</w:t>
      </w:r>
      <w:r>
        <w:rPr>
          <w:rFonts w:hint="eastAsia" w:eastAsia="宋体" w:cs="Times New Roman"/>
          <w:color w:val="000000"/>
          <w:kern w:val="0"/>
          <w:sz w:val="24"/>
          <w:szCs w:val="24"/>
          <w:lang w:val="en-US" w:eastAsia="zh-CN" w:bidi="ar"/>
        </w:rPr>
        <w:t>40.82</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p>
    <w:p w14:paraId="60CDAE4B">
      <w:pPr>
        <w:keepNext w:val="0"/>
        <w:keepLines w:val="0"/>
        <w:widowControl/>
        <w:suppressLineNumbers w:val="0"/>
        <w:jc w:val="left"/>
        <w:rPr>
          <w:rFonts w:hint="eastAsia"/>
        </w:rPr>
      </w:pPr>
      <w:r>
        <w:rPr>
          <w:rFonts w:hint="eastAsia" w:ascii="仿宋" w:hAnsi="仿宋" w:eastAsia="仿宋" w:cs="仿宋"/>
          <w:color w:val="000000"/>
          <w:kern w:val="0"/>
          <w:sz w:val="24"/>
          <w:szCs w:val="24"/>
          <w:lang w:val="en-US" w:eastAsia="zh-CN" w:bidi="ar"/>
        </w:rPr>
        <w:t>广东海洋油气资源勘探开发装备制造专利申请共计</w:t>
      </w:r>
      <w:r>
        <w:rPr>
          <w:rFonts w:hint="eastAsia" w:eastAsia="宋体" w:cs="Times New Roman"/>
          <w:color w:val="000000"/>
          <w:kern w:val="0"/>
          <w:sz w:val="24"/>
          <w:szCs w:val="24"/>
          <w:lang w:val="en-US" w:eastAsia="zh-CN" w:bidi="ar"/>
        </w:rPr>
        <w:t>629</w:t>
      </w:r>
      <w:r>
        <w:rPr>
          <w:rFonts w:hint="eastAsia" w:ascii="仿宋" w:hAnsi="仿宋" w:eastAsia="仿宋" w:cs="仿宋"/>
          <w:color w:val="000000"/>
          <w:kern w:val="0"/>
          <w:sz w:val="24"/>
          <w:szCs w:val="24"/>
          <w:lang w:val="en-US" w:eastAsia="zh-CN" w:bidi="ar"/>
        </w:rPr>
        <w:t>件，其中发明专利申请</w:t>
      </w:r>
      <w:r>
        <w:rPr>
          <w:rFonts w:hint="eastAsia" w:eastAsia="宋体" w:cs="Times New Roman"/>
          <w:color w:val="000000"/>
          <w:kern w:val="0"/>
          <w:sz w:val="24"/>
          <w:szCs w:val="24"/>
          <w:lang w:val="en-US" w:eastAsia="zh-CN" w:bidi="ar"/>
        </w:rPr>
        <w:t>354</w:t>
      </w:r>
      <w:r>
        <w:rPr>
          <w:rFonts w:hint="eastAsia" w:ascii="仿宋" w:hAnsi="仿宋" w:eastAsia="仿宋" w:cs="仿宋"/>
          <w:color w:val="000000"/>
          <w:kern w:val="0"/>
          <w:sz w:val="24"/>
          <w:szCs w:val="24"/>
          <w:lang w:val="en-US" w:eastAsia="zh-CN" w:bidi="ar"/>
        </w:rPr>
        <w:t>件，占比</w:t>
      </w:r>
      <w:r>
        <w:rPr>
          <w:rFonts w:hint="eastAsia" w:eastAsia="宋体" w:cs="Times New Roman"/>
          <w:color w:val="000000"/>
          <w:kern w:val="0"/>
          <w:sz w:val="24"/>
          <w:szCs w:val="24"/>
          <w:lang w:val="en-US" w:eastAsia="zh-CN" w:bidi="ar"/>
        </w:rPr>
        <w:t>56.28</w:t>
      </w:r>
      <w:r>
        <w:rPr>
          <w:rFonts w:hint="default" w:ascii="Times New Roman" w:hAnsi="Times New Roman" w:eastAsia="宋体" w:cs="Times New Roman"/>
          <w:color w:val="000000"/>
          <w:kern w:val="0"/>
          <w:sz w:val="24"/>
          <w:szCs w:val="24"/>
          <w:lang w:val="en-US" w:eastAsia="zh-CN" w:bidi="ar"/>
        </w:rPr>
        <w:t>%</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海洋油气资源勘探开发装备制造专利授权量为</w:t>
      </w:r>
      <w:r>
        <w:rPr>
          <w:rFonts w:hint="eastAsia" w:eastAsia="宋体" w:cs="Times New Roman"/>
          <w:color w:val="000000"/>
          <w:kern w:val="0"/>
          <w:sz w:val="24"/>
          <w:szCs w:val="24"/>
          <w:lang w:val="en-US" w:eastAsia="zh-CN" w:bidi="ar"/>
        </w:rPr>
        <w:t>418</w:t>
      </w:r>
      <w:r>
        <w:rPr>
          <w:rFonts w:hint="eastAsia" w:ascii="仿宋" w:hAnsi="仿宋" w:eastAsia="仿宋" w:cs="仿宋"/>
          <w:color w:val="000000"/>
          <w:kern w:val="0"/>
          <w:sz w:val="24"/>
          <w:szCs w:val="24"/>
          <w:lang w:val="en-US" w:eastAsia="zh-CN" w:bidi="ar"/>
        </w:rPr>
        <w:t>件，近</w:t>
      </w:r>
      <w:r>
        <w:rPr>
          <w:rFonts w:hint="default"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年发明专利</w:t>
      </w:r>
      <w:r>
        <w:rPr>
          <w:rFonts w:hint="eastAsia" w:ascii="仿宋" w:hAnsi="仿宋" w:cs="仿宋"/>
          <w:color w:val="000000"/>
          <w:kern w:val="0"/>
          <w:sz w:val="24"/>
          <w:szCs w:val="24"/>
          <w:lang w:val="en-US" w:eastAsia="zh-CN" w:bidi="ar"/>
        </w:rPr>
        <w:t>申请量为</w:t>
      </w:r>
      <w:r>
        <w:rPr>
          <w:rFonts w:hint="default" w:ascii="Times New Roman" w:hAnsi="Times New Roman" w:cs="Times New Roman"/>
          <w:color w:val="000000"/>
          <w:kern w:val="0"/>
          <w:sz w:val="24"/>
          <w:szCs w:val="24"/>
          <w:lang w:val="en-US" w:eastAsia="zh-CN" w:bidi="ar"/>
        </w:rPr>
        <w:t>274</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；有效专利数为</w:t>
      </w:r>
      <w:r>
        <w:rPr>
          <w:rFonts w:hint="eastAsia" w:eastAsia="宋体" w:cs="Times New Roman"/>
          <w:color w:val="000000"/>
          <w:kern w:val="0"/>
          <w:sz w:val="24"/>
          <w:szCs w:val="24"/>
          <w:lang w:val="en-US" w:eastAsia="zh-CN" w:bidi="ar"/>
        </w:rPr>
        <w:t>274</w:t>
      </w:r>
      <w:r>
        <w:rPr>
          <w:rFonts w:hint="eastAsia" w:ascii="仿宋" w:hAnsi="仿宋" w:eastAsia="仿宋" w:cs="仿宋"/>
          <w:color w:val="000000"/>
          <w:kern w:val="0"/>
          <w:sz w:val="24"/>
          <w:szCs w:val="24"/>
          <w:lang w:val="en-US" w:eastAsia="zh-CN" w:bidi="ar"/>
        </w:rPr>
        <w:t>件，占总专利申请</w:t>
      </w:r>
      <w:r>
        <w:rPr>
          <w:rFonts w:hint="eastAsia" w:eastAsia="宋体" w:cs="Times New Roman"/>
          <w:color w:val="000000"/>
          <w:kern w:val="0"/>
          <w:sz w:val="24"/>
          <w:szCs w:val="24"/>
          <w:lang w:val="en-US" w:eastAsia="zh-CN" w:bidi="ar"/>
        </w:rPr>
        <w:t>43.56</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p>
    <w:p w14:paraId="3E293DFF">
      <w:pPr>
        <w:pStyle w:val="4"/>
        <w:rPr>
          <w:rFonts w:hint="eastAsia" w:eastAsia="宋体"/>
          <w:lang w:eastAsia="zh-CN"/>
        </w:rPr>
      </w:pPr>
      <w:bookmarkStart w:id="0" w:name="_Ref28685"/>
      <w:r>
        <w:t xml:space="preserve">表 </w:t>
      </w:r>
      <w:r>
        <w:fldChar w:fldCharType="begin"/>
      </w:r>
      <w:r>
        <w:instrText xml:space="preserve"> SEQ 表 \* ARABIC </w:instrText>
      </w:r>
      <w:r>
        <w:fldChar w:fldCharType="separate"/>
      </w:r>
      <w:r>
        <w:t>1</w:t>
      </w:r>
      <w:r>
        <w:fldChar w:fldCharType="end"/>
      </w:r>
      <w:bookmarkEnd w:id="0"/>
      <w:r>
        <w:rPr>
          <w:rFonts w:hint="eastAsia"/>
          <w:lang w:eastAsia="zh-CN"/>
        </w:rPr>
        <w:t xml:space="preserve"> </w:t>
      </w:r>
      <w:r>
        <w:rPr>
          <w:rFonts w:hint="eastAsia"/>
          <w:lang w:val="en-US" w:eastAsia="zh-CN"/>
        </w:rPr>
        <w:t>海洋油气资源勘探开发装备制造</w:t>
      </w:r>
      <w:r>
        <w:rPr>
          <w:rFonts w:hint="eastAsia"/>
          <w:lang w:eastAsia="zh-CN"/>
        </w:rPr>
        <w:t>专利总体情况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1"/>
        <w:gridCol w:w="1590"/>
        <w:gridCol w:w="1590"/>
        <w:gridCol w:w="1591"/>
      </w:tblGrid>
      <w:tr w14:paraId="4DE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6F28B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sz w:val="21"/>
                <w:szCs w:val="21"/>
              </w:rPr>
            </w:pPr>
            <w:r>
              <w:rPr>
                <w:rFonts w:hint="eastAsia" w:ascii="仿宋" w:hAnsi="仿宋" w:eastAsia="仿宋" w:cs="仿宋"/>
                <w:b/>
                <w:bCs/>
                <w:i w:val="0"/>
                <w:iCs w:val="0"/>
                <w:color w:val="000000"/>
                <w:kern w:val="0"/>
                <w:sz w:val="21"/>
                <w:szCs w:val="21"/>
                <w:u w:val="none"/>
                <w:lang w:val="en-US" w:eastAsia="zh-CN" w:bidi="ar"/>
              </w:rPr>
              <w:t>指标</w:t>
            </w:r>
          </w:p>
        </w:tc>
        <w:tc>
          <w:tcPr>
            <w:tcW w:w="1590" w:type="dxa"/>
            <w:noWrap/>
            <w:vAlign w:val="center"/>
          </w:tcPr>
          <w:p w14:paraId="632E09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sz w:val="21"/>
                <w:szCs w:val="21"/>
              </w:rPr>
            </w:pPr>
            <w:r>
              <w:rPr>
                <w:rFonts w:hint="eastAsia" w:ascii="仿宋" w:hAnsi="仿宋" w:eastAsia="仿宋" w:cs="仿宋"/>
                <w:b/>
                <w:bCs/>
                <w:i w:val="0"/>
                <w:iCs w:val="0"/>
                <w:color w:val="000000"/>
                <w:kern w:val="0"/>
                <w:sz w:val="21"/>
                <w:szCs w:val="21"/>
                <w:u w:val="none"/>
                <w:lang w:val="en-US" w:eastAsia="zh-CN" w:bidi="ar"/>
              </w:rPr>
              <w:t>全球</w:t>
            </w:r>
          </w:p>
        </w:tc>
        <w:tc>
          <w:tcPr>
            <w:tcW w:w="1590" w:type="dxa"/>
            <w:noWrap/>
            <w:vAlign w:val="center"/>
          </w:tcPr>
          <w:p w14:paraId="3832EF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kern w:val="0"/>
                <w:sz w:val="21"/>
                <w:szCs w:val="21"/>
                <w:lang w:bidi="ar"/>
              </w:rPr>
            </w:pPr>
            <w:r>
              <w:rPr>
                <w:rFonts w:hint="eastAsia" w:ascii="仿宋" w:hAnsi="仿宋" w:eastAsia="仿宋" w:cs="仿宋"/>
                <w:b/>
                <w:bCs/>
                <w:i w:val="0"/>
                <w:iCs w:val="0"/>
                <w:color w:val="000000"/>
                <w:kern w:val="0"/>
                <w:sz w:val="21"/>
                <w:szCs w:val="21"/>
                <w:u w:val="none"/>
                <w:lang w:val="en-US" w:eastAsia="zh-CN" w:bidi="ar"/>
              </w:rPr>
              <w:t>中国</w:t>
            </w:r>
          </w:p>
        </w:tc>
        <w:tc>
          <w:tcPr>
            <w:tcW w:w="1591" w:type="dxa"/>
            <w:vAlign w:val="center"/>
          </w:tcPr>
          <w:p w14:paraId="0D99EF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kern w:val="0"/>
                <w:sz w:val="21"/>
                <w:szCs w:val="21"/>
                <w:lang w:bidi="ar"/>
              </w:rPr>
            </w:pPr>
            <w:r>
              <w:rPr>
                <w:rFonts w:hint="eastAsia" w:ascii="仿宋" w:hAnsi="仿宋" w:eastAsia="仿宋" w:cs="仿宋"/>
                <w:b/>
                <w:bCs/>
                <w:i w:val="0"/>
                <w:iCs w:val="0"/>
                <w:color w:val="000000"/>
                <w:kern w:val="0"/>
                <w:sz w:val="21"/>
                <w:szCs w:val="21"/>
                <w:u w:val="none"/>
                <w:lang w:val="en-US" w:eastAsia="zh-CN" w:bidi="ar"/>
              </w:rPr>
              <w:t>广东</w:t>
            </w:r>
          </w:p>
        </w:tc>
      </w:tr>
      <w:tr w14:paraId="155C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235371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sz w:val="21"/>
                <w:szCs w:val="21"/>
              </w:rPr>
            </w:pPr>
            <w:r>
              <w:rPr>
                <w:rFonts w:hint="eastAsia" w:ascii="仿宋" w:hAnsi="仿宋" w:eastAsia="仿宋" w:cs="仿宋"/>
                <w:i w:val="0"/>
                <w:iCs w:val="0"/>
                <w:color w:val="000000"/>
                <w:kern w:val="0"/>
                <w:sz w:val="21"/>
                <w:szCs w:val="21"/>
                <w:u w:val="none"/>
                <w:lang w:val="en-US" w:eastAsia="zh-CN" w:bidi="ar"/>
              </w:rPr>
              <w:t>专利申请量（件）</w:t>
            </w:r>
          </w:p>
        </w:tc>
        <w:tc>
          <w:tcPr>
            <w:tcW w:w="1590" w:type="dxa"/>
            <w:noWrap/>
            <w:vAlign w:val="center"/>
          </w:tcPr>
          <w:p w14:paraId="6DA5E1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15774</w:t>
            </w:r>
          </w:p>
        </w:tc>
        <w:tc>
          <w:tcPr>
            <w:tcW w:w="1590" w:type="dxa"/>
            <w:noWrap/>
            <w:vAlign w:val="center"/>
          </w:tcPr>
          <w:p w14:paraId="53DCA1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6215</w:t>
            </w:r>
          </w:p>
        </w:tc>
        <w:tc>
          <w:tcPr>
            <w:tcW w:w="1591" w:type="dxa"/>
            <w:vAlign w:val="center"/>
          </w:tcPr>
          <w:p w14:paraId="1BA35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629</w:t>
            </w:r>
          </w:p>
        </w:tc>
      </w:tr>
      <w:tr w14:paraId="0241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170F83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sz w:val="21"/>
                <w:szCs w:val="21"/>
              </w:rPr>
            </w:pPr>
            <w:r>
              <w:rPr>
                <w:rFonts w:hint="eastAsia" w:ascii="仿宋" w:hAnsi="仿宋" w:eastAsia="仿宋" w:cs="仿宋"/>
                <w:i w:val="0"/>
                <w:iCs w:val="0"/>
                <w:color w:val="000000"/>
                <w:kern w:val="0"/>
                <w:sz w:val="21"/>
                <w:szCs w:val="21"/>
                <w:u w:val="none"/>
                <w:lang w:val="en-US" w:eastAsia="zh-CN" w:bidi="ar"/>
              </w:rPr>
              <w:t>发明专利申请量（件）</w:t>
            </w:r>
          </w:p>
        </w:tc>
        <w:tc>
          <w:tcPr>
            <w:tcW w:w="1590" w:type="dxa"/>
            <w:noWrap/>
            <w:vAlign w:val="center"/>
          </w:tcPr>
          <w:p w14:paraId="5CD079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12727</w:t>
            </w:r>
          </w:p>
        </w:tc>
        <w:tc>
          <w:tcPr>
            <w:tcW w:w="1590" w:type="dxa"/>
            <w:noWrap/>
            <w:vAlign w:val="center"/>
          </w:tcPr>
          <w:p w14:paraId="4FEC8C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3447</w:t>
            </w:r>
          </w:p>
        </w:tc>
        <w:tc>
          <w:tcPr>
            <w:tcW w:w="1591" w:type="dxa"/>
            <w:vAlign w:val="center"/>
          </w:tcPr>
          <w:p w14:paraId="2514F5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354</w:t>
            </w:r>
          </w:p>
        </w:tc>
      </w:tr>
      <w:tr w14:paraId="6536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133E08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kern w:val="0"/>
                <w:sz w:val="21"/>
                <w:szCs w:val="21"/>
                <w:lang w:bidi="ar"/>
              </w:rPr>
            </w:pPr>
            <w:r>
              <w:rPr>
                <w:rFonts w:hint="eastAsia" w:ascii="仿宋" w:hAnsi="仿宋" w:eastAsia="仿宋" w:cs="仿宋"/>
                <w:i w:val="0"/>
                <w:iCs w:val="0"/>
                <w:color w:val="000000"/>
                <w:kern w:val="0"/>
                <w:sz w:val="21"/>
                <w:szCs w:val="21"/>
                <w:u w:val="none"/>
                <w:lang w:val="en-US" w:eastAsia="zh-CN" w:bidi="ar"/>
              </w:rPr>
              <w:t>发明申请占比（</w:t>
            </w:r>
            <w:r>
              <w:rPr>
                <w:rStyle w:val="22"/>
                <w:rFonts w:eastAsia="仿宋"/>
                <w:lang w:val="en-US" w:eastAsia="zh-CN" w:bidi="ar"/>
              </w:rPr>
              <w:t>%</w:t>
            </w:r>
            <w:r>
              <w:rPr>
                <w:rStyle w:val="23"/>
                <w:lang w:val="en-US" w:eastAsia="zh-CN" w:bidi="ar"/>
              </w:rPr>
              <w:t>）</w:t>
            </w:r>
          </w:p>
        </w:tc>
        <w:tc>
          <w:tcPr>
            <w:tcW w:w="1590" w:type="dxa"/>
            <w:noWrap/>
            <w:vAlign w:val="center"/>
          </w:tcPr>
          <w:p w14:paraId="6B6BA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80.68%</w:t>
            </w:r>
          </w:p>
        </w:tc>
        <w:tc>
          <w:tcPr>
            <w:tcW w:w="1590" w:type="dxa"/>
            <w:noWrap/>
            <w:vAlign w:val="center"/>
          </w:tcPr>
          <w:p w14:paraId="1E3238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55.46%</w:t>
            </w:r>
          </w:p>
        </w:tc>
        <w:tc>
          <w:tcPr>
            <w:tcW w:w="1591" w:type="dxa"/>
            <w:vAlign w:val="center"/>
          </w:tcPr>
          <w:p w14:paraId="65079D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56.28%</w:t>
            </w:r>
          </w:p>
        </w:tc>
      </w:tr>
      <w:tr w14:paraId="4E48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4777FC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专利授权量（件）</w:t>
            </w:r>
          </w:p>
        </w:tc>
        <w:tc>
          <w:tcPr>
            <w:tcW w:w="1590" w:type="dxa"/>
            <w:noWrap/>
            <w:vAlign w:val="center"/>
          </w:tcPr>
          <w:p w14:paraId="0A35C8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9199</w:t>
            </w:r>
          </w:p>
        </w:tc>
        <w:tc>
          <w:tcPr>
            <w:tcW w:w="1590" w:type="dxa"/>
            <w:noWrap/>
            <w:vAlign w:val="center"/>
          </w:tcPr>
          <w:p w14:paraId="7F749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4317</w:t>
            </w:r>
          </w:p>
        </w:tc>
        <w:tc>
          <w:tcPr>
            <w:tcW w:w="1591" w:type="dxa"/>
            <w:vAlign w:val="center"/>
          </w:tcPr>
          <w:p w14:paraId="233B9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418</w:t>
            </w:r>
          </w:p>
        </w:tc>
      </w:tr>
      <w:tr w14:paraId="74E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37CDEC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发明专利授权量（件）</w:t>
            </w:r>
          </w:p>
        </w:tc>
        <w:tc>
          <w:tcPr>
            <w:tcW w:w="1590" w:type="dxa"/>
            <w:noWrap/>
            <w:vAlign w:val="center"/>
          </w:tcPr>
          <w:p w14:paraId="79083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6218</w:t>
            </w:r>
          </w:p>
        </w:tc>
        <w:tc>
          <w:tcPr>
            <w:tcW w:w="1590" w:type="dxa"/>
            <w:noWrap/>
            <w:vAlign w:val="center"/>
          </w:tcPr>
          <w:p w14:paraId="008778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1549</w:t>
            </w:r>
          </w:p>
        </w:tc>
        <w:tc>
          <w:tcPr>
            <w:tcW w:w="1591" w:type="dxa"/>
            <w:vAlign w:val="center"/>
          </w:tcPr>
          <w:p w14:paraId="64B58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143</w:t>
            </w:r>
          </w:p>
        </w:tc>
      </w:tr>
      <w:tr w14:paraId="380B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21E90C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发明授权占比</w:t>
            </w:r>
            <w:r>
              <w:rPr>
                <w:rStyle w:val="23"/>
                <w:lang w:val="en-US" w:eastAsia="zh-CN" w:bidi="ar"/>
              </w:rPr>
              <w:t>（</w:t>
            </w:r>
            <w:r>
              <w:rPr>
                <w:rStyle w:val="22"/>
                <w:rFonts w:eastAsia="仿宋"/>
                <w:lang w:val="en-US" w:eastAsia="zh-CN" w:bidi="ar"/>
              </w:rPr>
              <w:t>%</w:t>
            </w:r>
            <w:r>
              <w:rPr>
                <w:rStyle w:val="23"/>
                <w:lang w:val="en-US" w:eastAsia="zh-CN" w:bidi="ar"/>
              </w:rPr>
              <w:t>）</w:t>
            </w:r>
          </w:p>
        </w:tc>
        <w:tc>
          <w:tcPr>
            <w:tcW w:w="1590" w:type="dxa"/>
            <w:noWrap/>
            <w:vAlign w:val="center"/>
          </w:tcPr>
          <w:p w14:paraId="4C3C0D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67.59%</w:t>
            </w:r>
          </w:p>
        </w:tc>
        <w:tc>
          <w:tcPr>
            <w:tcW w:w="1590" w:type="dxa"/>
            <w:noWrap/>
            <w:vAlign w:val="center"/>
          </w:tcPr>
          <w:p w14:paraId="757985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35.88%</w:t>
            </w:r>
          </w:p>
        </w:tc>
        <w:tc>
          <w:tcPr>
            <w:tcW w:w="1591" w:type="dxa"/>
            <w:vAlign w:val="center"/>
          </w:tcPr>
          <w:p w14:paraId="7EE3CE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34.21%</w:t>
            </w:r>
          </w:p>
        </w:tc>
      </w:tr>
      <w:tr w14:paraId="089A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543162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color w:val="000000"/>
                <w:kern w:val="0"/>
                <w:sz w:val="21"/>
                <w:szCs w:val="21"/>
                <w:lang w:val="en-US" w:bidi="ar"/>
              </w:rPr>
            </w:pPr>
            <w:r>
              <w:rPr>
                <w:rFonts w:hint="eastAsia" w:ascii="仿宋" w:hAnsi="仿宋" w:cs="仿宋"/>
                <w:i w:val="0"/>
                <w:iCs w:val="0"/>
                <w:color w:val="000000"/>
                <w:kern w:val="0"/>
                <w:sz w:val="21"/>
                <w:szCs w:val="21"/>
                <w:u w:val="none"/>
                <w:lang w:val="en-US" w:eastAsia="zh-CN" w:bidi="ar"/>
              </w:rPr>
              <w:t>近5年发明专利申请量（件）</w:t>
            </w:r>
          </w:p>
        </w:tc>
        <w:tc>
          <w:tcPr>
            <w:tcW w:w="1590" w:type="dxa"/>
            <w:noWrap/>
            <w:vAlign w:val="center"/>
          </w:tcPr>
          <w:p w14:paraId="64A36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5667</w:t>
            </w:r>
          </w:p>
        </w:tc>
        <w:tc>
          <w:tcPr>
            <w:tcW w:w="1590" w:type="dxa"/>
            <w:noWrap/>
            <w:vAlign w:val="center"/>
          </w:tcPr>
          <w:p w14:paraId="185B2C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3121</w:t>
            </w:r>
          </w:p>
        </w:tc>
        <w:tc>
          <w:tcPr>
            <w:tcW w:w="1591" w:type="dxa"/>
            <w:vAlign w:val="center"/>
          </w:tcPr>
          <w:p w14:paraId="3EA911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358</w:t>
            </w:r>
          </w:p>
        </w:tc>
      </w:tr>
      <w:tr w14:paraId="4E6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00100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sz w:val="21"/>
                <w:szCs w:val="21"/>
              </w:rPr>
            </w:pPr>
            <w:r>
              <w:rPr>
                <w:rFonts w:hint="eastAsia" w:ascii="仿宋" w:hAnsi="仿宋" w:eastAsia="仿宋" w:cs="仿宋"/>
                <w:i w:val="0"/>
                <w:iCs w:val="0"/>
                <w:color w:val="000000"/>
                <w:kern w:val="0"/>
                <w:sz w:val="21"/>
                <w:szCs w:val="21"/>
                <w:u w:val="none"/>
                <w:lang w:val="en-US" w:eastAsia="zh-CN" w:bidi="ar"/>
              </w:rPr>
              <w:t>有效专利量（件）</w:t>
            </w:r>
          </w:p>
        </w:tc>
        <w:tc>
          <w:tcPr>
            <w:tcW w:w="1590" w:type="dxa"/>
            <w:noWrap/>
            <w:vAlign w:val="center"/>
          </w:tcPr>
          <w:p w14:paraId="54DFE5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6043</w:t>
            </w:r>
          </w:p>
        </w:tc>
        <w:tc>
          <w:tcPr>
            <w:tcW w:w="1590" w:type="dxa"/>
            <w:noWrap/>
            <w:vAlign w:val="center"/>
          </w:tcPr>
          <w:p w14:paraId="583BB8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2537</w:t>
            </w:r>
          </w:p>
        </w:tc>
        <w:tc>
          <w:tcPr>
            <w:tcW w:w="1591" w:type="dxa"/>
            <w:vAlign w:val="center"/>
          </w:tcPr>
          <w:p w14:paraId="38C66A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274</w:t>
            </w:r>
          </w:p>
        </w:tc>
      </w:tr>
      <w:tr w14:paraId="2590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064E53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有效专利占比</w:t>
            </w:r>
            <w:r>
              <w:rPr>
                <w:rStyle w:val="23"/>
                <w:lang w:val="en-US" w:eastAsia="zh-CN" w:bidi="ar"/>
              </w:rPr>
              <w:t>（</w:t>
            </w:r>
            <w:r>
              <w:rPr>
                <w:rStyle w:val="22"/>
                <w:rFonts w:eastAsia="仿宋"/>
                <w:lang w:val="en-US" w:eastAsia="zh-CN" w:bidi="ar"/>
              </w:rPr>
              <w:t>%</w:t>
            </w:r>
            <w:r>
              <w:rPr>
                <w:rStyle w:val="23"/>
                <w:lang w:val="en-US" w:eastAsia="zh-CN" w:bidi="ar"/>
              </w:rPr>
              <w:t>）</w:t>
            </w:r>
          </w:p>
        </w:tc>
        <w:tc>
          <w:tcPr>
            <w:tcW w:w="1590" w:type="dxa"/>
            <w:noWrap/>
            <w:vAlign w:val="center"/>
          </w:tcPr>
          <w:p w14:paraId="7E238D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38.31%</w:t>
            </w:r>
          </w:p>
        </w:tc>
        <w:tc>
          <w:tcPr>
            <w:tcW w:w="1590" w:type="dxa"/>
            <w:noWrap/>
            <w:vAlign w:val="center"/>
          </w:tcPr>
          <w:p w14:paraId="2E0215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40.82%</w:t>
            </w:r>
          </w:p>
        </w:tc>
        <w:tc>
          <w:tcPr>
            <w:tcW w:w="1591" w:type="dxa"/>
            <w:vAlign w:val="center"/>
          </w:tcPr>
          <w:p w14:paraId="75860C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43.56%</w:t>
            </w:r>
          </w:p>
        </w:tc>
      </w:tr>
      <w:tr w14:paraId="67D7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noWrap/>
            <w:vAlign w:val="center"/>
          </w:tcPr>
          <w:p w14:paraId="403836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color w:val="000000"/>
                <w:sz w:val="21"/>
                <w:szCs w:val="21"/>
              </w:rPr>
            </w:pPr>
            <w:r>
              <w:rPr>
                <w:rFonts w:hint="eastAsia" w:ascii="仿宋" w:hAnsi="仿宋" w:eastAsia="仿宋" w:cs="仿宋"/>
                <w:i w:val="0"/>
                <w:iCs w:val="0"/>
                <w:color w:val="000000"/>
                <w:kern w:val="0"/>
                <w:sz w:val="21"/>
                <w:szCs w:val="21"/>
                <w:u w:val="none"/>
                <w:lang w:val="en-US" w:eastAsia="zh-CN" w:bidi="ar"/>
              </w:rPr>
              <w:t>有效发明专利量（件）</w:t>
            </w:r>
          </w:p>
        </w:tc>
        <w:tc>
          <w:tcPr>
            <w:tcW w:w="1590" w:type="dxa"/>
            <w:noWrap/>
            <w:vAlign w:val="center"/>
          </w:tcPr>
          <w:p w14:paraId="377635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4727</w:t>
            </w:r>
          </w:p>
        </w:tc>
        <w:tc>
          <w:tcPr>
            <w:tcW w:w="1590" w:type="dxa"/>
            <w:noWrap/>
            <w:vAlign w:val="center"/>
          </w:tcPr>
          <w:p w14:paraId="4B48A3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3447</w:t>
            </w:r>
          </w:p>
        </w:tc>
        <w:tc>
          <w:tcPr>
            <w:tcW w:w="1591" w:type="dxa"/>
            <w:vAlign w:val="center"/>
          </w:tcPr>
          <w:p w14:paraId="1C61B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eastAsia="仿宋" w:cs="宋体"/>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127</w:t>
            </w:r>
          </w:p>
        </w:tc>
      </w:tr>
    </w:tbl>
    <w:p w14:paraId="5FF5D6CB">
      <w:pPr>
        <w:ind w:firstLine="480"/>
        <w:rPr>
          <w:rFonts w:hint="eastAsia"/>
        </w:rPr>
      </w:pPr>
    </w:p>
    <w:p w14:paraId="5DF3A2F3">
      <w:pPr>
        <w:pStyle w:val="2"/>
        <w:spacing w:before="156" w:after="312"/>
      </w:pPr>
      <w:r>
        <w:rPr>
          <w:rFonts w:hint="eastAsia"/>
        </w:rPr>
        <w:t>总体趋势分析</w:t>
      </w:r>
    </w:p>
    <w:p w14:paraId="6CF431FA">
      <w:pPr>
        <w:keepNext w:val="0"/>
        <w:keepLines w:val="0"/>
        <w:widowControl/>
        <w:suppressLineNumbers w:val="0"/>
        <w:jc w:val="left"/>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_Ref1174 \h </w:instrText>
      </w:r>
      <w:r>
        <w:rPr>
          <w:rFonts w:ascii="仿宋" w:hAnsi="仿宋" w:eastAsia="仿宋" w:cs="仿宋"/>
          <w:color w:val="000000"/>
          <w:kern w:val="0"/>
          <w:sz w:val="24"/>
          <w:szCs w:val="24"/>
          <w:lang w:val="en-US" w:eastAsia="zh-CN" w:bidi="ar"/>
        </w:rPr>
        <w:fldChar w:fldCharType="separate"/>
      </w:r>
      <w:r>
        <w:t>图 1</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展示了中国海洋油气资源勘探开发装备制造近</w:t>
      </w:r>
      <w:r>
        <w:rPr>
          <w:rFonts w:hint="default" w:ascii="Times New Roman" w:hAnsi="Times New Roman" w:eastAsia="宋体" w:cs="Times New Roman"/>
          <w:color w:val="000000"/>
          <w:kern w:val="0"/>
          <w:sz w:val="24"/>
          <w:szCs w:val="24"/>
          <w:lang w:val="en-US" w:eastAsia="zh-CN" w:bidi="ar"/>
        </w:rPr>
        <w:t>20</w:t>
      </w:r>
      <w:r>
        <w:rPr>
          <w:rFonts w:hint="eastAsia" w:ascii="仿宋" w:hAnsi="仿宋" w:eastAsia="仿宋" w:cs="仿宋"/>
          <w:color w:val="000000"/>
          <w:kern w:val="0"/>
          <w:sz w:val="24"/>
          <w:szCs w:val="24"/>
          <w:lang w:val="en-US" w:eastAsia="zh-CN" w:bidi="ar"/>
        </w:rPr>
        <w:t>年专利申请及授权趋势。如图所示，中国海洋油气资源勘探开发装备制造专利申请和专利授权总体呈上升趋势，可分为</w:t>
      </w:r>
      <w:r>
        <w:rPr>
          <w:rFonts w:hint="eastAsia" w:ascii="仿宋" w:hAnsi="仿宋" w:cs="仿宋"/>
          <w:color w:val="000000"/>
          <w:kern w:val="0"/>
          <w:sz w:val="24"/>
          <w:szCs w:val="24"/>
          <w:lang w:val="en-US" w:eastAsia="zh-CN" w:bidi="ar"/>
        </w:rPr>
        <w:t>两</w:t>
      </w:r>
      <w:r>
        <w:rPr>
          <w:rFonts w:hint="eastAsia" w:ascii="仿宋" w:hAnsi="仿宋" w:eastAsia="仿宋" w:cs="仿宋"/>
          <w:color w:val="000000"/>
          <w:kern w:val="0"/>
          <w:sz w:val="24"/>
          <w:szCs w:val="24"/>
          <w:lang w:val="en-US" w:eastAsia="zh-CN" w:bidi="ar"/>
        </w:rPr>
        <w:t>个阶段：</w:t>
      </w:r>
      <w:r>
        <w:rPr>
          <w:rFonts w:hint="default" w:ascii="Times New Roman" w:hAnsi="Times New Roman" w:eastAsia="宋体" w:cs="Times New Roman"/>
          <w:color w:val="000000"/>
          <w:kern w:val="0"/>
          <w:sz w:val="24"/>
          <w:szCs w:val="24"/>
          <w:lang w:val="en-US" w:eastAsia="zh-CN" w:bidi="ar"/>
        </w:rPr>
        <w:t>200</w:t>
      </w:r>
      <w:r>
        <w:rPr>
          <w:rFonts w:hint="eastAsia"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09</w:t>
      </w:r>
      <w:r>
        <w:rPr>
          <w:rFonts w:hint="eastAsia" w:ascii="仿宋" w:hAnsi="仿宋" w:eastAsia="仿宋" w:cs="仿宋"/>
          <w:color w:val="000000"/>
          <w:kern w:val="0"/>
          <w:sz w:val="24"/>
          <w:szCs w:val="24"/>
          <w:lang w:val="en-US" w:eastAsia="zh-CN" w:bidi="ar"/>
        </w:rPr>
        <w:t>年（萌芽期），我国海洋油气资源勘探开发装备制造技术处于初期发展，海洋油气资源勘探开发装备制造专利申请量稳步上涨，从</w:t>
      </w:r>
      <w:r>
        <w:rPr>
          <w:rFonts w:hint="default" w:ascii="Times New Roman" w:hAnsi="Times New Roman" w:eastAsia="宋体" w:cs="Times New Roman"/>
          <w:color w:val="000000"/>
          <w:kern w:val="0"/>
          <w:sz w:val="24"/>
          <w:szCs w:val="24"/>
          <w:lang w:val="en-US" w:eastAsia="zh-CN" w:bidi="ar"/>
        </w:rPr>
        <w:t>200</w:t>
      </w:r>
      <w:r>
        <w:rPr>
          <w:rFonts w:hint="eastAsia" w:eastAsia="宋体" w:cs="Times New Roman"/>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32</w:t>
      </w:r>
      <w:r>
        <w:rPr>
          <w:rFonts w:hint="eastAsia" w:ascii="仿宋" w:hAnsi="仿宋" w:eastAsia="仿宋" w:cs="仿宋"/>
          <w:color w:val="000000"/>
          <w:kern w:val="0"/>
          <w:sz w:val="24"/>
          <w:szCs w:val="24"/>
          <w:lang w:val="en-US" w:eastAsia="zh-CN" w:bidi="ar"/>
        </w:rPr>
        <w:t>件增长至</w:t>
      </w:r>
      <w:r>
        <w:rPr>
          <w:rFonts w:hint="default"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09</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120</w:t>
      </w:r>
      <w:r>
        <w:rPr>
          <w:rFonts w:hint="eastAsia" w:ascii="仿宋" w:hAnsi="仿宋" w:eastAsia="仿宋" w:cs="仿宋"/>
          <w:color w:val="000000"/>
          <w:kern w:val="0"/>
          <w:sz w:val="24"/>
          <w:szCs w:val="24"/>
          <w:lang w:val="en-US" w:eastAsia="zh-CN" w:bidi="ar"/>
        </w:rPr>
        <w:t>件，海洋油气资源勘探开发装备制造专利授权量也从</w:t>
      </w:r>
      <w:r>
        <w:rPr>
          <w:rFonts w:hint="eastAsia" w:ascii="Times New Roman" w:hAnsi="Times New Roman" w:eastAsia="宋体" w:cs="Times New Roman"/>
          <w:color w:val="000000"/>
          <w:kern w:val="0"/>
          <w:sz w:val="24"/>
          <w:szCs w:val="24"/>
          <w:lang w:val="en-US" w:eastAsia="zh-CN" w:bidi="ar"/>
        </w:rPr>
        <w:t>200</w:t>
      </w:r>
      <w:r>
        <w:rPr>
          <w:rFonts w:hint="eastAsia" w:eastAsia="宋体" w:cs="Times New Roman"/>
          <w:color w:val="000000"/>
          <w:kern w:val="0"/>
          <w:sz w:val="24"/>
          <w:szCs w:val="24"/>
          <w:lang w:val="en-US" w:eastAsia="zh-CN" w:bidi="ar"/>
        </w:rPr>
        <w:t>4</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15</w:t>
      </w:r>
      <w:r>
        <w:rPr>
          <w:rFonts w:hint="eastAsia" w:ascii="仿宋" w:hAnsi="仿宋" w:eastAsia="仿宋" w:cs="仿宋"/>
          <w:color w:val="000000"/>
          <w:kern w:val="0"/>
          <w:sz w:val="24"/>
          <w:szCs w:val="24"/>
          <w:lang w:val="en-US" w:eastAsia="zh-CN" w:bidi="ar"/>
        </w:rPr>
        <w:t>件增长至</w:t>
      </w:r>
      <w:r>
        <w:rPr>
          <w:rFonts w:hint="eastAsia"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09</w:t>
      </w:r>
      <w:r>
        <w:rPr>
          <w:rFonts w:hint="eastAsia" w:ascii="仿宋" w:hAnsi="仿宋" w:eastAsia="仿宋" w:cs="仿宋"/>
          <w:color w:val="000000"/>
          <w:kern w:val="0"/>
          <w:sz w:val="24"/>
          <w:szCs w:val="24"/>
          <w:lang w:val="en-US" w:eastAsia="zh-CN" w:bidi="ar"/>
        </w:rPr>
        <w:t>年</w:t>
      </w:r>
      <w:r>
        <w:rPr>
          <w:rFonts w:hint="eastAsia" w:eastAsia="宋体" w:cs="Times New Roman"/>
          <w:color w:val="000000"/>
          <w:kern w:val="0"/>
          <w:sz w:val="24"/>
          <w:szCs w:val="24"/>
          <w:lang w:val="en-US" w:eastAsia="zh-CN" w:bidi="ar"/>
        </w:rPr>
        <w:t>65</w:t>
      </w:r>
      <w:r>
        <w:rPr>
          <w:rFonts w:hint="eastAsia" w:ascii="仿宋" w:hAnsi="仿宋" w:eastAsia="仿宋" w:cs="仿宋"/>
          <w:color w:val="000000"/>
          <w:kern w:val="0"/>
          <w:sz w:val="24"/>
          <w:szCs w:val="24"/>
          <w:lang w:val="en-US" w:eastAsia="zh-CN" w:bidi="ar"/>
        </w:rPr>
        <w:t>件，说明该阶段海洋油气资源勘探开发装备制造领域的技术正处于导入期；</w:t>
      </w:r>
      <w:r>
        <w:rPr>
          <w:rFonts w:hint="default"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09</w:t>
      </w:r>
      <w:r>
        <w:rPr>
          <w:rFonts w:hint="default" w:ascii="Times New Roman" w:hAnsi="Times New Roman" w:eastAsia="宋体" w:cs="Times New Roman"/>
          <w:color w:val="000000"/>
          <w:kern w:val="0"/>
          <w:sz w:val="24"/>
          <w:szCs w:val="24"/>
          <w:lang w:val="en-US" w:eastAsia="zh-CN" w:bidi="ar"/>
        </w:rPr>
        <w:t>-202</w:t>
      </w:r>
      <w:r>
        <w:rPr>
          <w:rFonts w:hint="eastAsia" w:eastAsia="宋体" w:cs="Times New Roman"/>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年（快速发展期），本时期专利申请量快速增长，虽然分别在</w:t>
      </w:r>
      <w:r>
        <w:rPr>
          <w:rFonts w:hint="eastAsia" w:ascii="Times New Roman" w:hAnsi="Times New Roman" w:eastAsia="宋体" w:cs="Times New Roman"/>
          <w:color w:val="000000"/>
          <w:kern w:val="0"/>
          <w:sz w:val="24"/>
          <w:szCs w:val="24"/>
          <w:lang w:val="en-US" w:eastAsia="zh-CN" w:bidi="ar"/>
        </w:rPr>
        <w:t>201</w:t>
      </w:r>
      <w:r>
        <w:rPr>
          <w:rFonts w:hint="eastAsia"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w:t>
      </w:r>
      <w:r>
        <w:rPr>
          <w:rFonts w:hint="eastAsia" w:ascii="Times New Roman" w:hAnsi="Times New Roman" w:eastAsia="宋体" w:cs="Times New Roman"/>
          <w:color w:val="000000"/>
          <w:kern w:val="0"/>
          <w:sz w:val="24"/>
          <w:szCs w:val="24"/>
          <w:lang w:val="en-US" w:eastAsia="zh-CN" w:bidi="ar"/>
        </w:rPr>
        <w:t>201</w:t>
      </w:r>
      <w:r>
        <w:rPr>
          <w:rFonts w:hint="eastAsia" w:eastAsia="宋体" w:cs="Times New Roman"/>
          <w:color w:val="000000"/>
          <w:kern w:val="0"/>
          <w:sz w:val="24"/>
          <w:szCs w:val="24"/>
          <w:lang w:val="en-US" w:eastAsia="zh-CN" w:bidi="ar"/>
        </w:rPr>
        <w:t>8</w:t>
      </w:r>
      <w:r>
        <w:rPr>
          <w:rFonts w:hint="eastAsia" w:ascii="仿宋" w:hAnsi="仿宋" w:eastAsia="仿宋" w:cs="仿宋"/>
          <w:color w:val="000000"/>
          <w:kern w:val="0"/>
          <w:sz w:val="24"/>
          <w:szCs w:val="24"/>
          <w:lang w:val="en-US" w:eastAsia="zh-CN" w:bidi="ar"/>
        </w:rPr>
        <w:t>年和</w:t>
      </w:r>
      <w:r>
        <w:rPr>
          <w:rFonts w:hint="eastAsia"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19</w:t>
      </w:r>
      <w:r>
        <w:rPr>
          <w:rFonts w:hint="eastAsia" w:ascii="仿宋" w:hAnsi="仿宋" w:eastAsia="仿宋" w:cs="仿宋"/>
          <w:color w:val="000000"/>
          <w:kern w:val="0"/>
          <w:sz w:val="24"/>
          <w:szCs w:val="24"/>
          <w:lang w:val="en-US" w:eastAsia="zh-CN" w:bidi="ar"/>
        </w:rPr>
        <w:t>年出现了小幅震荡，但整体呈明显增长趋势，</w:t>
      </w:r>
      <w:r>
        <w:rPr>
          <w:rFonts w:hint="eastAsia" w:ascii="Times New Roman" w:hAnsi="Times New Roman" w:eastAsia="宋体" w:cs="Times New Roman"/>
          <w:color w:val="000000"/>
          <w:kern w:val="0"/>
          <w:sz w:val="24"/>
          <w:szCs w:val="24"/>
          <w:lang w:val="en-US" w:eastAsia="zh-CN" w:bidi="ar"/>
        </w:rPr>
        <w:t>2021</w:t>
      </w:r>
      <w:r>
        <w:rPr>
          <w:rFonts w:hint="eastAsia" w:ascii="仿宋" w:hAnsi="仿宋" w:eastAsia="仿宋" w:cs="仿宋"/>
          <w:color w:val="000000"/>
          <w:kern w:val="0"/>
          <w:sz w:val="24"/>
          <w:szCs w:val="24"/>
          <w:lang w:val="en-US" w:eastAsia="zh-CN" w:bidi="ar"/>
        </w:rPr>
        <w:t>年专利申请量达到本时期的峰值，专利申请量达</w:t>
      </w:r>
      <w:r>
        <w:rPr>
          <w:rFonts w:hint="eastAsia" w:eastAsia="宋体" w:cs="Times New Roman"/>
          <w:color w:val="000000"/>
          <w:kern w:val="0"/>
          <w:sz w:val="24"/>
          <w:szCs w:val="24"/>
          <w:lang w:val="en-US" w:eastAsia="zh-CN" w:bidi="ar"/>
        </w:rPr>
        <w:t>608</w:t>
      </w:r>
      <w:r>
        <w:rPr>
          <w:rFonts w:hint="eastAsia" w:ascii="仿宋" w:hAnsi="仿宋" w:eastAsia="仿宋" w:cs="仿宋"/>
          <w:color w:val="000000"/>
          <w:kern w:val="0"/>
          <w:sz w:val="24"/>
          <w:szCs w:val="24"/>
          <w:lang w:val="en-US" w:eastAsia="zh-CN" w:bidi="ar"/>
        </w:rPr>
        <w:t>件，专利授权量则在</w:t>
      </w:r>
      <w:r>
        <w:rPr>
          <w:rFonts w:hint="eastAsia" w:ascii="Times New Roman" w:hAnsi="Times New Roman" w:eastAsia="宋体" w:cs="Times New Roman"/>
          <w:color w:val="000000"/>
          <w:kern w:val="0"/>
          <w:sz w:val="24"/>
          <w:szCs w:val="24"/>
          <w:lang w:val="en-US" w:eastAsia="zh-CN" w:bidi="ar"/>
        </w:rPr>
        <w:t>20</w:t>
      </w:r>
      <w:r>
        <w:rPr>
          <w:rFonts w:hint="eastAsia" w:eastAsia="宋体" w:cs="Times New Roman"/>
          <w:color w:val="000000"/>
          <w:kern w:val="0"/>
          <w:sz w:val="24"/>
          <w:szCs w:val="24"/>
          <w:lang w:val="en-US" w:eastAsia="zh-CN" w:bidi="ar"/>
        </w:rPr>
        <w:t>23</w:t>
      </w:r>
      <w:r>
        <w:rPr>
          <w:rFonts w:hint="eastAsia" w:ascii="仿宋" w:hAnsi="仿宋" w:eastAsia="仿宋" w:cs="仿宋"/>
          <w:color w:val="000000"/>
          <w:kern w:val="0"/>
          <w:sz w:val="24"/>
          <w:szCs w:val="24"/>
          <w:lang w:val="en-US" w:eastAsia="zh-CN" w:bidi="ar"/>
        </w:rPr>
        <w:t>年达到最大值</w:t>
      </w:r>
      <w:r>
        <w:rPr>
          <w:rFonts w:hint="eastAsia" w:eastAsia="宋体" w:cs="Times New Roman"/>
          <w:color w:val="000000"/>
          <w:kern w:val="0"/>
          <w:sz w:val="24"/>
          <w:szCs w:val="24"/>
          <w:lang w:val="en-US" w:eastAsia="zh-CN" w:bidi="ar"/>
        </w:rPr>
        <w:t>439</w:t>
      </w:r>
      <w:r>
        <w:rPr>
          <w:rFonts w:hint="eastAsia" w:ascii="仿宋" w:hAnsi="仿宋" w:eastAsia="仿宋" w:cs="仿宋"/>
          <w:color w:val="000000"/>
          <w:kern w:val="0"/>
          <w:sz w:val="24"/>
          <w:szCs w:val="24"/>
          <w:lang w:val="en-US" w:eastAsia="zh-CN" w:bidi="ar"/>
        </w:rPr>
        <w:t>件。</w:t>
      </w:r>
    </w:p>
    <w:p w14:paraId="57934BFE">
      <w:pPr>
        <w:ind w:left="0" w:leftChars="0" w:firstLine="0" w:firstLineChars="0"/>
        <w:jc w:val="center"/>
        <w:rPr>
          <w:b/>
          <w:bCs/>
        </w:rPr>
      </w:pPr>
      <w:r>
        <w:drawing>
          <wp:inline distT="0" distB="0" distL="114300" distR="114300">
            <wp:extent cx="5219700" cy="2962910"/>
            <wp:effectExtent l="4445" t="4445" r="1460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E7804F">
      <w:pPr>
        <w:pStyle w:val="4"/>
        <w:ind w:left="0" w:leftChars="0" w:firstLine="0" w:firstLineChars="0"/>
        <w:rPr>
          <w:rFonts w:hint="eastAsia"/>
          <w:color w:val="0070C0"/>
        </w:rPr>
      </w:pPr>
      <w:bookmarkStart w:id="1" w:name="_Ref1174"/>
      <w:r>
        <w:t xml:space="preserve">图 </w:t>
      </w:r>
      <w:r>
        <w:fldChar w:fldCharType="begin"/>
      </w:r>
      <w:r>
        <w:instrText xml:space="preserve"> SEQ 图 \* ARABIC </w:instrText>
      </w:r>
      <w:r>
        <w:fldChar w:fldCharType="separate"/>
      </w:r>
      <w:r>
        <w:t>1</w:t>
      </w:r>
      <w:r>
        <w:fldChar w:fldCharType="end"/>
      </w:r>
      <w:bookmarkEnd w:id="1"/>
      <w:r>
        <w:rPr>
          <w:rFonts w:hint="eastAsia"/>
          <w:lang w:eastAsia="zh-CN"/>
        </w:rPr>
        <w:t xml:space="preserve"> 中国</w:t>
      </w:r>
      <w:r>
        <w:rPr>
          <w:rFonts w:hint="eastAsia"/>
          <w:lang w:val="en-US" w:eastAsia="zh-CN"/>
        </w:rPr>
        <w:t>海洋油气资源勘探开发装备制造</w:t>
      </w:r>
      <w:r>
        <w:rPr>
          <w:rFonts w:hint="eastAsia"/>
          <w:lang w:eastAsia="zh-CN"/>
        </w:rPr>
        <w:t>专利申请量和授权量趋势图（单位：件）</w:t>
      </w:r>
    </w:p>
    <w:p w14:paraId="4CC5AEDA">
      <w:pPr>
        <w:pStyle w:val="2"/>
        <w:spacing w:before="156" w:after="312"/>
        <w:rPr>
          <w:rFonts w:hint="eastAsia" w:eastAsia="仿宋"/>
          <w:lang w:val="en-US" w:eastAsia="zh-CN"/>
        </w:rPr>
      </w:pPr>
      <w:r>
        <w:rPr>
          <w:rFonts w:hint="eastAsia"/>
        </w:rPr>
        <w:t>专利布局现状</w:t>
      </w:r>
    </w:p>
    <w:p w14:paraId="2C3F44C5">
      <w:pPr>
        <w:keepNext w:val="0"/>
        <w:keepLines w:val="0"/>
        <w:widowControl/>
        <w:suppressLineNumbers w:val="0"/>
        <w:jc w:val="left"/>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_Ref30992 \h </w:instrText>
      </w:r>
      <w:r>
        <w:rPr>
          <w:rFonts w:ascii="仿宋" w:hAnsi="仿宋" w:eastAsia="仿宋" w:cs="仿宋"/>
          <w:color w:val="000000"/>
          <w:kern w:val="0"/>
          <w:sz w:val="24"/>
          <w:szCs w:val="24"/>
          <w:lang w:val="en-US" w:eastAsia="zh-CN" w:bidi="ar"/>
        </w:rPr>
        <w:fldChar w:fldCharType="separate"/>
      </w:r>
      <w:r>
        <w:t>图 2</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展示了海洋油气资源勘探开发装备制造专利在中国区域的申请、授权分布情况。由</w:t>
      </w:r>
      <w:r>
        <w:rPr>
          <w:rFonts w:hint="eastAsia" w:ascii="仿宋" w:hAnsi="仿宋" w:eastAsia="仿宋" w:cs="仿宋"/>
          <w:color w:val="000000"/>
          <w:kern w:val="0"/>
          <w:sz w:val="24"/>
          <w:szCs w:val="24"/>
          <w:lang w:val="en-US" w:eastAsia="zh-CN" w:bidi="ar"/>
        </w:rPr>
        <w:fldChar w:fldCharType="begin"/>
      </w:r>
      <w:r>
        <w:rPr>
          <w:rFonts w:hint="eastAsia" w:ascii="仿宋" w:hAnsi="仿宋" w:eastAsia="仿宋" w:cs="仿宋"/>
          <w:color w:val="000000"/>
          <w:kern w:val="0"/>
          <w:sz w:val="24"/>
          <w:szCs w:val="24"/>
          <w:lang w:val="en-US" w:eastAsia="zh-CN" w:bidi="ar"/>
        </w:rPr>
        <w:instrText xml:space="preserve"> REF _Ref30992 \h </w:instrText>
      </w:r>
      <w:r>
        <w:rPr>
          <w:rFonts w:hint="eastAsia" w:ascii="仿宋" w:hAnsi="仿宋" w:eastAsia="仿宋" w:cs="仿宋"/>
          <w:color w:val="000000"/>
          <w:kern w:val="0"/>
          <w:sz w:val="24"/>
          <w:szCs w:val="24"/>
          <w:lang w:val="en-US" w:eastAsia="zh-CN" w:bidi="ar"/>
        </w:rPr>
        <w:fldChar w:fldCharType="separate"/>
      </w:r>
      <w:r>
        <w:t>图 2</w:t>
      </w:r>
      <w:r>
        <w:rPr>
          <w:rFonts w:hint="eastAsia"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可知，海洋油气资源勘探开发装备制造的创新发明主要集中</w:t>
      </w:r>
      <w:r>
        <w:rPr>
          <w:rFonts w:hint="eastAsia" w:ascii="仿宋" w:hAnsi="仿宋" w:cs="仿宋"/>
          <w:color w:val="000000"/>
          <w:kern w:val="0"/>
          <w:sz w:val="24"/>
          <w:szCs w:val="24"/>
          <w:lang w:val="en-US" w:eastAsia="zh-CN" w:bidi="ar"/>
        </w:rPr>
        <w:t>北京市、山东省、天津市三</w:t>
      </w:r>
      <w:r>
        <w:rPr>
          <w:rFonts w:hint="eastAsia" w:ascii="仿宋" w:hAnsi="仿宋" w:eastAsia="仿宋" w:cs="仿宋"/>
          <w:color w:val="000000"/>
          <w:kern w:val="0"/>
          <w:sz w:val="24"/>
          <w:szCs w:val="24"/>
          <w:lang w:val="en-US" w:eastAsia="zh-CN" w:bidi="ar"/>
        </w:rPr>
        <w:t>个</w:t>
      </w:r>
      <w:r>
        <w:rPr>
          <w:rFonts w:hint="eastAsia" w:ascii="仿宋" w:hAnsi="仿宋" w:cs="仿宋"/>
          <w:color w:val="000000"/>
          <w:kern w:val="0"/>
          <w:sz w:val="24"/>
          <w:szCs w:val="24"/>
          <w:lang w:val="en-US" w:eastAsia="zh-CN" w:bidi="ar"/>
        </w:rPr>
        <w:t>省市</w:t>
      </w:r>
      <w:r>
        <w:rPr>
          <w:rFonts w:hint="eastAsia" w:ascii="仿宋" w:hAnsi="仿宋" w:eastAsia="仿宋" w:cs="仿宋"/>
          <w:color w:val="000000"/>
          <w:kern w:val="0"/>
          <w:sz w:val="24"/>
          <w:szCs w:val="24"/>
          <w:lang w:val="en-US" w:eastAsia="zh-CN" w:bidi="ar"/>
        </w:rPr>
        <w:t>，其中</w:t>
      </w:r>
      <w:r>
        <w:rPr>
          <w:rFonts w:hint="eastAsia" w:ascii="仿宋" w:hAnsi="仿宋" w:cs="仿宋"/>
          <w:color w:val="000000"/>
          <w:kern w:val="0"/>
          <w:sz w:val="24"/>
          <w:szCs w:val="24"/>
          <w:lang w:val="en-US" w:eastAsia="zh-CN" w:bidi="ar"/>
        </w:rPr>
        <w:t>北京</w:t>
      </w:r>
      <w:r>
        <w:rPr>
          <w:rFonts w:hint="eastAsia" w:ascii="仿宋" w:hAnsi="仿宋" w:eastAsia="仿宋" w:cs="仿宋"/>
          <w:color w:val="000000"/>
          <w:kern w:val="0"/>
          <w:sz w:val="24"/>
          <w:szCs w:val="24"/>
          <w:lang w:val="en-US" w:eastAsia="zh-CN" w:bidi="ar"/>
        </w:rPr>
        <w:t>以</w:t>
      </w:r>
      <w:r>
        <w:rPr>
          <w:rFonts w:hint="eastAsia" w:eastAsia="宋体" w:cs="Times New Roman"/>
          <w:color w:val="000000"/>
          <w:kern w:val="0"/>
          <w:sz w:val="24"/>
          <w:szCs w:val="24"/>
          <w:lang w:val="en-US" w:eastAsia="zh-CN" w:bidi="ar"/>
        </w:rPr>
        <w:t>1113</w:t>
      </w:r>
      <w:r>
        <w:rPr>
          <w:rFonts w:hint="eastAsia" w:ascii="仿宋" w:hAnsi="仿宋" w:eastAsia="仿宋" w:cs="仿宋"/>
          <w:color w:val="000000"/>
          <w:kern w:val="0"/>
          <w:sz w:val="24"/>
          <w:szCs w:val="24"/>
          <w:lang w:val="en-US" w:eastAsia="zh-CN" w:bidi="ar"/>
        </w:rPr>
        <w:t>件专利位列中国第一位，专利授权量为</w:t>
      </w:r>
      <w:r>
        <w:rPr>
          <w:rFonts w:hint="eastAsia" w:eastAsia="宋体" w:cs="Times New Roman"/>
          <w:color w:val="000000"/>
          <w:kern w:val="0"/>
          <w:sz w:val="24"/>
          <w:szCs w:val="24"/>
          <w:lang w:val="en-US" w:eastAsia="zh-CN" w:bidi="ar"/>
        </w:rPr>
        <w:t>772</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广东省、江苏省、上海市、辽宁省、浙江省、四川省六个省市</w:t>
      </w:r>
      <w:r>
        <w:rPr>
          <w:rFonts w:hint="eastAsia" w:ascii="仿宋" w:hAnsi="仿宋" w:eastAsia="仿宋" w:cs="仿宋"/>
          <w:color w:val="000000"/>
          <w:kern w:val="0"/>
          <w:sz w:val="24"/>
          <w:szCs w:val="24"/>
          <w:lang w:val="en-US" w:eastAsia="zh-CN" w:bidi="ar"/>
        </w:rPr>
        <w:t>紧随其后，专利申请和授权量均超过</w:t>
      </w:r>
      <w:r>
        <w:rPr>
          <w:rFonts w:hint="eastAsia" w:eastAsia="宋体" w:cs="Times New Roman"/>
          <w:color w:val="000000"/>
          <w:kern w:val="0"/>
          <w:sz w:val="24"/>
          <w:szCs w:val="24"/>
          <w:lang w:val="en-US" w:eastAsia="zh-CN" w:bidi="ar"/>
        </w:rPr>
        <w:t>200</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陕西省、湖北省、河北省、湖南省、河南省、安徽省</w:t>
      </w:r>
      <w:r>
        <w:rPr>
          <w:rFonts w:hint="eastAsia" w:ascii="仿宋" w:hAnsi="仿宋" w:eastAsia="仿宋" w:cs="仿宋"/>
          <w:color w:val="000000"/>
          <w:kern w:val="0"/>
          <w:sz w:val="24"/>
          <w:szCs w:val="24"/>
          <w:lang w:val="en-US" w:eastAsia="zh-CN" w:bidi="ar"/>
        </w:rPr>
        <w:t>的专利申请量排名分别位列第</w:t>
      </w:r>
      <w:r>
        <w:rPr>
          <w:rFonts w:hint="eastAsia"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val="en-US" w:eastAsia="zh-CN" w:bidi="ar"/>
        </w:rPr>
        <w:t>~1</w:t>
      </w:r>
      <w:r>
        <w:rPr>
          <w:rFonts w:hint="eastAsia"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名，其专利授权量在</w:t>
      </w:r>
      <w:r>
        <w:rPr>
          <w:rFonts w:hint="eastAsia" w:eastAsia="宋体" w:cs="Times New Roman"/>
          <w:color w:val="000000"/>
          <w:kern w:val="0"/>
          <w:sz w:val="24"/>
          <w:szCs w:val="24"/>
          <w:lang w:val="en-US" w:eastAsia="zh-CN" w:bidi="ar"/>
        </w:rPr>
        <w:t>100-250</w:t>
      </w:r>
      <w:r>
        <w:rPr>
          <w:rFonts w:hint="eastAsia" w:ascii="仿宋" w:hAnsi="仿宋" w:eastAsia="仿宋" w:cs="仿宋"/>
          <w:color w:val="000000"/>
          <w:kern w:val="0"/>
          <w:sz w:val="24"/>
          <w:szCs w:val="24"/>
          <w:lang w:val="en-US" w:eastAsia="zh-CN" w:bidi="ar"/>
        </w:rPr>
        <w:t>件范围内。</w:t>
      </w:r>
      <w:bookmarkStart w:id="6" w:name="_GoBack"/>
      <w:bookmarkEnd w:id="6"/>
    </w:p>
    <w:p w14:paraId="0D08F7BE">
      <w:pPr>
        <w:ind w:firstLine="0" w:firstLineChars="0"/>
        <w:jc w:val="center"/>
      </w:pPr>
      <w:r>
        <w:drawing>
          <wp:anchor distT="0" distB="0" distL="114300" distR="114300" simplePos="0" relativeHeight="251661312" behindDoc="0" locked="0" layoutInCell="1" allowOverlap="1">
            <wp:simplePos x="0" y="0"/>
            <wp:positionH relativeFrom="column">
              <wp:posOffset>-51435</wp:posOffset>
            </wp:positionH>
            <wp:positionV relativeFrom="paragraph">
              <wp:posOffset>220980</wp:posOffset>
            </wp:positionV>
            <wp:extent cx="3104515" cy="2301875"/>
            <wp:effectExtent l="0" t="0" r="635" b="3175"/>
            <wp:wrapNone/>
            <wp:docPr id="4" name="图片 4" descr="全国专利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全国专利申请"/>
                    <pic:cNvPicPr>
                      <a:picLocks noChangeAspect="1"/>
                    </pic:cNvPicPr>
                  </pic:nvPicPr>
                  <pic:blipFill>
                    <a:blip r:embed="rId13"/>
                    <a:srcRect l="8014" t="2567" r="20005" b="3564"/>
                    <a:stretch>
                      <a:fillRect/>
                    </a:stretch>
                  </pic:blipFill>
                  <pic:spPr>
                    <a:xfrm>
                      <a:off x="0" y="0"/>
                      <a:ext cx="3104515" cy="230187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243840</wp:posOffset>
            </wp:positionH>
            <wp:positionV relativeFrom="paragraph">
              <wp:posOffset>2459355</wp:posOffset>
            </wp:positionV>
            <wp:extent cx="963295" cy="399415"/>
            <wp:effectExtent l="0" t="0" r="8255" b="635"/>
            <wp:wrapNone/>
            <wp:docPr id="7" name="图片 7" descr="全国专利申请（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全国专利申请（图例）"/>
                    <pic:cNvPicPr>
                      <a:picLocks noChangeAspect="1"/>
                    </pic:cNvPicPr>
                  </pic:nvPicPr>
                  <pic:blipFill>
                    <a:blip r:embed="rId14"/>
                    <a:stretch>
                      <a:fillRect/>
                    </a:stretch>
                  </pic:blipFill>
                  <pic:spPr>
                    <a:xfrm>
                      <a:off x="0" y="0"/>
                      <a:ext cx="963295" cy="399415"/>
                    </a:xfrm>
                    <a:prstGeom prst="rect">
                      <a:avLst/>
                    </a:prstGeom>
                  </pic:spPr>
                </pic:pic>
              </a:graphicData>
            </a:graphic>
          </wp:anchor>
        </w:drawing>
      </w:r>
      <w:r>
        <w:drawing>
          <wp:inline distT="0" distB="0" distL="114300" distR="114300">
            <wp:extent cx="5270500" cy="3251200"/>
            <wp:effectExtent l="0" t="0" r="6350" b="6350"/>
            <wp:docPr id="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71416D">
      <w:pPr>
        <w:pStyle w:val="4"/>
        <w:ind w:firstLine="0" w:firstLineChars="0"/>
        <w:rPr>
          <w:rFonts w:hint="eastAsia"/>
          <w:lang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 xml:space="preserve"> 中国</w:t>
      </w:r>
      <w:r>
        <w:rPr>
          <w:rFonts w:hint="eastAsia"/>
          <w:lang w:val="en-US" w:eastAsia="zh-CN"/>
        </w:rPr>
        <w:t>海洋油气资源勘探开发装备制造</w:t>
      </w:r>
      <w:r>
        <w:rPr>
          <w:rFonts w:hint="eastAsia"/>
          <w:lang w:eastAsia="zh-CN"/>
        </w:rPr>
        <w:t>专利申请量和授权量区域分布情况（单位：件）</w:t>
      </w:r>
    </w:p>
    <w:p w14:paraId="23161F0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fldChar w:fldCharType="begin"/>
      </w:r>
      <w:r>
        <w:rPr>
          <w:rFonts w:hint="eastAsia" w:ascii="仿宋" w:hAnsi="仿宋" w:eastAsia="仿宋" w:cs="仿宋"/>
          <w:color w:val="000000"/>
          <w:kern w:val="0"/>
          <w:sz w:val="24"/>
          <w:szCs w:val="24"/>
          <w:lang w:val="en-US" w:eastAsia="zh-CN" w:bidi="ar"/>
        </w:rPr>
        <w:instrText xml:space="preserve"> REF _Ref13099 \h </w:instrText>
      </w:r>
      <w:r>
        <w:rPr>
          <w:rFonts w:hint="eastAsia" w:ascii="仿宋" w:hAnsi="仿宋" w:eastAsia="仿宋" w:cs="仿宋"/>
          <w:color w:val="000000"/>
          <w:kern w:val="0"/>
          <w:sz w:val="24"/>
          <w:szCs w:val="24"/>
          <w:lang w:val="en-US" w:eastAsia="zh-CN" w:bidi="ar"/>
        </w:rPr>
        <w:fldChar w:fldCharType="separate"/>
      </w:r>
      <w:r>
        <w:rPr>
          <w:rFonts w:hint="eastAsia" w:ascii="仿宋" w:hAnsi="仿宋" w:eastAsia="仿宋" w:cs="仿宋"/>
          <w:color w:val="000000"/>
          <w:kern w:val="0"/>
          <w:sz w:val="24"/>
          <w:szCs w:val="24"/>
          <w:lang w:val="en-US" w:eastAsia="zh-CN" w:bidi="ar"/>
        </w:rPr>
        <w:t>图 3</w:t>
      </w:r>
      <w:r>
        <w:rPr>
          <w:rFonts w:hint="eastAsia"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展示了海洋油气资源勘探开发装备制造专利在广东区域的申请、授权分布情况。可以看出广东海洋油气资源勘探开发装备制造技术创新资源主要分布在</w:t>
      </w:r>
      <w:r>
        <w:rPr>
          <w:rFonts w:hint="eastAsia" w:ascii="仿宋" w:hAnsi="仿宋" w:cs="仿宋"/>
          <w:color w:val="000000"/>
          <w:kern w:val="0"/>
          <w:sz w:val="24"/>
          <w:szCs w:val="24"/>
          <w:lang w:val="en-US" w:eastAsia="zh-CN" w:bidi="ar"/>
        </w:rPr>
        <w:t>广州、深圳、湛江、珠海</w:t>
      </w:r>
      <w:r>
        <w:rPr>
          <w:rFonts w:hint="eastAsia" w:ascii="仿宋" w:hAnsi="仿宋" w:eastAsia="仿宋" w:cs="仿宋"/>
          <w:color w:val="000000"/>
          <w:kern w:val="0"/>
          <w:sz w:val="24"/>
          <w:szCs w:val="24"/>
          <w:lang w:val="en-US" w:eastAsia="zh-CN" w:bidi="ar"/>
        </w:rPr>
        <w:t>这四个城市。广州、深圳分别以</w:t>
      </w:r>
      <w:r>
        <w:rPr>
          <w:rFonts w:hint="eastAsia" w:eastAsia="宋体" w:cs="Times New Roman"/>
          <w:color w:val="000000"/>
          <w:kern w:val="0"/>
          <w:sz w:val="24"/>
          <w:szCs w:val="24"/>
          <w:lang w:val="en-US" w:eastAsia="zh-CN" w:bidi="ar"/>
        </w:rPr>
        <w:t>212</w:t>
      </w:r>
      <w:r>
        <w:rPr>
          <w:rFonts w:hint="eastAsia" w:ascii="仿宋" w:hAnsi="仿宋" w:eastAsia="仿宋" w:cs="仿宋"/>
          <w:color w:val="000000"/>
          <w:kern w:val="0"/>
          <w:sz w:val="24"/>
          <w:szCs w:val="24"/>
          <w:lang w:val="en-US" w:eastAsia="zh-CN" w:bidi="ar"/>
        </w:rPr>
        <w:t>件、</w:t>
      </w:r>
      <w:r>
        <w:rPr>
          <w:rFonts w:hint="eastAsia" w:eastAsia="宋体" w:cs="Times New Roman"/>
          <w:color w:val="000000"/>
          <w:kern w:val="0"/>
          <w:sz w:val="24"/>
          <w:szCs w:val="24"/>
          <w:lang w:val="en-US" w:eastAsia="zh-CN" w:bidi="ar"/>
        </w:rPr>
        <w:t>196</w:t>
      </w:r>
      <w:r>
        <w:rPr>
          <w:rFonts w:hint="eastAsia" w:ascii="仿宋" w:hAnsi="仿宋" w:eastAsia="仿宋" w:cs="仿宋"/>
          <w:color w:val="000000"/>
          <w:kern w:val="0"/>
          <w:sz w:val="24"/>
          <w:szCs w:val="24"/>
          <w:lang w:val="en-US" w:eastAsia="zh-CN" w:bidi="ar"/>
        </w:rPr>
        <w:t>件专利申请量</w:t>
      </w:r>
      <w:r>
        <w:rPr>
          <w:rFonts w:hint="eastAsia" w:ascii="仿宋" w:hAnsi="仿宋" w:cs="仿宋"/>
          <w:color w:val="000000"/>
          <w:kern w:val="0"/>
          <w:sz w:val="24"/>
          <w:szCs w:val="24"/>
          <w:lang w:val="en-US" w:eastAsia="zh-CN" w:bidi="ar"/>
        </w:rPr>
        <w:t>位列第一、第二位</w:t>
      </w:r>
      <w:r>
        <w:rPr>
          <w:rFonts w:hint="eastAsia" w:ascii="仿宋" w:hAnsi="仿宋" w:eastAsia="仿宋" w:cs="仿宋"/>
          <w:color w:val="000000"/>
          <w:kern w:val="0"/>
          <w:sz w:val="24"/>
          <w:szCs w:val="24"/>
          <w:lang w:val="en-US" w:eastAsia="zh-CN" w:bidi="ar"/>
        </w:rPr>
        <w:t>，专利授权量也</w:t>
      </w:r>
      <w:r>
        <w:rPr>
          <w:rFonts w:hint="eastAsia" w:ascii="仿宋" w:hAnsi="仿宋" w:cs="仿宋"/>
          <w:color w:val="000000"/>
          <w:kern w:val="0"/>
          <w:sz w:val="24"/>
          <w:szCs w:val="24"/>
          <w:lang w:val="en-US" w:eastAsia="zh-CN" w:bidi="ar"/>
        </w:rPr>
        <w:t>名列前茅</w:t>
      </w:r>
      <w:r>
        <w:rPr>
          <w:rFonts w:hint="eastAsia" w:ascii="仿宋" w:hAnsi="仿宋" w:eastAsia="仿宋" w:cs="仿宋"/>
          <w:color w:val="000000"/>
          <w:kern w:val="0"/>
          <w:sz w:val="24"/>
          <w:szCs w:val="24"/>
          <w:lang w:val="en-US" w:eastAsia="zh-CN" w:bidi="ar"/>
        </w:rPr>
        <w:t>，表明</w:t>
      </w:r>
      <w:r>
        <w:rPr>
          <w:rFonts w:hint="eastAsia" w:ascii="仿宋" w:hAnsi="仿宋" w:cs="仿宋"/>
          <w:color w:val="000000"/>
          <w:kern w:val="0"/>
          <w:sz w:val="24"/>
          <w:szCs w:val="24"/>
          <w:lang w:val="en-US" w:eastAsia="zh-CN" w:bidi="ar"/>
        </w:rPr>
        <w:t>该两</w:t>
      </w:r>
      <w:r>
        <w:rPr>
          <w:rFonts w:hint="eastAsia" w:ascii="仿宋" w:hAnsi="仿宋" w:eastAsia="仿宋" w:cs="仿宋"/>
          <w:color w:val="000000"/>
          <w:kern w:val="0"/>
          <w:sz w:val="24"/>
          <w:szCs w:val="24"/>
          <w:lang w:val="en-US" w:eastAsia="zh-CN" w:bidi="ar"/>
        </w:rPr>
        <w:t>个地区在海洋油气资源勘探开发装备制造领域的技术创新活跃度十分高，占有明显优势；</w:t>
      </w:r>
      <w:r>
        <w:rPr>
          <w:rFonts w:hint="eastAsia" w:ascii="仿宋" w:hAnsi="仿宋" w:cs="仿宋"/>
          <w:color w:val="000000"/>
          <w:kern w:val="0"/>
          <w:sz w:val="24"/>
          <w:szCs w:val="24"/>
          <w:lang w:val="en-US" w:eastAsia="zh-CN" w:bidi="ar"/>
        </w:rPr>
        <w:t>湛江和珠海</w:t>
      </w:r>
      <w:r>
        <w:rPr>
          <w:rFonts w:hint="eastAsia" w:ascii="仿宋" w:hAnsi="仿宋" w:eastAsia="仿宋" w:cs="仿宋"/>
          <w:color w:val="000000"/>
          <w:kern w:val="0"/>
          <w:sz w:val="24"/>
          <w:szCs w:val="24"/>
          <w:lang w:val="en-US" w:eastAsia="zh-CN" w:bidi="ar"/>
        </w:rPr>
        <w:t>的专利申请量和专利授权量均分别</w:t>
      </w:r>
      <w:r>
        <w:rPr>
          <w:rFonts w:hint="eastAsia" w:ascii="仿宋" w:hAnsi="仿宋" w:cs="仿宋"/>
          <w:color w:val="000000"/>
          <w:kern w:val="0"/>
          <w:sz w:val="24"/>
          <w:szCs w:val="24"/>
          <w:lang w:val="en-US" w:eastAsia="zh-CN" w:bidi="ar"/>
        </w:rPr>
        <w:t>为</w:t>
      </w:r>
      <w:r>
        <w:rPr>
          <w:rFonts w:hint="eastAsia" w:eastAsia="宋体" w:cs="Times New Roman"/>
          <w:color w:val="000000"/>
          <w:kern w:val="0"/>
          <w:sz w:val="24"/>
          <w:szCs w:val="24"/>
          <w:lang w:val="en-US" w:eastAsia="zh-CN" w:bidi="ar"/>
        </w:rPr>
        <w:t>88</w:t>
      </w:r>
      <w:r>
        <w:rPr>
          <w:rFonts w:hint="eastAsia" w:ascii="仿宋" w:hAnsi="仿宋" w:cs="仿宋"/>
          <w:color w:val="000000"/>
          <w:kern w:val="0"/>
          <w:sz w:val="24"/>
          <w:szCs w:val="24"/>
          <w:lang w:val="en-US" w:eastAsia="zh-CN" w:bidi="ar"/>
        </w:rPr>
        <w:t>件、</w:t>
      </w:r>
      <w:r>
        <w:rPr>
          <w:rFonts w:hint="eastAsia" w:eastAsia="宋体" w:cs="Times New Roman"/>
          <w:color w:val="000000"/>
          <w:kern w:val="0"/>
          <w:sz w:val="24"/>
          <w:szCs w:val="24"/>
          <w:lang w:val="en-US" w:eastAsia="zh-CN" w:bidi="ar"/>
        </w:rPr>
        <w:t>39</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，处于广东第二梯队。</w:t>
      </w:r>
      <w:r>
        <w:rPr>
          <w:rFonts w:hint="eastAsia" w:ascii="仿宋" w:hAnsi="仿宋" w:cs="仿宋"/>
          <w:color w:val="000000"/>
          <w:kern w:val="0"/>
          <w:sz w:val="24"/>
          <w:szCs w:val="24"/>
          <w:lang w:val="en-US" w:eastAsia="zh-CN" w:bidi="ar"/>
        </w:rPr>
        <w:t>佛山、东莞</w:t>
      </w:r>
      <w:r>
        <w:rPr>
          <w:rFonts w:hint="eastAsia" w:ascii="仿宋" w:hAnsi="仿宋" w:eastAsia="仿宋" w:cs="仿宋"/>
          <w:color w:val="000000"/>
          <w:kern w:val="0"/>
          <w:sz w:val="24"/>
          <w:szCs w:val="24"/>
          <w:lang w:val="en-US" w:eastAsia="zh-CN" w:bidi="ar"/>
        </w:rPr>
        <w:t>等剩余地市的专利申请量及授权量均低于</w:t>
      </w:r>
      <w:r>
        <w:rPr>
          <w:rFonts w:hint="eastAsia" w:eastAsia="宋体" w:cs="Times New Roman"/>
          <w:color w:val="000000"/>
          <w:kern w:val="0"/>
          <w:sz w:val="24"/>
          <w:szCs w:val="24"/>
          <w:lang w:val="en-US" w:eastAsia="zh-CN" w:bidi="ar"/>
        </w:rPr>
        <w:t>35</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w:t>
      </w:r>
    </w:p>
    <w:p w14:paraId="5C92CD18">
      <w:pPr>
        <w:keepNext w:val="0"/>
        <w:keepLines w:val="0"/>
        <w:widowControl/>
        <w:suppressLineNumbers w:val="0"/>
        <w:ind w:left="0" w:leftChars="0" w:firstLine="0" w:firstLineChars="0"/>
        <w:jc w:val="left"/>
        <w:rPr>
          <w:rFonts w:hint="eastAsia" w:ascii="仿宋" w:hAnsi="仿宋" w:eastAsia="仿宋" w:cs="仿宋"/>
          <w:color w:val="000000"/>
          <w:kern w:val="0"/>
          <w:sz w:val="24"/>
          <w:szCs w:val="24"/>
          <w:lang w:val="en-US" w:eastAsia="zh-CN" w:bidi="ar"/>
        </w:rPr>
      </w:pPr>
    </w:p>
    <w:p w14:paraId="54976241">
      <w:pPr>
        <w:ind w:left="0" w:leftChars="0" w:firstLine="0" w:firstLineChars="0"/>
        <w:jc w:val="center"/>
        <w:rPr>
          <w:rFonts w:hint="default"/>
          <w:lang w:val="en-US" w:eastAsia="zh-CN"/>
        </w:rPr>
      </w:pPr>
      <w:r>
        <w:drawing>
          <wp:anchor distT="0" distB="0" distL="114300" distR="114300" simplePos="0" relativeHeight="251663360" behindDoc="0" locked="0" layoutInCell="1" allowOverlap="1">
            <wp:simplePos x="0" y="0"/>
            <wp:positionH relativeFrom="column">
              <wp:posOffset>1504950</wp:posOffset>
            </wp:positionH>
            <wp:positionV relativeFrom="paragraph">
              <wp:posOffset>2075180</wp:posOffset>
            </wp:positionV>
            <wp:extent cx="1019175" cy="422275"/>
            <wp:effectExtent l="0" t="0" r="9525" b="15875"/>
            <wp:wrapNone/>
            <wp:docPr id="11" name="图片 11" descr="广东专利申请（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广东专利申请（图例）"/>
                    <pic:cNvPicPr>
                      <a:picLocks noChangeAspect="1"/>
                    </pic:cNvPicPr>
                  </pic:nvPicPr>
                  <pic:blipFill>
                    <a:blip r:embed="rId16"/>
                    <a:stretch>
                      <a:fillRect/>
                    </a:stretch>
                  </pic:blipFill>
                  <pic:spPr>
                    <a:xfrm>
                      <a:off x="0" y="0"/>
                      <a:ext cx="1019175" cy="42227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-42545</wp:posOffset>
            </wp:positionH>
            <wp:positionV relativeFrom="paragraph">
              <wp:posOffset>252095</wp:posOffset>
            </wp:positionV>
            <wp:extent cx="2901315" cy="2211705"/>
            <wp:effectExtent l="0" t="0" r="13335" b="17145"/>
            <wp:wrapNone/>
            <wp:docPr id="9" name="图片 9" descr="广东专利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广东专利申请"/>
                    <pic:cNvPicPr>
                      <a:picLocks noChangeAspect="1"/>
                    </pic:cNvPicPr>
                  </pic:nvPicPr>
                  <pic:blipFill>
                    <a:blip r:embed="rId17"/>
                    <a:srcRect l="16341" t="12834" r="23644" b="6661"/>
                    <a:stretch>
                      <a:fillRect/>
                    </a:stretch>
                  </pic:blipFill>
                  <pic:spPr>
                    <a:xfrm>
                      <a:off x="0" y="0"/>
                      <a:ext cx="2901315" cy="2211705"/>
                    </a:xfrm>
                    <a:prstGeom prst="rect">
                      <a:avLst/>
                    </a:prstGeom>
                  </pic:spPr>
                </pic:pic>
              </a:graphicData>
            </a:graphic>
          </wp:anchor>
        </w:drawing>
      </w:r>
      <w:r>
        <w:drawing>
          <wp:inline distT="0" distB="0" distL="114300" distR="114300">
            <wp:extent cx="5219700" cy="3251200"/>
            <wp:effectExtent l="0" t="0" r="0" b="6350"/>
            <wp:docPr id="1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424967">
      <w:pPr>
        <w:keepNext w:val="0"/>
        <w:keepLines w:val="0"/>
        <w:widowControl/>
        <w:suppressLineNumbers w:val="0"/>
        <w:jc w:val="center"/>
      </w:pPr>
      <w:bookmarkStart w:id="2" w:name="_Ref13099"/>
      <w:r>
        <w:rPr>
          <w:rFonts w:ascii="黑体" w:hAnsi="宋体" w:eastAsia="黑体" w:cs="黑体"/>
          <w:color w:val="000000"/>
          <w:kern w:val="0"/>
          <w:sz w:val="19"/>
          <w:szCs w:val="19"/>
          <w:lang w:val="en-US" w:eastAsia="zh-CN" w:bidi="ar"/>
        </w:rPr>
        <w:t xml:space="preserve">图 </w:t>
      </w:r>
      <w:r>
        <w:rPr>
          <w:rFonts w:ascii="黑体" w:hAnsi="宋体" w:eastAsia="黑体" w:cs="黑体"/>
          <w:color w:val="000000"/>
          <w:kern w:val="0"/>
          <w:sz w:val="19"/>
          <w:szCs w:val="19"/>
          <w:lang w:val="en-US" w:eastAsia="zh-CN" w:bidi="ar"/>
        </w:rPr>
        <w:fldChar w:fldCharType="begin"/>
      </w:r>
      <w:r>
        <w:rPr>
          <w:rFonts w:ascii="黑体" w:hAnsi="宋体" w:eastAsia="黑体" w:cs="黑体"/>
          <w:color w:val="000000"/>
          <w:kern w:val="0"/>
          <w:sz w:val="19"/>
          <w:szCs w:val="19"/>
          <w:lang w:val="en-US" w:eastAsia="zh-CN" w:bidi="ar"/>
        </w:rPr>
        <w:instrText xml:space="preserve"> SEQ 图 \* ARABIC </w:instrText>
      </w:r>
      <w:r>
        <w:rPr>
          <w:rFonts w:ascii="黑体" w:hAnsi="宋体" w:eastAsia="黑体" w:cs="黑体"/>
          <w:color w:val="000000"/>
          <w:kern w:val="0"/>
          <w:sz w:val="19"/>
          <w:szCs w:val="19"/>
          <w:lang w:val="en-US" w:eastAsia="zh-CN" w:bidi="ar"/>
        </w:rPr>
        <w:fldChar w:fldCharType="separate"/>
      </w:r>
      <w:r>
        <w:rPr>
          <w:rFonts w:ascii="黑体" w:hAnsi="宋体" w:eastAsia="黑体" w:cs="黑体"/>
          <w:color w:val="000000"/>
          <w:kern w:val="0"/>
          <w:sz w:val="19"/>
          <w:szCs w:val="19"/>
          <w:lang w:val="en-US" w:eastAsia="zh-CN" w:bidi="ar"/>
        </w:rPr>
        <w:t>3</w:t>
      </w:r>
      <w:r>
        <w:rPr>
          <w:rFonts w:ascii="黑体" w:hAnsi="宋体" w:eastAsia="黑体" w:cs="黑体"/>
          <w:color w:val="000000"/>
          <w:kern w:val="0"/>
          <w:sz w:val="19"/>
          <w:szCs w:val="19"/>
          <w:lang w:val="en-US" w:eastAsia="zh-CN" w:bidi="ar"/>
        </w:rPr>
        <w:fldChar w:fldCharType="end"/>
      </w:r>
      <w:bookmarkEnd w:id="2"/>
      <w:r>
        <w:rPr>
          <w:rFonts w:hint="eastAsia" w:ascii="黑体" w:hAnsi="宋体" w:eastAsia="黑体" w:cs="黑体"/>
          <w:color w:val="000000"/>
          <w:kern w:val="0"/>
          <w:sz w:val="19"/>
          <w:szCs w:val="19"/>
          <w:lang w:val="en-US" w:eastAsia="zh-CN" w:bidi="ar"/>
        </w:rPr>
        <w:t xml:space="preserve"> </w:t>
      </w:r>
      <w:r>
        <w:rPr>
          <w:rFonts w:ascii="黑体" w:hAnsi="宋体" w:eastAsia="黑体" w:cs="黑体"/>
          <w:color w:val="000000"/>
          <w:kern w:val="0"/>
          <w:sz w:val="19"/>
          <w:szCs w:val="19"/>
          <w:lang w:val="en-US" w:eastAsia="zh-CN" w:bidi="ar"/>
        </w:rPr>
        <w:t>广东省</w:t>
      </w:r>
      <w:r>
        <w:rPr>
          <w:rFonts w:hint="eastAsia" w:ascii="黑体" w:hAnsi="宋体" w:eastAsia="黑体" w:cs="黑体"/>
          <w:color w:val="000000"/>
          <w:kern w:val="0"/>
          <w:sz w:val="19"/>
          <w:szCs w:val="19"/>
          <w:lang w:val="en-US" w:eastAsia="zh-CN" w:bidi="ar"/>
        </w:rPr>
        <w:t>海洋油气资源勘探开发装备制造</w:t>
      </w:r>
      <w:r>
        <w:rPr>
          <w:rFonts w:ascii="黑体" w:hAnsi="宋体" w:eastAsia="黑体" w:cs="黑体"/>
          <w:color w:val="000000"/>
          <w:kern w:val="0"/>
          <w:sz w:val="19"/>
          <w:szCs w:val="19"/>
          <w:lang w:val="en-US" w:eastAsia="zh-CN" w:bidi="ar"/>
        </w:rPr>
        <w:t>专利申请量和授权量区域分布情况（单位：件）</w:t>
      </w:r>
    </w:p>
    <w:p w14:paraId="01659448">
      <w:pPr>
        <w:pStyle w:val="2"/>
        <w:spacing w:before="156" w:after="312"/>
      </w:pPr>
      <w:r>
        <w:rPr>
          <w:rFonts w:hint="eastAsia"/>
        </w:rPr>
        <w:t>专利技术构成分析</w:t>
      </w:r>
    </w:p>
    <w:p w14:paraId="2456A5F0">
      <w:pPr>
        <w:keepNext w:val="0"/>
        <w:keepLines w:val="0"/>
        <w:widowControl/>
        <w:suppressLineNumbers w:val="0"/>
        <w:jc w:val="left"/>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_Ref14481 \h </w:instrText>
      </w:r>
      <w:r>
        <w:rPr>
          <w:rFonts w:ascii="仿宋" w:hAnsi="仿宋" w:eastAsia="仿宋" w:cs="仿宋"/>
          <w:color w:val="000000"/>
          <w:kern w:val="0"/>
          <w:sz w:val="24"/>
          <w:szCs w:val="24"/>
          <w:lang w:val="en-US" w:eastAsia="zh-CN" w:bidi="ar"/>
        </w:rPr>
        <w:fldChar w:fldCharType="separate"/>
      </w:r>
      <w:r>
        <w:t>表 2</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展示了中国海洋油气资源勘探开发装备制造领域各技术分支的专利申请分布情况。由表可知，海洋油气资源勘探开发装备制造</w:t>
      </w:r>
      <w:r>
        <w:rPr>
          <w:rFonts w:hint="eastAsia" w:ascii="仿宋" w:hAnsi="仿宋" w:cs="仿宋"/>
          <w:color w:val="000000"/>
          <w:kern w:val="0"/>
          <w:sz w:val="24"/>
          <w:szCs w:val="24"/>
          <w:lang w:val="en-US" w:eastAsia="zh-CN" w:bidi="ar"/>
        </w:rPr>
        <w:t>的</w:t>
      </w:r>
      <w:r>
        <w:rPr>
          <w:rFonts w:hint="eastAsia" w:ascii="仿宋" w:hAnsi="仿宋" w:eastAsia="仿宋" w:cs="仿宋"/>
          <w:color w:val="000000"/>
          <w:kern w:val="0"/>
          <w:sz w:val="24"/>
          <w:szCs w:val="24"/>
          <w:lang w:val="en-US" w:eastAsia="zh-CN" w:bidi="ar"/>
        </w:rPr>
        <w:t>技术领域主要集中在</w:t>
      </w:r>
      <w:r>
        <w:rPr>
          <w:rFonts w:hint="eastAsia" w:ascii="仿宋" w:hAnsi="仿宋" w:cs="仿宋"/>
          <w:color w:val="000000"/>
          <w:kern w:val="0"/>
          <w:sz w:val="24"/>
          <w:szCs w:val="24"/>
          <w:lang w:val="en-US" w:eastAsia="zh-CN" w:bidi="ar"/>
        </w:rPr>
        <w:t>适合于专门用途的船舶或类似的浮动结构</w:t>
      </w: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分类号为</w:t>
      </w:r>
      <w:r>
        <w:rPr>
          <w:rFonts w:hint="eastAsia" w:eastAsia="宋体" w:cs="Times New Roman"/>
          <w:color w:val="000000"/>
          <w:kern w:val="0"/>
          <w:sz w:val="24"/>
          <w:szCs w:val="24"/>
          <w:lang w:val="en-US" w:eastAsia="zh-CN" w:bidi="ar"/>
        </w:rPr>
        <w:t>B63B35（</w:t>
      </w:r>
      <w:r>
        <w:rPr>
          <w:rFonts w:hint="eastAsia" w:ascii="仿宋" w:hAnsi="仿宋" w:eastAsia="仿宋" w:cs="仿宋"/>
          <w:color w:val="000000"/>
          <w:kern w:val="0"/>
          <w:sz w:val="24"/>
          <w:szCs w:val="24"/>
          <w:lang w:val="en-US" w:eastAsia="zh-CN" w:bidi="ar"/>
        </w:rPr>
        <w:t>适合于专门用途的船舶或类似的浮动结构</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，在</w:t>
      </w:r>
      <w:r>
        <w:rPr>
          <w:rFonts w:hint="default"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分类号的</w:t>
      </w:r>
      <w:r>
        <w:rPr>
          <w:rFonts w:hint="default" w:ascii="Times New Roman" w:hAnsi="Times New Roman" w:eastAsia="宋体" w:cs="Times New Roman"/>
          <w:color w:val="000000"/>
          <w:kern w:val="0"/>
          <w:sz w:val="24"/>
          <w:szCs w:val="24"/>
          <w:lang w:val="en-US" w:eastAsia="zh-CN" w:bidi="ar"/>
        </w:rPr>
        <w:t>TOP</w:t>
      </w:r>
      <w:r>
        <w:rPr>
          <w:rFonts w:hint="eastAsia" w:eastAsia="宋体" w:cs="Times New Roman"/>
          <w:color w:val="000000"/>
          <w:kern w:val="0"/>
          <w:sz w:val="24"/>
          <w:szCs w:val="24"/>
          <w:lang w:val="en-US" w:eastAsia="zh-CN" w:bidi="ar"/>
        </w:rPr>
        <w:t>10</w:t>
      </w:r>
      <w:r>
        <w:rPr>
          <w:rFonts w:hint="eastAsia" w:ascii="仿宋" w:hAnsi="仿宋" w:eastAsia="仿宋" w:cs="仿宋"/>
          <w:color w:val="000000"/>
          <w:kern w:val="0"/>
          <w:sz w:val="24"/>
          <w:szCs w:val="24"/>
          <w:lang w:val="en-US" w:eastAsia="zh-CN" w:bidi="ar"/>
        </w:rPr>
        <w:t>的比重为</w:t>
      </w:r>
      <w:r>
        <w:rPr>
          <w:rFonts w:hint="eastAsia" w:eastAsia="宋体" w:cs="Times New Roman"/>
          <w:color w:val="000000"/>
          <w:kern w:val="0"/>
          <w:sz w:val="24"/>
          <w:szCs w:val="24"/>
          <w:lang w:val="en-US" w:eastAsia="zh-CN" w:bidi="ar"/>
        </w:rPr>
        <w:t>16.98</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，是海洋油气资源勘探开发装备制造行业的研究技术重点方向。此外，海洋油气资源勘探开发装备制造领域中，</w:t>
      </w:r>
      <w:r>
        <w:rPr>
          <w:rFonts w:hint="eastAsia" w:eastAsia="宋体" w:cs="Times New Roman"/>
          <w:color w:val="000000"/>
          <w:kern w:val="0"/>
          <w:sz w:val="24"/>
          <w:szCs w:val="24"/>
          <w:lang w:val="en-US" w:eastAsia="zh-CN" w:bidi="ar"/>
        </w:rPr>
        <w:t>E21B7（</w:t>
      </w:r>
      <w:r>
        <w:rPr>
          <w:rFonts w:hint="eastAsia" w:ascii="仿宋" w:hAnsi="仿宋" w:eastAsia="仿宋" w:cs="仿宋"/>
          <w:color w:val="000000"/>
          <w:kern w:val="0"/>
          <w:sz w:val="24"/>
          <w:szCs w:val="24"/>
          <w:lang w:val="en-US" w:eastAsia="zh-CN" w:bidi="ar"/>
        </w:rPr>
        <w:t>钻井的特殊方法或设备</w:t>
      </w:r>
      <w:r>
        <w:rPr>
          <w:rFonts w:hint="eastAsia" w:eastAsia="宋体" w:cs="Times New Roman"/>
          <w:color w:val="000000"/>
          <w:kern w:val="0"/>
          <w:sz w:val="24"/>
          <w:szCs w:val="24"/>
          <w:lang w:val="en-US" w:eastAsia="zh-CN" w:bidi="ar"/>
        </w:rPr>
        <w:t>）、E02B17（</w:t>
      </w:r>
      <w:r>
        <w:rPr>
          <w:rFonts w:hint="eastAsia" w:ascii="仿宋" w:hAnsi="仿宋" w:eastAsia="仿宋" w:cs="仿宋"/>
          <w:color w:val="000000"/>
          <w:kern w:val="0"/>
          <w:sz w:val="24"/>
          <w:szCs w:val="24"/>
          <w:lang w:val="en-US" w:eastAsia="zh-CN" w:bidi="ar"/>
        </w:rPr>
        <w:t>支承在桩基或类似支承物上的人工岛，例如，升降式支柱上的平台；其修建方法</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和</w:t>
      </w:r>
      <w:r>
        <w:rPr>
          <w:rFonts w:hint="eastAsia" w:eastAsia="宋体" w:cs="Times New Roman"/>
          <w:color w:val="000000"/>
          <w:kern w:val="0"/>
          <w:sz w:val="24"/>
          <w:szCs w:val="24"/>
          <w:lang w:val="en-US" w:eastAsia="zh-CN" w:bidi="ar"/>
        </w:rPr>
        <w:t>E21B19（</w:t>
      </w:r>
      <w:r>
        <w:rPr>
          <w:rFonts w:hint="eastAsia" w:ascii="仿宋" w:hAnsi="仿宋" w:eastAsia="仿宋" w:cs="仿宋"/>
          <w:color w:val="000000"/>
          <w:kern w:val="0"/>
          <w:sz w:val="24"/>
          <w:szCs w:val="24"/>
          <w:lang w:val="en-US" w:eastAsia="zh-CN" w:bidi="ar"/>
        </w:rPr>
        <w:t>在井眼外，例如，在井架内搬运钻杆、套管、管子或类似物；用于给进钻杆或者钢丝绳的装置</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也是本领域的关注重点技术，专利申请量分别为</w:t>
      </w:r>
      <w:r>
        <w:rPr>
          <w:rFonts w:hint="eastAsia" w:eastAsia="宋体" w:cs="Times New Roman"/>
          <w:color w:val="000000"/>
          <w:kern w:val="0"/>
          <w:sz w:val="24"/>
          <w:szCs w:val="24"/>
          <w:lang w:val="en-US" w:eastAsia="zh-CN" w:bidi="ar"/>
        </w:rPr>
        <w:t>486</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w:t>
      </w:r>
      <w:r>
        <w:rPr>
          <w:rFonts w:hint="eastAsia" w:eastAsia="宋体" w:cs="Times New Roman"/>
          <w:color w:val="000000"/>
          <w:kern w:val="0"/>
          <w:sz w:val="24"/>
          <w:szCs w:val="24"/>
          <w:lang w:val="en-US" w:eastAsia="zh-CN" w:bidi="ar"/>
        </w:rPr>
        <w:t>399</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和</w:t>
      </w:r>
      <w:r>
        <w:rPr>
          <w:rFonts w:hint="eastAsia" w:eastAsia="宋体" w:cs="Times New Roman"/>
          <w:color w:val="000000"/>
          <w:kern w:val="0"/>
          <w:sz w:val="24"/>
          <w:szCs w:val="24"/>
          <w:lang w:val="en-US" w:eastAsia="zh-CN" w:bidi="ar"/>
        </w:rPr>
        <w:t>384</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，其专利申请量位列</w:t>
      </w:r>
      <w:r>
        <w:rPr>
          <w:rFonts w:hint="eastAsia"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分类号排名的第二</w:t>
      </w:r>
      <w:r>
        <w:rPr>
          <w:rFonts w:hint="eastAsia" w:ascii="仿宋" w:hAnsi="仿宋" w:cs="仿宋"/>
          <w:color w:val="000000"/>
          <w:kern w:val="0"/>
          <w:sz w:val="24"/>
          <w:szCs w:val="24"/>
          <w:lang w:val="en-US" w:eastAsia="zh-CN" w:bidi="ar"/>
        </w:rPr>
        <w:t>至</w:t>
      </w:r>
      <w:r>
        <w:rPr>
          <w:rFonts w:hint="eastAsia" w:ascii="仿宋" w:hAnsi="仿宋" w:eastAsia="仿宋" w:cs="仿宋"/>
          <w:color w:val="000000"/>
          <w:kern w:val="0"/>
          <w:sz w:val="24"/>
          <w:szCs w:val="24"/>
          <w:lang w:val="en-US" w:eastAsia="zh-CN" w:bidi="ar"/>
        </w:rPr>
        <w:t>第</w:t>
      </w:r>
      <w:r>
        <w:rPr>
          <w:rFonts w:hint="eastAsia" w:ascii="仿宋" w:hAnsi="仿宋" w:cs="仿宋"/>
          <w:color w:val="000000"/>
          <w:kern w:val="0"/>
          <w:sz w:val="24"/>
          <w:szCs w:val="24"/>
          <w:lang w:val="en-US" w:eastAsia="zh-CN" w:bidi="ar"/>
        </w:rPr>
        <w:t>四</w:t>
      </w:r>
      <w:r>
        <w:rPr>
          <w:rFonts w:hint="eastAsia" w:ascii="仿宋" w:hAnsi="仿宋" w:eastAsia="仿宋" w:cs="仿宋"/>
          <w:color w:val="000000"/>
          <w:kern w:val="0"/>
          <w:sz w:val="24"/>
          <w:szCs w:val="24"/>
          <w:lang w:val="en-US" w:eastAsia="zh-CN" w:bidi="ar"/>
        </w:rPr>
        <w:t>名。其余技术专利申请量均不超过</w:t>
      </w:r>
      <w:r>
        <w:rPr>
          <w:rFonts w:hint="eastAsia" w:eastAsia="宋体" w:cs="Times New Roman"/>
          <w:color w:val="000000"/>
          <w:kern w:val="0"/>
          <w:sz w:val="24"/>
          <w:szCs w:val="24"/>
          <w:lang w:val="en-US" w:eastAsia="zh-CN" w:bidi="ar"/>
        </w:rPr>
        <w:t>350</w:t>
      </w:r>
      <w:r>
        <w:rPr>
          <w:rFonts w:hint="eastAsia" w:ascii="仿宋" w:hAnsi="仿宋" w:eastAsia="仿宋" w:cs="仿宋"/>
          <w:color w:val="000000"/>
          <w:kern w:val="0"/>
          <w:sz w:val="24"/>
          <w:szCs w:val="24"/>
          <w:lang w:val="en-US" w:eastAsia="zh-CN" w:bidi="ar"/>
        </w:rPr>
        <w:t>件。</w:t>
      </w:r>
    </w:p>
    <w:p w14:paraId="52DAEA11">
      <w:pPr>
        <w:pStyle w:val="4"/>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lang w:val="en-US" w:eastAsia="zh-CN"/>
        </w:rPr>
      </w:pPr>
      <w:bookmarkStart w:id="3" w:name="_Ref14481"/>
      <w:r>
        <w:t xml:space="preserve">表 </w:t>
      </w:r>
      <w:r>
        <w:fldChar w:fldCharType="begin"/>
      </w:r>
      <w:r>
        <w:instrText xml:space="preserve"> SEQ 表 \* ARABIC </w:instrText>
      </w:r>
      <w:r>
        <w:fldChar w:fldCharType="separate"/>
      </w:r>
      <w:r>
        <w:t>2</w:t>
      </w:r>
      <w:r>
        <w:fldChar w:fldCharType="end"/>
      </w:r>
      <w:r>
        <w:rPr>
          <w:rFonts w:hint="eastAsia"/>
          <w:lang w:val="en-US" w:eastAsia="zh-CN"/>
        </w:rPr>
        <w:t xml:space="preserve"> </w:t>
      </w:r>
      <w:r>
        <w:rPr>
          <w:rFonts w:hint="eastAsia"/>
          <w:lang w:eastAsia="zh-CN"/>
        </w:rPr>
        <w:t>IPC分类号含义及其涉及该分类号的中国专利申请量（单位：件）</w:t>
      </w:r>
      <w:bookmarkEnd w:id="3"/>
    </w:p>
    <w:p w14:paraId="5C33D0B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drawing>
          <wp:inline distT="0" distB="0" distL="114300" distR="114300">
            <wp:extent cx="5219700" cy="3696335"/>
            <wp:effectExtent l="0" t="0" r="0"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9"/>
                    <a:stretch>
                      <a:fillRect/>
                    </a:stretch>
                  </pic:blipFill>
                  <pic:spPr>
                    <a:xfrm>
                      <a:off x="0" y="0"/>
                      <a:ext cx="5219700" cy="3696335"/>
                    </a:xfrm>
                    <a:prstGeom prst="rect">
                      <a:avLst/>
                    </a:prstGeom>
                    <a:noFill/>
                    <a:ln>
                      <a:noFill/>
                    </a:ln>
                  </pic:spPr>
                </pic:pic>
              </a:graphicData>
            </a:graphic>
          </wp:inline>
        </w:drawing>
      </w:r>
    </w:p>
    <w:p w14:paraId="0D138C5D">
      <w:pPr>
        <w:pStyle w:val="2"/>
        <w:spacing w:before="156" w:after="312"/>
        <w:rPr>
          <w:rFonts w:hint="eastAsia" w:eastAsia="仿宋"/>
          <w:lang w:val="en-US" w:eastAsia="zh-CN"/>
        </w:rPr>
      </w:pPr>
      <w:r>
        <w:rPr>
          <w:rFonts w:hint="eastAsia"/>
        </w:rPr>
        <w:t>专利申请人分析</w:t>
      </w:r>
    </w:p>
    <w:p w14:paraId="533DACA2">
      <w:pPr>
        <w:keepNext w:val="0"/>
        <w:keepLines w:val="0"/>
        <w:widowControl/>
        <w:suppressLineNumbers w:val="0"/>
        <w:jc w:val="left"/>
        <w:rPr>
          <w:rFonts w:hint="eastAsia"/>
          <w:lang w:val="en-US" w:eastAsia="zh-CN"/>
        </w:rPr>
      </w:pPr>
      <w:r>
        <w:rPr>
          <w:rFonts w:ascii="仿宋" w:hAnsi="仿宋" w:eastAsia="仿宋" w:cs="仿宋"/>
          <w:color w:val="000000"/>
          <w:kern w:val="0"/>
          <w:sz w:val="24"/>
          <w:szCs w:val="24"/>
          <w:lang w:val="en-US" w:eastAsia="zh-CN" w:bidi="ar"/>
        </w:rPr>
        <w:t>由</w:t>
      </w: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_Ref16384 \h </w:instrText>
      </w:r>
      <w:r>
        <w:rPr>
          <w:rFonts w:ascii="仿宋" w:hAnsi="仿宋" w:eastAsia="仿宋" w:cs="仿宋"/>
          <w:color w:val="000000"/>
          <w:kern w:val="0"/>
          <w:sz w:val="24"/>
          <w:szCs w:val="24"/>
          <w:lang w:val="en-US" w:eastAsia="zh-CN" w:bidi="ar"/>
        </w:rPr>
        <w:fldChar w:fldCharType="separate"/>
      </w:r>
      <w:r>
        <w:t>图 4</w:t>
      </w:r>
      <w:r>
        <w:rPr>
          <w:rFonts w:hint="eastAsia"/>
          <w:lang w:val="en-US" w:eastAsia="zh-CN"/>
        </w:rPr>
        <w:t xml:space="preserve"> </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可知，中国海洋油气资源勘探开发装备制造行业优势主体以企事业单位与大专院校为主，</w:t>
      </w:r>
      <w:r>
        <w:rPr>
          <w:rFonts w:hint="eastAsia" w:ascii="仿宋" w:hAnsi="仿宋" w:cs="仿宋"/>
          <w:color w:val="000000"/>
          <w:kern w:val="0"/>
          <w:sz w:val="24"/>
          <w:szCs w:val="24"/>
          <w:lang w:val="en-US" w:eastAsia="zh-CN" w:bidi="ar"/>
        </w:rPr>
        <w:t>企事业单位以</w:t>
      </w:r>
      <w:r>
        <w:rPr>
          <w:rFonts w:hint="eastAsia" w:eastAsia="宋体" w:cs="Times New Roman"/>
          <w:color w:val="000000"/>
          <w:kern w:val="0"/>
          <w:sz w:val="24"/>
          <w:szCs w:val="24"/>
          <w:highlight w:val="none"/>
          <w:lang w:val="en-US" w:eastAsia="zh-CN" w:bidi="ar"/>
        </w:rPr>
        <w:t>4225</w:t>
      </w:r>
      <w:r>
        <w:rPr>
          <w:rFonts w:hint="eastAsia" w:ascii="仿宋" w:hAnsi="仿宋" w:cs="仿宋"/>
          <w:color w:val="000000"/>
          <w:kern w:val="0"/>
          <w:sz w:val="24"/>
          <w:szCs w:val="24"/>
          <w:lang w:val="en-US" w:eastAsia="zh-CN" w:bidi="ar"/>
        </w:rPr>
        <w:t>件专利申请数量遥遥领先，大专院校以</w:t>
      </w:r>
      <w:r>
        <w:rPr>
          <w:rFonts w:hint="eastAsia" w:eastAsia="宋体" w:cs="Times New Roman"/>
          <w:color w:val="000000"/>
          <w:kern w:val="0"/>
          <w:sz w:val="24"/>
          <w:szCs w:val="24"/>
          <w:highlight w:val="none"/>
          <w:lang w:val="en-US" w:eastAsia="zh-CN" w:bidi="ar"/>
        </w:rPr>
        <w:t>1140</w:t>
      </w:r>
      <w:r>
        <w:rPr>
          <w:rFonts w:hint="eastAsia" w:ascii="仿宋" w:hAnsi="仿宋" w:cs="仿宋"/>
          <w:color w:val="000000"/>
          <w:kern w:val="0"/>
          <w:sz w:val="24"/>
          <w:szCs w:val="24"/>
          <w:lang w:val="en-US" w:eastAsia="zh-CN" w:bidi="ar"/>
        </w:rPr>
        <w:t>件专利申请数量成为第二名，</w:t>
      </w:r>
      <w:r>
        <w:rPr>
          <w:rFonts w:hint="eastAsia" w:ascii="仿宋" w:hAnsi="仿宋" w:eastAsia="仿宋" w:cs="仿宋"/>
          <w:color w:val="000000"/>
          <w:kern w:val="0"/>
          <w:sz w:val="24"/>
          <w:szCs w:val="24"/>
          <w:lang w:val="en-US" w:eastAsia="zh-CN" w:bidi="ar"/>
        </w:rPr>
        <w:t>以</w:t>
      </w:r>
      <w:r>
        <w:rPr>
          <w:rFonts w:hint="eastAsia" w:ascii="仿宋" w:hAnsi="仿宋" w:cs="仿宋"/>
          <w:color w:val="000000"/>
          <w:kern w:val="0"/>
          <w:sz w:val="24"/>
          <w:szCs w:val="24"/>
          <w:lang w:val="en-US" w:eastAsia="zh-CN" w:bidi="ar"/>
        </w:rPr>
        <w:t>企事业单位</w:t>
      </w:r>
      <w:r>
        <w:rPr>
          <w:rFonts w:hint="eastAsia" w:ascii="仿宋" w:hAnsi="仿宋" w:eastAsia="仿宋" w:cs="仿宋"/>
          <w:color w:val="000000"/>
          <w:kern w:val="0"/>
          <w:sz w:val="24"/>
          <w:szCs w:val="24"/>
          <w:lang w:val="en-US" w:eastAsia="zh-CN" w:bidi="ar"/>
        </w:rPr>
        <w:t>和</w:t>
      </w:r>
      <w:r>
        <w:rPr>
          <w:rFonts w:hint="eastAsia" w:ascii="仿宋" w:hAnsi="仿宋" w:cs="仿宋"/>
          <w:color w:val="000000"/>
          <w:kern w:val="0"/>
          <w:sz w:val="24"/>
          <w:szCs w:val="24"/>
          <w:lang w:val="en-US" w:eastAsia="zh-CN" w:bidi="ar"/>
        </w:rPr>
        <w:t>大专院校</w:t>
      </w:r>
      <w:r>
        <w:rPr>
          <w:rFonts w:hint="eastAsia" w:ascii="仿宋" w:hAnsi="仿宋" w:eastAsia="仿宋" w:cs="仿宋"/>
          <w:color w:val="000000"/>
          <w:kern w:val="0"/>
          <w:sz w:val="24"/>
          <w:szCs w:val="24"/>
          <w:lang w:val="en-US" w:eastAsia="zh-CN" w:bidi="ar"/>
        </w:rPr>
        <w:t>为名义进行专利申请的比重</w:t>
      </w:r>
      <w:r>
        <w:rPr>
          <w:rFonts w:hint="eastAsia" w:ascii="仿宋" w:hAnsi="仿宋" w:cs="仿宋"/>
          <w:color w:val="000000"/>
          <w:kern w:val="0"/>
          <w:sz w:val="24"/>
          <w:szCs w:val="24"/>
          <w:lang w:val="en-US" w:eastAsia="zh-CN" w:bidi="ar"/>
        </w:rPr>
        <w:t>共占</w:t>
      </w:r>
      <w:r>
        <w:rPr>
          <w:rFonts w:hint="eastAsia" w:eastAsia="宋体" w:cs="Times New Roman"/>
          <w:color w:val="000000"/>
          <w:kern w:val="0"/>
          <w:sz w:val="24"/>
          <w:szCs w:val="24"/>
          <w:highlight w:val="none"/>
          <w:lang w:val="en-US" w:eastAsia="zh-CN" w:bidi="ar"/>
        </w:rPr>
        <w:t>81.30%</w:t>
      </w:r>
      <w:r>
        <w:rPr>
          <w:rFonts w:hint="eastAsia" w:ascii="仿宋" w:hAnsi="仿宋" w:eastAsia="仿宋" w:cs="仿宋"/>
          <w:color w:val="000000"/>
          <w:kern w:val="0"/>
          <w:sz w:val="24"/>
          <w:szCs w:val="24"/>
          <w:highlight w:val="none"/>
          <w:lang w:val="en-US" w:eastAsia="zh-CN" w:bidi="ar"/>
        </w:rPr>
        <w:t>。具体来看，</w:t>
      </w:r>
      <w:r>
        <w:rPr>
          <w:rFonts w:hint="eastAsia" w:ascii="仿宋" w:hAnsi="仿宋" w:cs="仿宋"/>
          <w:color w:val="000000"/>
          <w:kern w:val="0"/>
          <w:sz w:val="24"/>
          <w:szCs w:val="24"/>
          <w:highlight w:val="none"/>
          <w:lang w:val="en-US" w:eastAsia="zh-CN" w:bidi="ar"/>
        </w:rPr>
        <w:t>中国海洋石油总公司</w:t>
      </w:r>
      <w:r>
        <w:rPr>
          <w:rFonts w:hint="eastAsia" w:ascii="仿宋" w:hAnsi="仿宋" w:eastAsia="仿宋" w:cs="仿宋"/>
          <w:color w:val="000000"/>
          <w:kern w:val="0"/>
          <w:sz w:val="24"/>
          <w:szCs w:val="24"/>
          <w:highlight w:val="none"/>
          <w:lang w:val="en-US" w:eastAsia="zh-CN" w:bidi="ar"/>
        </w:rPr>
        <w:t>以领先的优势位于中国</w:t>
      </w:r>
      <w:r>
        <w:rPr>
          <w:rFonts w:hint="eastAsia" w:ascii="仿宋" w:hAnsi="仿宋" w:eastAsia="仿宋" w:cs="仿宋"/>
          <w:color w:val="000000"/>
          <w:kern w:val="0"/>
          <w:sz w:val="24"/>
          <w:szCs w:val="24"/>
          <w:lang w:val="en-US" w:eastAsia="zh-CN" w:bidi="ar"/>
        </w:rPr>
        <w:t>海洋油气资源勘探开发装备制造</w:t>
      </w:r>
      <w:r>
        <w:rPr>
          <w:rFonts w:hint="eastAsia" w:ascii="仿宋" w:hAnsi="仿宋" w:cs="仿宋"/>
          <w:color w:val="000000"/>
          <w:kern w:val="0"/>
          <w:sz w:val="24"/>
          <w:szCs w:val="24"/>
          <w:lang w:val="en-US" w:eastAsia="zh-CN" w:bidi="ar"/>
        </w:rPr>
        <w:t>领域专利</w:t>
      </w:r>
      <w:r>
        <w:rPr>
          <w:rFonts w:hint="eastAsia" w:ascii="仿宋" w:hAnsi="仿宋" w:eastAsia="仿宋" w:cs="仿宋"/>
          <w:color w:val="000000"/>
          <w:kern w:val="0"/>
          <w:sz w:val="24"/>
          <w:szCs w:val="24"/>
          <w:highlight w:val="none"/>
          <w:lang w:val="en-US" w:eastAsia="zh-CN" w:bidi="ar"/>
        </w:rPr>
        <w:t>申请人榜首，</w:t>
      </w:r>
      <w:r>
        <w:rPr>
          <w:rFonts w:hint="eastAsia" w:ascii="仿宋" w:hAnsi="仿宋" w:cs="仿宋"/>
          <w:color w:val="000000"/>
          <w:kern w:val="0"/>
          <w:sz w:val="24"/>
          <w:szCs w:val="24"/>
          <w:highlight w:val="none"/>
          <w:lang w:val="en-US" w:eastAsia="zh-CN" w:bidi="ar"/>
        </w:rPr>
        <w:t>以</w:t>
      </w:r>
      <w:r>
        <w:rPr>
          <w:rFonts w:hint="eastAsia" w:eastAsia="宋体" w:cs="Times New Roman"/>
          <w:color w:val="000000"/>
          <w:kern w:val="0"/>
          <w:sz w:val="24"/>
          <w:szCs w:val="24"/>
          <w:highlight w:val="none"/>
          <w:lang w:val="en-US" w:eastAsia="zh-CN" w:bidi="ar"/>
        </w:rPr>
        <w:t>300</w:t>
      </w:r>
      <w:r>
        <w:rPr>
          <w:rFonts w:hint="eastAsia" w:ascii="仿宋" w:hAnsi="仿宋" w:cs="仿宋"/>
          <w:color w:val="000000"/>
          <w:kern w:val="0"/>
          <w:sz w:val="24"/>
          <w:szCs w:val="24"/>
          <w:highlight w:val="none"/>
          <w:lang w:val="en-US" w:eastAsia="zh-CN" w:bidi="ar"/>
        </w:rPr>
        <w:t>件</w:t>
      </w:r>
      <w:r>
        <w:rPr>
          <w:rFonts w:hint="eastAsia" w:ascii="仿宋" w:hAnsi="仿宋" w:eastAsia="仿宋" w:cs="仿宋"/>
          <w:color w:val="000000"/>
          <w:kern w:val="0"/>
          <w:sz w:val="24"/>
          <w:szCs w:val="24"/>
          <w:highlight w:val="none"/>
          <w:lang w:val="en-US" w:eastAsia="zh-CN" w:bidi="ar"/>
        </w:rPr>
        <w:t>专利申请</w:t>
      </w:r>
      <w:r>
        <w:rPr>
          <w:rFonts w:hint="eastAsia" w:ascii="仿宋" w:hAnsi="仿宋" w:eastAsia="仿宋" w:cs="仿宋"/>
          <w:color w:val="000000"/>
          <w:kern w:val="0"/>
          <w:sz w:val="24"/>
          <w:szCs w:val="24"/>
          <w:lang w:val="en-US" w:eastAsia="zh-CN" w:bidi="ar"/>
        </w:rPr>
        <w:t>件数</w:t>
      </w:r>
      <w:r>
        <w:rPr>
          <w:rFonts w:hint="eastAsia" w:ascii="仿宋" w:hAnsi="仿宋" w:cs="仿宋"/>
          <w:color w:val="000000"/>
          <w:kern w:val="0"/>
          <w:sz w:val="24"/>
          <w:szCs w:val="24"/>
          <w:lang w:val="en-US" w:eastAsia="zh-CN" w:bidi="ar"/>
        </w:rPr>
        <w:t>远超</w:t>
      </w:r>
      <w:r>
        <w:rPr>
          <w:rFonts w:hint="eastAsia" w:ascii="仿宋" w:hAnsi="仿宋" w:eastAsia="仿宋" w:cs="仿宋"/>
          <w:color w:val="000000"/>
          <w:kern w:val="0"/>
          <w:sz w:val="24"/>
          <w:szCs w:val="24"/>
          <w:lang w:val="en-US" w:eastAsia="zh-CN" w:bidi="ar"/>
        </w:rPr>
        <w:t>其他申请人，可见其在本领域技术创新能力强；</w:t>
      </w:r>
      <w:r>
        <w:rPr>
          <w:rFonts w:hint="eastAsia" w:ascii="仿宋" w:hAnsi="仿宋" w:cs="仿宋"/>
          <w:color w:val="000000"/>
          <w:kern w:val="0"/>
          <w:sz w:val="24"/>
          <w:szCs w:val="24"/>
          <w:lang w:val="en-US" w:eastAsia="zh-CN" w:bidi="ar"/>
        </w:rPr>
        <w:t>中海油能源发展股份有限公司</w:t>
      </w:r>
      <w:r>
        <w:rPr>
          <w:rFonts w:hint="eastAsia" w:ascii="仿宋" w:hAnsi="仿宋" w:eastAsia="仿宋" w:cs="仿宋"/>
          <w:color w:val="000000"/>
          <w:kern w:val="0"/>
          <w:sz w:val="24"/>
          <w:szCs w:val="24"/>
          <w:lang w:val="en-US" w:eastAsia="zh-CN" w:bidi="ar"/>
        </w:rPr>
        <w:t>和</w:t>
      </w:r>
      <w:r>
        <w:rPr>
          <w:rFonts w:hint="eastAsia" w:ascii="仿宋" w:hAnsi="仿宋" w:cs="仿宋"/>
          <w:color w:val="000000"/>
          <w:kern w:val="0"/>
          <w:sz w:val="24"/>
          <w:szCs w:val="24"/>
          <w:lang w:val="en-US" w:eastAsia="zh-CN" w:bidi="ar"/>
        </w:rPr>
        <w:t>中国石油大学（华东）</w:t>
      </w:r>
      <w:r>
        <w:rPr>
          <w:rFonts w:hint="eastAsia" w:ascii="仿宋" w:hAnsi="仿宋" w:eastAsia="仿宋" w:cs="仿宋"/>
          <w:color w:val="000000"/>
          <w:kern w:val="0"/>
          <w:sz w:val="24"/>
          <w:szCs w:val="24"/>
          <w:lang w:val="en-US" w:eastAsia="zh-CN" w:bidi="ar"/>
        </w:rPr>
        <w:t>分别以</w:t>
      </w:r>
      <w:r>
        <w:rPr>
          <w:rFonts w:hint="eastAsia" w:eastAsia="宋体" w:cs="Times New Roman"/>
          <w:color w:val="000000"/>
          <w:kern w:val="0"/>
          <w:sz w:val="24"/>
          <w:szCs w:val="24"/>
          <w:lang w:val="en-US" w:eastAsia="zh-CN" w:bidi="ar"/>
        </w:rPr>
        <w:t>149</w:t>
      </w:r>
      <w:r>
        <w:rPr>
          <w:rFonts w:hint="eastAsia" w:ascii="仿宋" w:hAnsi="仿宋" w:eastAsia="仿宋" w:cs="仿宋"/>
          <w:color w:val="000000"/>
          <w:kern w:val="0"/>
          <w:sz w:val="24"/>
          <w:szCs w:val="24"/>
          <w:lang w:val="en-US" w:eastAsia="zh-CN" w:bidi="ar"/>
        </w:rPr>
        <w:t>件、</w:t>
      </w:r>
      <w:r>
        <w:rPr>
          <w:rFonts w:hint="eastAsia" w:eastAsia="宋体" w:cs="Times New Roman"/>
          <w:color w:val="000000"/>
          <w:kern w:val="0"/>
          <w:sz w:val="24"/>
          <w:szCs w:val="24"/>
          <w:lang w:val="en-US" w:eastAsia="zh-CN" w:bidi="ar"/>
        </w:rPr>
        <w:t>141</w:t>
      </w:r>
      <w:r>
        <w:rPr>
          <w:rFonts w:hint="eastAsia" w:ascii="仿宋" w:hAnsi="仿宋" w:eastAsia="仿宋" w:cs="仿宋"/>
          <w:color w:val="000000"/>
          <w:kern w:val="0"/>
          <w:sz w:val="24"/>
          <w:szCs w:val="24"/>
          <w:lang w:val="en-US" w:eastAsia="zh-CN" w:bidi="ar"/>
        </w:rPr>
        <w:t>件专利申请量成为第二名、第三名</w:t>
      </w:r>
      <w:r>
        <w:rPr>
          <w:rFonts w:hint="eastAsia" w:ascii="仿宋" w:hAnsi="仿宋" w:cs="仿宋"/>
          <w:color w:val="000000"/>
          <w:kern w:val="0"/>
          <w:sz w:val="24"/>
          <w:szCs w:val="24"/>
          <w:lang w:val="en-US" w:eastAsia="zh-CN" w:bidi="ar"/>
        </w:rPr>
        <w:t>。但除</w:t>
      </w:r>
      <w:r>
        <w:rPr>
          <w:rFonts w:hint="eastAsia" w:ascii="仿宋" w:hAnsi="仿宋" w:cs="仿宋"/>
          <w:color w:val="000000"/>
          <w:kern w:val="0"/>
          <w:sz w:val="24"/>
          <w:szCs w:val="24"/>
          <w:highlight w:val="none"/>
          <w:lang w:val="en-US" w:eastAsia="zh-CN" w:bidi="ar"/>
        </w:rPr>
        <w:t>中国海洋石油总公司</w:t>
      </w:r>
      <w:r>
        <w:rPr>
          <w:rFonts w:hint="eastAsia" w:ascii="仿宋" w:hAnsi="仿宋" w:eastAsia="仿宋" w:cs="仿宋"/>
          <w:color w:val="000000"/>
          <w:kern w:val="0"/>
          <w:sz w:val="24"/>
          <w:szCs w:val="24"/>
          <w:lang w:val="en-US" w:eastAsia="zh-CN" w:bidi="ar"/>
        </w:rPr>
        <w:t>外，</w:t>
      </w:r>
      <w:r>
        <w:rPr>
          <w:rFonts w:hint="eastAsia" w:ascii="仿宋" w:hAnsi="仿宋" w:cs="仿宋"/>
          <w:color w:val="000000"/>
          <w:kern w:val="0"/>
          <w:sz w:val="24"/>
          <w:szCs w:val="24"/>
          <w:lang w:val="en-US" w:eastAsia="zh-CN" w:bidi="ar"/>
        </w:rPr>
        <w:t>前</w:t>
      </w:r>
      <w:r>
        <w:rPr>
          <w:rFonts w:hint="eastAsia" w:eastAsia="宋体" w:cs="Times New Roman"/>
          <w:color w:val="000000"/>
          <w:kern w:val="0"/>
          <w:sz w:val="24"/>
          <w:szCs w:val="24"/>
          <w:lang w:val="en-US" w:eastAsia="zh-CN" w:bidi="ar"/>
        </w:rPr>
        <w:t>10</w:t>
      </w:r>
      <w:r>
        <w:rPr>
          <w:rFonts w:hint="eastAsia" w:ascii="仿宋" w:hAnsi="仿宋" w:cs="仿宋"/>
          <w:color w:val="000000"/>
          <w:kern w:val="0"/>
          <w:sz w:val="24"/>
          <w:szCs w:val="24"/>
          <w:lang w:val="en-US" w:eastAsia="zh-CN" w:bidi="ar"/>
        </w:rPr>
        <w:t>名专利申请人排名中，其余专利申请人的专利申请件数差距较小，均为</w:t>
      </w:r>
      <w:r>
        <w:rPr>
          <w:rFonts w:hint="eastAsia" w:eastAsia="宋体" w:cs="Times New Roman"/>
          <w:color w:val="000000"/>
          <w:kern w:val="0"/>
          <w:sz w:val="24"/>
          <w:szCs w:val="24"/>
          <w:lang w:val="en-US" w:eastAsia="zh-CN" w:bidi="ar"/>
        </w:rPr>
        <w:t>60</w:t>
      </w:r>
      <w:r>
        <w:rPr>
          <w:rFonts w:hint="default" w:ascii="Times New Roman" w:hAnsi="Times New Roman" w:eastAsia="宋体" w:cs="Times New Roman"/>
          <w:color w:val="000000"/>
          <w:kern w:val="0"/>
          <w:sz w:val="24"/>
          <w:szCs w:val="24"/>
          <w:lang w:val="en-US" w:eastAsia="zh-CN" w:bidi="ar"/>
        </w:rPr>
        <w:t>~</w:t>
      </w:r>
      <w:r>
        <w:rPr>
          <w:rFonts w:hint="eastAsia" w:eastAsia="宋体" w:cs="Times New Roman"/>
          <w:color w:val="000000"/>
          <w:kern w:val="0"/>
          <w:sz w:val="24"/>
          <w:szCs w:val="24"/>
          <w:lang w:val="en-US" w:eastAsia="zh-CN" w:bidi="ar"/>
        </w:rPr>
        <w:t>150</w:t>
      </w:r>
      <w:r>
        <w:rPr>
          <w:rFonts w:hint="eastAsia" w:ascii="仿宋" w:hAnsi="仿宋" w:cs="仿宋"/>
          <w:color w:val="000000"/>
          <w:kern w:val="0"/>
          <w:sz w:val="24"/>
          <w:szCs w:val="24"/>
          <w:lang w:val="en-US" w:eastAsia="zh-CN" w:bidi="ar"/>
        </w:rPr>
        <w:t>件，表明</w:t>
      </w:r>
      <w:r>
        <w:rPr>
          <w:rFonts w:hint="eastAsia" w:ascii="仿宋" w:hAnsi="仿宋" w:cs="仿宋"/>
          <w:color w:val="000000"/>
          <w:kern w:val="0"/>
          <w:sz w:val="24"/>
          <w:szCs w:val="24"/>
          <w:highlight w:val="none"/>
          <w:lang w:val="en-US" w:eastAsia="zh-CN" w:bidi="ar"/>
        </w:rPr>
        <w:t>中国海洋石油总公司</w:t>
      </w:r>
      <w:r>
        <w:rPr>
          <w:rFonts w:ascii="仿宋" w:hAnsi="仿宋" w:eastAsia="仿宋" w:cs="仿宋"/>
          <w:color w:val="000000"/>
          <w:kern w:val="0"/>
          <w:sz w:val="24"/>
          <w:szCs w:val="24"/>
          <w:lang w:val="en-US" w:eastAsia="zh-CN" w:bidi="ar"/>
        </w:rPr>
        <w:t>在此领域有着突出优势</w:t>
      </w:r>
      <w:r>
        <w:rPr>
          <w:rFonts w:hint="eastAsia" w:ascii="仿宋" w:hAnsi="仿宋" w:cs="仿宋"/>
          <w:color w:val="000000"/>
          <w:kern w:val="0"/>
          <w:sz w:val="24"/>
          <w:szCs w:val="24"/>
          <w:lang w:val="en-US" w:eastAsia="zh-CN" w:bidi="ar"/>
        </w:rPr>
        <w:t>。</w:t>
      </w:r>
    </w:p>
    <w:p w14:paraId="31D64A28">
      <w:pPr>
        <w:ind w:left="0" w:leftChars="0" w:firstLine="0" w:firstLineChars="0"/>
        <w:jc w:val="both"/>
      </w:pPr>
      <w:r>
        <w:drawing>
          <wp:inline distT="0" distB="0" distL="114300" distR="114300">
            <wp:extent cx="1871980" cy="2640330"/>
            <wp:effectExtent l="4445" t="4445" r="9525" b="2222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drawing>
          <wp:inline distT="0" distB="0" distL="114300" distR="114300">
            <wp:extent cx="3275965" cy="2639060"/>
            <wp:effectExtent l="4445" t="4445" r="15240" b="23495"/>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E8BC9C">
      <w:pPr>
        <w:pStyle w:val="4"/>
        <w:ind w:left="0" w:leftChars="0" w:firstLine="0" w:firstLineChars="0"/>
        <w:jc w:val="center"/>
        <w:rPr>
          <w:rFonts w:hint="eastAsia"/>
          <w:lang w:eastAsia="zh-CN"/>
        </w:rPr>
      </w:pPr>
      <w:bookmarkStart w:id="4" w:name="_Ref16384"/>
      <w:r>
        <w:t xml:space="preserve">图 </w:t>
      </w:r>
      <w:r>
        <w:fldChar w:fldCharType="begin"/>
      </w:r>
      <w:r>
        <w:instrText xml:space="preserve"> SEQ 图 \* ARABIC </w:instrText>
      </w:r>
      <w:r>
        <w:fldChar w:fldCharType="separate"/>
      </w:r>
      <w:r>
        <w:t>4</w:t>
      </w:r>
      <w:r>
        <w:fldChar w:fldCharType="end"/>
      </w:r>
      <w:r>
        <w:rPr>
          <w:rFonts w:hint="eastAsia"/>
          <w:lang w:val="en-US" w:eastAsia="zh-CN"/>
        </w:rPr>
        <w:t xml:space="preserve"> </w:t>
      </w:r>
      <w:r>
        <w:rPr>
          <w:rFonts w:hint="eastAsia" w:ascii="黑体" w:hAnsi="宋体" w:cs="黑体"/>
          <w:color w:val="000000"/>
          <w:kern w:val="0"/>
          <w:sz w:val="18"/>
          <w:szCs w:val="18"/>
          <w:lang w:val="en-US" w:eastAsia="zh-CN" w:bidi="ar"/>
        </w:rPr>
        <w:t>海洋油气资源勘探开发装备制造</w:t>
      </w:r>
      <w:r>
        <w:rPr>
          <w:rFonts w:ascii="黑体" w:hAnsi="宋体" w:eastAsia="黑体" w:cs="黑体"/>
          <w:color w:val="000000"/>
          <w:kern w:val="0"/>
          <w:sz w:val="18"/>
          <w:szCs w:val="18"/>
          <w:lang w:val="en-US" w:eastAsia="zh-CN" w:bidi="ar"/>
        </w:rPr>
        <w:t>专利</w:t>
      </w:r>
      <w:r>
        <w:rPr>
          <w:rFonts w:hint="eastAsia" w:ascii="黑体" w:hAnsi="宋体" w:cs="黑体"/>
          <w:color w:val="000000"/>
          <w:kern w:val="0"/>
          <w:sz w:val="18"/>
          <w:szCs w:val="18"/>
          <w:lang w:val="en-US" w:eastAsia="zh-CN" w:bidi="ar"/>
        </w:rPr>
        <w:t>不同</w:t>
      </w:r>
      <w:r>
        <w:rPr>
          <w:rFonts w:ascii="黑体" w:hAnsi="宋体" w:eastAsia="黑体" w:cs="黑体"/>
          <w:color w:val="000000"/>
          <w:kern w:val="0"/>
          <w:sz w:val="18"/>
          <w:szCs w:val="18"/>
          <w:lang w:val="en-US" w:eastAsia="zh-CN" w:bidi="ar"/>
        </w:rPr>
        <w:t>申请人类型</w:t>
      </w:r>
      <w:r>
        <w:rPr>
          <w:rFonts w:hint="eastAsia" w:ascii="黑体" w:hAnsi="宋体" w:cs="黑体"/>
          <w:color w:val="000000"/>
          <w:kern w:val="0"/>
          <w:sz w:val="18"/>
          <w:szCs w:val="18"/>
          <w:lang w:val="en-US" w:eastAsia="zh-CN" w:bidi="ar"/>
        </w:rPr>
        <w:t>专利申请数量</w:t>
      </w:r>
      <w:r>
        <w:rPr>
          <w:rFonts w:ascii="黑体" w:hAnsi="宋体" w:eastAsia="黑体" w:cs="黑体"/>
          <w:color w:val="000000"/>
          <w:kern w:val="0"/>
          <w:sz w:val="18"/>
          <w:szCs w:val="18"/>
          <w:lang w:val="en-US" w:eastAsia="zh-CN" w:bidi="ar"/>
        </w:rPr>
        <w:t>及专利申请人排名情况（单位：</w:t>
      </w:r>
      <w:r>
        <w:rPr>
          <w:rFonts w:hint="eastAsia" w:ascii="黑体" w:hAnsi="宋体" w:eastAsia="黑体" w:cs="黑体"/>
          <w:color w:val="000000"/>
          <w:kern w:val="0"/>
          <w:sz w:val="18"/>
          <w:szCs w:val="18"/>
          <w:lang w:val="en-US" w:eastAsia="zh-CN" w:bidi="ar"/>
        </w:rPr>
        <w:t>件）</w:t>
      </w:r>
      <w:bookmarkEnd w:id="4"/>
    </w:p>
    <w:p w14:paraId="0543C9D1">
      <w:pPr>
        <w:keepNext w:val="0"/>
        <w:keepLines w:val="0"/>
        <w:widowControl/>
        <w:suppressLineNumbers w:val="0"/>
        <w:jc w:val="left"/>
        <w:rPr>
          <w:rFonts w:hint="eastAsia" w:eastAsia="黑体"/>
          <w:lang w:val="en-US" w:eastAsia="zh-CN"/>
        </w:rPr>
      </w:pPr>
      <w:r>
        <w:rPr>
          <w:rFonts w:hint="eastAsia" w:ascii="仿宋" w:hAnsi="仿宋" w:eastAsia="仿宋" w:cs="仿宋"/>
          <w:color w:val="000000"/>
          <w:kern w:val="0"/>
          <w:sz w:val="24"/>
          <w:szCs w:val="24"/>
          <w:lang w:val="en-US" w:eastAsia="zh-CN" w:bidi="ar"/>
        </w:rPr>
        <w:fldChar w:fldCharType="begin"/>
      </w:r>
      <w:r>
        <w:rPr>
          <w:rFonts w:hint="eastAsia" w:ascii="仿宋" w:hAnsi="仿宋" w:eastAsia="仿宋" w:cs="仿宋"/>
          <w:color w:val="000000"/>
          <w:kern w:val="0"/>
          <w:sz w:val="24"/>
          <w:szCs w:val="24"/>
          <w:lang w:val="en-US" w:eastAsia="zh-CN" w:bidi="ar"/>
        </w:rPr>
        <w:instrText xml:space="preserve"> REF _Ref20280 \h </w:instrText>
      </w:r>
      <w:r>
        <w:rPr>
          <w:rFonts w:hint="eastAsia" w:ascii="仿宋" w:hAnsi="仿宋" w:eastAsia="仿宋" w:cs="仿宋"/>
          <w:color w:val="000000"/>
          <w:kern w:val="0"/>
          <w:sz w:val="24"/>
          <w:szCs w:val="24"/>
          <w:lang w:val="en-US" w:eastAsia="zh-CN" w:bidi="ar"/>
        </w:rPr>
        <w:fldChar w:fldCharType="separate"/>
      </w:r>
      <w:r>
        <w:rPr>
          <w:rFonts w:hint="eastAsia" w:ascii="仿宋" w:hAnsi="仿宋" w:eastAsia="仿宋" w:cs="仿宋"/>
          <w:color w:val="000000"/>
          <w:kern w:val="0"/>
          <w:sz w:val="24"/>
          <w:szCs w:val="24"/>
          <w:lang w:val="en-US" w:eastAsia="zh-CN" w:bidi="ar"/>
        </w:rPr>
        <w:t>图 5</w:t>
      </w:r>
      <w:r>
        <w:rPr>
          <w:rFonts w:hint="eastAsia"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展示了中国主要优势主体在不同技术分支的专利申请情况。由图可知，</w:t>
      </w:r>
      <w:r>
        <w:rPr>
          <w:rFonts w:hint="eastAsia" w:ascii="仿宋" w:hAnsi="仿宋" w:cs="仿宋"/>
          <w:color w:val="000000"/>
          <w:kern w:val="0"/>
          <w:sz w:val="24"/>
          <w:szCs w:val="24"/>
          <w:lang w:val="en-US" w:eastAsia="zh-CN" w:bidi="ar"/>
        </w:rPr>
        <w:t>主要申请人</w:t>
      </w:r>
      <w:r>
        <w:rPr>
          <w:rFonts w:hint="eastAsia" w:ascii="仿宋" w:hAnsi="仿宋" w:eastAsia="仿宋" w:cs="仿宋"/>
          <w:color w:val="000000"/>
          <w:kern w:val="0"/>
          <w:sz w:val="24"/>
          <w:szCs w:val="24"/>
          <w:lang w:val="en-US" w:eastAsia="zh-CN" w:bidi="ar"/>
        </w:rPr>
        <w:t>的技术研究</w:t>
      </w:r>
      <w:r>
        <w:rPr>
          <w:rFonts w:hint="eastAsia" w:ascii="仿宋" w:hAnsi="仿宋" w:cs="仿宋"/>
          <w:color w:val="000000"/>
          <w:kern w:val="0"/>
          <w:sz w:val="24"/>
          <w:szCs w:val="24"/>
          <w:lang w:val="en-US" w:eastAsia="zh-CN" w:bidi="ar"/>
        </w:rPr>
        <w:t>最为</w:t>
      </w:r>
      <w:r>
        <w:rPr>
          <w:rFonts w:hint="eastAsia" w:ascii="仿宋" w:hAnsi="仿宋" w:eastAsia="仿宋" w:cs="仿宋"/>
          <w:color w:val="000000"/>
          <w:kern w:val="0"/>
          <w:sz w:val="24"/>
          <w:szCs w:val="24"/>
          <w:lang w:val="en-US" w:eastAsia="zh-CN" w:bidi="ar"/>
        </w:rPr>
        <w:t>集中在</w:t>
      </w:r>
      <w:r>
        <w:rPr>
          <w:rFonts w:hint="eastAsia" w:ascii="Times New Roman" w:hAnsi="Times New Roman" w:eastAsia="宋体" w:cs="Times New Roman"/>
          <w:color w:val="000000"/>
          <w:kern w:val="0"/>
          <w:sz w:val="24"/>
          <w:szCs w:val="24"/>
          <w:lang w:val="en-US" w:eastAsia="zh-CN" w:bidi="ar"/>
        </w:rPr>
        <w:t>B63B35</w:t>
      </w:r>
      <w:r>
        <w:rPr>
          <w:rFonts w:hint="eastAsia" w:ascii="仿宋" w:hAnsi="仿宋" w:eastAsia="仿宋" w:cs="仿宋"/>
          <w:color w:val="000000"/>
          <w:kern w:val="0"/>
          <w:sz w:val="24"/>
          <w:szCs w:val="24"/>
          <w:lang w:val="en-US" w:eastAsia="zh-CN" w:bidi="ar"/>
        </w:rPr>
        <w:t>（适合于专门用途的船舶或类似的浮动结构）这个技术领域，专利申请</w:t>
      </w:r>
      <w:r>
        <w:rPr>
          <w:rFonts w:hint="eastAsia" w:ascii="仿宋" w:hAnsi="仿宋" w:cs="仿宋"/>
          <w:color w:val="000000"/>
          <w:kern w:val="0"/>
          <w:sz w:val="24"/>
          <w:szCs w:val="24"/>
          <w:lang w:val="en-US" w:eastAsia="zh-CN" w:bidi="ar"/>
        </w:rPr>
        <w:t>量达</w:t>
      </w:r>
      <w:r>
        <w:rPr>
          <w:rFonts w:hint="eastAsia" w:eastAsia="宋体" w:cs="Times New Roman"/>
          <w:color w:val="000000"/>
          <w:kern w:val="0"/>
          <w:sz w:val="24"/>
          <w:szCs w:val="24"/>
          <w:lang w:val="en-US" w:eastAsia="zh-CN" w:bidi="ar"/>
        </w:rPr>
        <w:t>172</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，其中</w:t>
      </w:r>
      <w:r>
        <w:rPr>
          <w:rFonts w:hint="eastAsia" w:ascii="仿宋" w:hAnsi="仿宋" w:cs="仿宋"/>
          <w:color w:val="000000"/>
          <w:kern w:val="0"/>
          <w:sz w:val="24"/>
          <w:szCs w:val="24"/>
          <w:highlight w:val="none"/>
          <w:lang w:val="en-US" w:eastAsia="zh-CN" w:bidi="ar"/>
        </w:rPr>
        <w:t>中国海洋石油总公司</w:t>
      </w:r>
      <w:r>
        <w:rPr>
          <w:rFonts w:hint="eastAsia" w:ascii="仿宋" w:hAnsi="仿宋" w:eastAsia="仿宋" w:cs="仿宋"/>
          <w:color w:val="000000"/>
          <w:kern w:val="0"/>
          <w:sz w:val="24"/>
          <w:szCs w:val="24"/>
          <w:lang w:val="en-US" w:eastAsia="zh-CN" w:bidi="ar"/>
        </w:rPr>
        <w:t>处于申请人行业之首，</w:t>
      </w:r>
      <w:r>
        <w:rPr>
          <w:rFonts w:hint="eastAsia" w:ascii="仿宋" w:hAnsi="仿宋" w:cs="仿宋"/>
          <w:color w:val="000000"/>
          <w:kern w:val="0"/>
          <w:sz w:val="24"/>
          <w:szCs w:val="24"/>
          <w:lang w:val="en-US" w:eastAsia="zh-CN" w:bidi="ar"/>
        </w:rPr>
        <w:t>涉及该领域的</w:t>
      </w:r>
      <w:r>
        <w:rPr>
          <w:rFonts w:hint="eastAsia" w:ascii="仿宋" w:hAnsi="仿宋" w:eastAsia="仿宋" w:cs="仿宋"/>
          <w:color w:val="000000"/>
          <w:kern w:val="0"/>
          <w:sz w:val="24"/>
          <w:szCs w:val="24"/>
          <w:lang w:val="en-US" w:eastAsia="zh-CN" w:bidi="ar"/>
        </w:rPr>
        <w:t>专利申请</w:t>
      </w:r>
      <w:r>
        <w:rPr>
          <w:rFonts w:hint="eastAsia" w:ascii="仿宋" w:hAnsi="仿宋" w:cs="仿宋"/>
          <w:color w:val="000000"/>
          <w:kern w:val="0"/>
          <w:sz w:val="24"/>
          <w:szCs w:val="24"/>
          <w:lang w:val="en-US" w:eastAsia="zh-CN" w:bidi="ar"/>
        </w:rPr>
        <w:t>数</w:t>
      </w:r>
      <w:r>
        <w:rPr>
          <w:rFonts w:hint="eastAsia" w:ascii="仿宋" w:hAnsi="仿宋" w:eastAsia="仿宋" w:cs="仿宋"/>
          <w:color w:val="000000"/>
          <w:kern w:val="0"/>
          <w:sz w:val="24"/>
          <w:szCs w:val="24"/>
          <w:lang w:val="en-US" w:eastAsia="zh-CN" w:bidi="ar"/>
        </w:rPr>
        <w:t>量为</w:t>
      </w:r>
      <w:r>
        <w:rPr>
          <w:rFonts w:hint="eastAsia" w:eastAsia="宋体" w:cs="Times New Roman"/>
          <w:color w:val="000000"/>
          <w:kern w:val="0"/>
          <w:sz w:val="24"/>
          <w:szCs w:val="24"/>
          <w:lang w:val="en-US" w:eastAsia="zh-CN" w:bidi="ar"/>
        </w:rPr>
        <w:t>52</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中海油研究总院</w:t>
      </w:r>
      <w:r>
        <w:rPr>
          <w:rFonts w:hint="eastAsia" w:ascii="仿宋" w:hAnsi="仿宋" w:eastAsia="仿宋" w:cs="仿宋"/>
          <w:color w:val="000000"/>
          <w:kern w:val="0"/>
          <w:sz w:val="24"/>
          <w:szCs w:val="24"/>
          <w:lang w:val="en-US" w:eastAsia="zh-CN" w:bidi="ar"/>
        </w:rPr>
        <w:t>和</w:t>
      </w:r>
      <w:r>
        <w:rPr>
          <w:rFonts w:hint="eastAsia" w:ascii="仿宋" w:hAnsi="仿宋" w:cs="仿宋"/>
          <w:color w:val="000000"/>
          <w:kern w:val="0"/>
          <w:sz w:val="24"/>
          <w:szCs w:val="24"/>
          <w:lang w:val="en-US" w:eastAsia="zh-CN" w:bidi="ar"/>
        </w:rPr>
        <w:t>大连船舶重工集团有限公司</w:t>
      </w:r>
      <w:r>
        <w:rPr>
          <w:rFonts w:hint="eastAsia" w:ascii="仿宋" w:hAnsi="仿宋" w:eastAsia="仿宋" w:cs="仿宋"/>
          <w:color w:val="000000"/>
          <w:kern w:val="0"/>
          <w:sz w:val="24"/>
          <w:szCs w:val="24"/>
          <w:lang w:val="en-US" w:eastAsia="zh-CN" w:bidi="ar"/>
        </w:rPr>
        <w:t>的专利申请量也均分别超过</w:t>
      </w:r>
      <w:r>
        <w:rPr>
          <w:rFonts w:hint="eastAsia" w:eastAsia="宋体" w:cs="Times New Roman"/>
          <w:color w:val="000000"/>
          <w:kern w:val="0"/>
          <w:sz w:val="24"/>
          <w:szCs w:val="24"/>
          <w:lang w:val="en-US" w:eastAsia="zh-CN" w:bidi="ar"/>
        </w:rPr>
        <w:t>25</w:t>
      </w:r>
      <w:r>
        <w:rPr>
          <w:rFonts w:hint="eastAsia" w:ascii="仿宋" w:hAnsi="仿宋" w:eastAsia="仿宋" w:cs="仿宋"/>
          <w:color w:val="000000"/>
          <w:kern w:val="0"/>
          <w:sz w:val="24"/>
          <w:szCs w:val="24"/>
          <w:lang w:val="en-US" w:eastAsia="zh-CN" w:bidi="ar"/>
        </w:rPr>
        <w:t>件。其次，</w:t>
      </w:r>
      <w:r>
        <w:rPr>
          <w:rFonts w:hint="eastAsia" w:eastAsia="宋体" w:cs="Times New Roman"/>
          <w:color w:val="000000"/>
          <w:kern w:val="0"/>
          <w:sz w:val="24"/>
          <w:szCs w:val="24"/>
          <w:lang w:val="en-US" w:eastAsia="zh-CN" w:bidi="ar"/>
        </w:rPr>
        <w:t>E21B43</w:t>
      </w:r>
      <w:r>
        <w:rPr>
          <w:rFonts w:hint="eastAsia" w:ascii="仿宋" w:hAnsi="仿宋" w:eastAsia="仿宋" w:cs="仿宋"/>
          <w:color w:val="000000"/>
          <w:kern w:val="0"/>
          <w:sz w:val="24"/>
          <w:szCs w:val="24"/>
          <w:lang w:val="en-US" w:eastAsia="zh-CN" w:bidi="ar"/>
        </w:rPr>
        <w:t>（从井中开采油、气、水、可溶解或可熔化物质或矿物泥浆的方法或设备）也是各申请人的技术创新研究焦点，</w:t>
      </w:r>
      <w:r>
        <w:rPr>
          <w:rFonts w:ascii="仿宋" w:hAnsi="仿宋" w:eastAsia="仿宋" w:cs="仿宋"/>
          <w:color w:val="000000"/>
          <w:kern w:val="0"/>
          <w:sz w:val="24"/>
          <w:szCs w:val="24"/>
          <w:lang w:val="en-US" w:eastAsia="zh-CN" w:bidi="ar"/>
        </w:rPr>
        <w:t>专利</w:t>
      </w:r>
      <w:r>
        <w:rPr>
          <w:rFonts w:hint="eastAsia" w:ascii="仿宋" w:hAnsi="仿宋" w:eastAsia="仿宋" w:cs="仿宋"/>
          <w:color w:val="000000"/>
          <w:kern w:val="0"/>
          <w:sz w:val="24"/>
          <w:szCs w:val="24"/>
          <w:lang w:val="en-US" w:eastAsia="zh-CN" w:bidi="ar"/>
        </w:rPr>
        <w:t>申请总体占比达到</w:t>
      </w:r>
      <w:r>
        <w:rPr>
          <w:rFonts w:hint="eastAsia" w:eastAsia="宋体" w:cs="Times New Roman"/>
          <w:color w:val="000000"/>
          <w:kern w:val="0"/>
          <w:sz w:val="24"/>
          <w:szCs w:val="24"/>
          <w:lang w:val="en-US" w:eastAsia="zh-CN" w:bidi="ar"/>
        </w:rPr>
        <w:t>14.52</w:t>
      </w:r>
      <w:r>
        <w:rPr>
          <w:rFonts w:hint="default"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w:t>
      </w:r>
      <w:r>
        <w:rPr>
          <w:rFonts w:ascii="仿宋" w:hAnsi="仿宋" w:eastAsia="仿宋" w:cs="仿宋"/>
          <w:color w:val="000000"/>
          <w:kern w:val="0"/>
          <w:sz w:val="24"/>
          <w:szCs w:val="24"/>
          <w:lang w:val="en-US" w:eastAsia="zh-CN" w:bidi="ar"/>
        </w:rPr>
        <w:t>中国专利申请量排名前</w:t>
      </w:r>
      <w:r>
        <w:rPr>
          <w:rFonts w:hint="default" w:ascii="Times New Roman" w:hAnsi="Times New Roman" w:eastAsia="宋体" w:cs="Times New Roman"/>
          <w:color w:val="000000"/>
          <w:kern w:val="0"/>
          <w:sz w:val="24"/>
          <w:szCs w:val="24"/>
          <w:lang w:val="en-US" w:eastAsia="zh-CN" w:bidi="ar"/>
        </w:rPr>
        <w:t>10</w:t>
      </w:r>
      <w:r>
        <w:rPr>
          <w:rFonts w:hint="eastAsia" w:ascii="仿宋" w:hAnsi="仿宋" w:eastAsia="仿宋" w:cs="仿宋"/>
          <w:color w:val="000000"/>
          <w:kern w:val="0"/>
          <w:sz w:val="24"/>
          <w:szCs w:val="24"/>
          <w:lang w:val="en-US" w:eastAsia="zh-CN" w:bidi="ar"/>
        </w:rPr>
        <w:t>的申请人皆有申请该技术分支专利，可以看出此技术受关注程度较高。</w:t>
      </w:r>
    </w:p>
    <w:p w14:paraId="58610F3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pPr>
      <w:r>
        <w:drawing>
          <wp:inline distT="0" distB="0" distL="114300" distR="114300">
            <wp:extent cx="5272405" cy="4464685"/>
            <wp:effectExtent l="5080" t="4445" r="18415" b="76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D684BC">
      <w:pPr>
        <w:keepNext w:val="0"/>
        <w:keepLines w:val="0"/>
        <w:widowControl/>
        <w:suppressLineNumbers w:val="0"/>
        <w:jc w:val="center"/>
        <w:rPr>
          <w:rFonts w:hint="eastAsia" w:eastAsia="仿宋"/>
          <w:lang w:eastAsia="zh-CN"/>
        </w:rPr>
      </w:pPr>
      <w:bookmarkStart w:id="5" w:name="_Ref20280"/>
      <w:r>
        <w:rPr>
          <w:rFonts w:ascii="黑体" w:hAnsi="宋体" w:eastAsia="黑体" w:cs="黑体"/>
          <w:color w:val="000000"/>
          <w:kern w:val="0"/>
          <w:sz w:val="19"/>
          <w:szCs w:val="19"/>
          <w:lang w:val="en-US" w:eastAsia="zh-CN" w:bidi="ar"/>
        </w:rPr>
        <w:t xml:space="preserve">图 </w:t>
      </w:r>
      <w:r>
        <w:rPr>
          <w:rFonts w:ascii="黑体" w:hAnsi="宋体" w:eastAsia="黑体" w:cs="黑体"/>
          <w:color w:val="000000"/>
          <w:kern w:val="0"/>
          <w:sz w:val="19"/>
          <w:szCs w:val="19"/>
          <w:lang w:val="en-US" w:eastAsia="zh-CN" w:bidi="ar"/>
        </w:rPr>
        <w:fldChar w:fldCharType="begin"/>
      </w:r>
      <w:r>
        <w:rPr>
          <w:rFonts w:ascii="黑体" w:hAnsi="宋体" w:eastAsia="黑体" w:cs="黑体"/>
          <w:color w:val="000000"/>
          <w:kern w:val="0"/>
          <w:sz w:val="19"/>
          <w:szCs w:val="19"/>
          <w:lang w:val="en-US" w:eastAsia="zh-CN" w:bidi="ar"/>
        </w:rPr>
        <w:instrText xml:space="preserve"> SEQ 图 \* ARABIC </w:instrText>
      </w:r>
      <w:r>
        <w:rPr>
          <w:rFonts w:ascii="黑体" w:hAnsi="宋体" w:eastAsia="黑体" w:cs="黑体"/>
          <w:color w:val="000000"/>
          <w:kern w:val="0"/>
          <w:sz w:val="19"/>
          <w:szCs w:val="19"/>
          <w:lang w:val="en-US" w:eastAsia="zh-CN" w:bidi="ar"/>
        </w:rPr>
        <w:fldChar w:fldCharType="separate"/>
      </w:r>
      <w:r>
        <w:rPr>
          <w:rFonts w:ascii="黑体" w:hAnsi="宋体" w:eastAsia="黑体" w:cs="黑体"/>
          <w:color w:val="000000"/>
          <w:kern w:val="0"/>
          <w:sz w:val="19"/>
          <w:szCs w:val="19"/>
          <w:lang w:val="en-US" w:eastAsia="zh-CN" w:bidi="ar"/>
        </w:rPr>
        <w:t>5</w:t>
      </w:r>
      <w:r>
        <w:rPr>
          <w:rFonts w:ascii="黑体" w:hAnsi="宋体" w:eastAsia="黑体" w:cs="黑体"/>
          <w:color w:val="000000"/>
          <w:kern w:val="0"/>
          <w:sz w:val="19"/>
          <w:szCs w:val="19"/>
          <w:lang w:val="en-US" w:eastAsia="zh-CN" w:bidi="ar"/>
        </w:rPr>
        <w:fldChar w:fldCharType="end"/>
      </w:r>
      <w:bookmarkEnd w:id="5"/>
      <w:r>
        <w:rPr>
          <w:rFonts w:hint="eastAsia"/>
          <w:lang w:eastAsia="zh-CN"/>
        </w:rPr>
        <w:t xml:space="preserve"> </w:t>
      </w:r>
      <w:r>
        <w:rPr>
          <w:rFonts w:hint="eastAsia" w:ascii="黑体" w:hAnsi="宋体" w:eastAsia="黑体" w:cs="黑体"/>
          <w:color w:val="000000"/>
          <w:kern w:val="0"/>
          <w:sz w:val="19"/>
          <w:szCs w:val="19"/>
          <w:lang w:val="en-US" w:eastAsia="zh-CN" w:bidi="ar"/>
        </w:rPr>
        <w:t>海洋油气资源勘探开发装备制造</w:t>
      </w:r>
      <w:r>
        <w:rPr>
          <w:rFonts w:ascii="黑体" w:hAnsi="宋体" w:eastAsia="黑体" w:cs="黑体"/>
          <w:color w:val="000000"/>
          <w:kern w:val="0"/>
          <w:sz w:val="19"/>
          <w:szCs w:val="19"/>
          <w:lang w:val="en-US" w:eastAsia="zh-CN" w:bidi="ar"/>
        </w:rPr>
        <w:t>主要专利申请人的技术构成分析（单位：件）</w:t>
      </w:r>
    </w:p>
    <w:p w14:paraId="74E09722">
      <w:pPr>
        <w:pStyle w:val="2"/>
        <w:numPr>
          <w:ilvl w:val="0"/>
          <w:numId w:val="0"/>
        </w:numPr>
        <w:spacing w:before="156" w:after="312"/>
      </w:pPr>
      <w:r>
        <w:rPr>
          <w:rFonts w:hint="eastAsia"/>
        </w:rPr>
        <w:t>结语：</w:t>
      </w:r>
    </w:p>
    <w:p w14:paraId="3FFCC948">
      <w:pPr>
        <w:keepNext w:val="0"/>
        <w:keepLines w:val="0"/>
        <w:widowControl/>
        <w:suppressLineNumbers w:val="0"/>
        <w:jc w:val="left"/>
        <w:rPr>
          <w:rFonts w:hint="default"/>
          <w:lang w:val="en-US"/>
        </w:rPr>
      </w:pPr>
      <w:r>
        <w:rPr>
          <w:rFonts w:ascii="仿宋" w:hAnsi="仿宋" w:eastAsia="仿宋" w:cs="仿宋"/>
          <w:color w:val="000000"/>
          <w:kern w:val="0"/>
          <w:sz w:val="24"/>
          <w:szCs w:val="24"/>
          <w:lang w:val="en-US" w:eastAsia="zh-CN" w:bidi="ar"/>
        </w:rPr>
        <w:t>通过对近</w:t>
      </w:r>
      <w:r>
        <w:rPr>
          <w:rFonts w:hint="default" w:ascii="Times New Roman" w:hAnsi="Times New Roman" w:eastAsia="宋体" w:cs="Times New Roman"/>
          <w:color w:val="000000"/>
          <w:kern w:val="0"/>
          <w:sz w:val="24"/>
          <w:szCs w:val="24"/>
          <w:lang w:val="en-US" w:eastAsia="zh-CN" w:bidi="ar"/>
        </w:rPr>
        <w:t>20</w:t>
      </w:r>
      <w:r>
        <w:rPr>
          <w:rFonts w:hint="eastAsia" w:ascii="仿宋" w:hAnsi="仿宋" w:eastAsia="仿宋" w:cs="仿宋"/>
          <w:color w:val="000000"/>
          <w:kern w:val="0"/>
          <w:sz w:val="24"/>
          <w:szCs w:val="24"/>
          <w:lang w:val="en-US" w:eastAsia="zh-CN" w:bidi="ar"/>
        </w:rPr>
        <w:t>年海洋油气资源勘探开发装备制造相关专利分析可知，中国海洋油气资源勘探开发装备制造技术从</w:t>
      </w:r>
      <w:r>
        <w:rPr>
          <w:rFonts w:hint="eastAsia" w:eastAsia="宋体" w:cs="Times New Roman"/>
          <w:color w:val="000000"/>
          <w:kern w:val="0"/>
          <w:sz w:val="24"/>
          <w:szCs w:val="24"/>
          <w:lang w:val="en-US" w:eastAsia="zh-CN" w:bidi="ar"/>
        </w:rPr>
        <w:t>2004</w:t>
      </w:r>
      <w:r>
        <w:rPr>
          <w:rFonts w:hint="eastAsia" w:ascii="仿宋" w:hAnsi="仿宋" w:eastAsia="仿宋" w:cs="仿宋"/>
          <w:color w:val="000000"/>
          <w:kern w:val="0"/>
          <w:sz w:val="24"/>
          <w:szCs w:val="24"/>
          <w:lang w:val="en-US" w:eastAsia="zh-CN" w:bidi="ar"/>
        </w:rPr>
        <w:t>年起初露锋芒，至2009年后迈入了一个显著的增长快车道，整体呈现出稳步上扬的态势，</w:t>
      </w:r>
      <w:r>
        <w:rPr>
          <w:rFonts w:hint="eastAsia" w:ascii="仿宋" w:hAnsi="仿宋" w:cs="仿宋"/>
          <w:color w:val="000000"/>
          <w:kern w:val="0"/>
          <w:sz w:val="24"/>
          <w:szCs w:val="24"/>
          <w:lang w:val="en-US" w:eastAsia="zh-CN" w:bidi="ar"/>
        </w:rPr>
        <w:t>专利申请量于</w:t>
      </w:r>
      <w:r>
        <w:rPr>
          <w:rFonts w:hint="eastAsia" w:eastAsia="宋体" w:cs="Times New Roman"/>
          <w:color w:val="000000"/>
          <w:kern w:val="0"/>
          <w:sz w:val="24"/>
          <w:szCs w:val="24"/>
          <w:lang w:val="en-US" w:eastAsia="zh-CN" w:bidi="ar"/>
        </w:rPr>
        <w:t>2021</w:t>
      </w:r>
      <w:r>
        <w:rPr>
          <w:rFonts w:hint="eastAsia" w:ascii="仿宋" w:hAnsi="仿宋" w:cs="仿宋"/>
          <w:color w:val="000000"/>
          <w:kern w:val="0"/>
          <w:sz w:val="24"/>
          <w:szCs w:val="24"/>
          <w:lang w:val="en-US" w:eastAsia="zh-CN" w:bidi="ar"/>
        </w:rPr>
        <w:t>年达到最大值，专利授权量近年不断攀升，预示着该领域拥有着广阔的发展前景与巨大的潜力</w:t>
      </w:r>
      <w:r>
        <w:rPr>
          <w:rFonts w:hint="eastAsia" w:ascii="仿宋" w:hAnsi="仿宋" w:eastAsia="仿宋" w:cs="仿宋"/>
          <w:color w:val="000000"/>
          <w:kern w:val="0"/>
          <w:sz w:val="24"/>
          <w:szCs w:val="24"/>
          <w:lang w:val="en-US" w:eastAsia="zh-CN" w:bidi="ar"/>
        </w:rPr>
        <w:t>。其中，北京、山东、天津三地成为了海洋油气资源勘探开发装备制造技术的核心聚集地，</w:t>
      </w:r>
      <w:r>
        <w:rPr>
          <w:rFonts w:ascii="仿宋" w:hAnsi="仿宋" w:eastAsia="仿宋" w:cs="仿宋"/>
          <w:color w:val="000000"/>
          <w:kern w:val="0"/>
          <w:sz w:val="24"/>
          <w:szCs w:val="24"/>
          <w:lang w:val="en-US" w:eastAsia="zh-CN" w:bidi="ar"/>
        </w:rPr>
        <w:t>广东省内则集中分布在广州市、深</w:t>
      </w:r>
      <w:r>
        <w:rPr>
          <w:rFonts w:hint="eastAsia" w:ascii="仿宋" w:hAnsi="仿宋" w:eastAsia="仿宋" w:cs="仿宋"/>
          <w:color w:val="000000"/>
          <w:kern w:val="0"/>
          <w:sz w:val="24"/>
          <w:szCs w:val="24"/>
          <w:lang w:val="en-US" w:eastAsia="zh-CN" w:bidi="ar"/>
        </w:rPr>
        <w:t>圳市和</w:t>
      </w:r>
      <w:r>
        <w:rPr>
          <w:rFonts w:hint="eastAsia" w:ascii="仿宋" w:hAnsi="仿宋" w:cs="仿宋"/>
          <w:color w:val="000000"/>
          <w:kern w:val="0"/>
          <w:sz w:val="24"/>
          <w:szCs w:val="24"/>
          <w:lang w:val="en-US" w:eastAsia="zh-CN" w:bidi="ar"/>
        </w:rPr>
        <w:t>湛江市，</w:t>
      </w:r>
      <w:r>
        <w:rPr>
          <w:rFonts w:hint="eastAsia" w:ascii="仿宋" w:hAnsi="仿宋" w:eastAsia="仿宋" w:cs="仿宋"/>
          <w:color w:val="000000"/>
          <w:kern w:val="0"/>
          <w:sz w:val="24"/>
          <w:szCs w:val="24"/>
          <w:lang w:val="en-US" w:eastAsia="zh-CN" w:bidi="ar"/>
        </w:rPr>
        <w:t>相关技术研究活跃度较高。从技术构成来看，</w:t>
      </w:r>
      <w:r>
        <w:rPr>
          <w:rFonts w:hint="eastAsia" w:eastAsia="宋体" w:cs="Times New Roman"/>
          <w:color w:val="000000"/>
          <w:kern w:val="0"/>
          <w:sz w:val="24"/>
          <w:szCs w:val="24"/>
          <w:lang w:val="en-US" w:eastAsia="zh-CN" w:bidi="ar"/>
        </w:rPr>
        <w:t>B63B35</w:t>
      </w:r>
      <w:r>
        <w:rPr>
          <w:rFonts w:hint="eastAsia" w:ascii="仿宋" w:hAnsi="仿宋" w:eastAsia="仿宋" w:cs="仿宋"/>
          <w:color w:val="000000"/>
          <w:kern w:val="0"/>
          <w:sz w:val="24"/>
          <w:szCs w:val="24"/>
          <w:lang w:val="en-US" w:eastAsia="zh-CN" w:bidi="ar"/>
        </w:rPr>
        <w:t>（适合于专门用途的船舶或类似的浮动结构</w:t>
      </w:r>
      <w:r>
        <w:rPr>
          <w:rFonts w:hint="eastAsia" w:ascii="仿宋" w:hAnsi="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成为该领域技术研发的焦点所在。此外，国内海洋油气资源勘探开发装备制造专利申请主要以企事业单位与大专院校为主，其中</w:t>
      </w:r>
      <w:r>
        <w:rPr>
          <w:rFonts w:hint="eastAsia" w:ascii="仿宋" w:hAnsi="仿宋" w:cs="仿宋"/>
          <w:color w:val="000000"/>
          <w:kern w:val="0"/>
          <w:sz w:val="24"/>
          <w:szCs w:val="24"/>
          <w:highlight w:val="none"/>
          <w:lang w:val="en-US" w:eastAsia="zh-CN" w:bidi="ar"/>
        </w:rPr>
        <w:t>中国海洋石油总公司</w:t>
      </w:r>
      <w:r>
        <w:rPr>
          <w:rFonts w:hint="eastAsia" w:ascii="仿宋" w:hAnsi="仿宋" w:eastAsia="仿宋" w:cs="仿宋"/>
          <w:color w:val="000000"/>
          <w:kern w:val="0"/>
          <w:sz w:val="24"/>
          <w:szCs w:val="24"/>
          <w:lang w:val="en-US" w:eastAsia="zh-CN" w:bidi="ar"/>
        </w:rPr>
        <w:t>以强有力的优势成为专利申请人第一位</w:t>
      </w:r>
      <w:r>
        <w:rPr>
          <w:rFonts w:hint="eastAsia" w:ascii="仿宋" w:hAnsi="仿宋" w:cs="仿宋"/>
          <w:color w:val="000000"/>
          <w:kern w:val="0"/>
          <w:sz w:val="24"/>
          <w:szCs w:val="24"/>
          <w:lang w:val="en-US" w:eastAsia="zh-CN" w:bidi="ar"/>
        </w:rPr>
        <w:t>。</w:t>
      </w:r>
    </w:p>
    <w:p w14:paraId="206AFC4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综上所述，我国海洋油气资源勘探开发装备制造技术正处于蓬勃发展的高速阶段，各地踊跃参与海洋油气资源勘探开发装备制造</w:t>
      </w:r>
      <w:r>
        <w:rPr>
          <w:rFonts w:hint="eastAsia" w:ascii="仿宋" w:hAnsi="仿宋" w:cs="仿宋"/>
          <w:color w:val="000000"/>
          <w:kern w:val="0"/>
          <w:sz w:val="24"/>
          <w:szCs w:val="24"/>
          <w:lang w:val="en-US" w:eastAsia="zh-CN" w:bidi="ar"/>
        </w:rPr>
        <w:t>的</w:t>
      </w:r>
      <w:r>
        <w:rPr>
          <w:rFonts w:hint="eastAsia" w:ascii="仿宋" w:hAnsi="仿宋" w:eastAsia="仿宋" w:cs="仿宋"/>
          <w:color w:val="000000"/>
          <w:kern w:val="0"/>
          <w:sz w:val="24"/>
          <w:szCs w:val="24"/>
          <w:lang w:val="en-US" w:eastAsia="zh-CN" w:bidi="ar"/>
        </w:rPr>
        <w:t>研发。从专利申请人类型的分布来看，企事业单位构成了海洋油气资源勘探开发装备制造技术专利申请的主力军，而大专院校亦凭借其深厚的技术积淀与卓越的创新能力，成为不可忽视的重要力量。</w:t>
      </w:r>
      <w:r>
        <w:rPr>
          <w:rFonts w:hint="eastAsia" w:ascii="仿宋" w:hAnsi="仿宋" w:cs="仿宋"/>
          <w:color w:val="000000"/>
          <w:kern w:val="0"/>
          <w:sz w:val="24"/>
          <w:szCs w:val="24"/>
          <w:lang w:val="en-US" w:eastAsia="zh-CN" w:bidi="ar"/>
        </w:rPr>
        <w:t>因此，</w:t>
      </w:r>
      <w:r>
        <w:rPr>
          <w:rFonts w:hint="eastAsia" w:ascii="仿宋" w:hAnsi="仿宋" w:eastAsia="仿宋" w:cs="仿宋"/>
          <w:color w:val="000000"/>
          <w:kern w:val="0"/>
          <w:sz w:val="24"/>
          <w:szCs w:val="24"/>
          <w:lang w:val="en-US" w:eastAsia="zh-CN" w:bidi="ar"/>
        </w:rPr>
        <w:t>企业应当深化产学研合作机制，充分利用高校科研平台的优势资源，进一步提升自主创新能力，为推动海洋油气资源勘探开发装备制造等相关产业的高质量发展注入强劲动力。对于技术研发方面，我国海洋油气资源勘探开发装备制造的研发焦点主要放在专门用途的船舶或类似的浮动结构等领域，技术全面性发展有待提高，建议在巩固现有技术优势的基础上，同步探索并弥补技术空白与劣势领域，通过加强国内外新技术的学习、交流与合作，不断完善并强化关键核心技术体系，以实现技术的全面跃升。</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D16B">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E9D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4BC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5AAB">
    <w:pPr>
      <w:pStyle w:val="7"/>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890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A28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085A"/>
    <w:multiLevelType w:val="multilevel"/>
    <w:tmpl w:val="4DAC085A"/>
    <w:lvl w:ilvl="0" w:tentative="0">
      <w:start w:val="1"/>
      <w:numFmt w:val="decimal"/>
      <w:pStyle w:val="2"/>
      <w:lvlText w:val="%1"/>
      <w:lvlJc w:val="left"/>
      <w:pPr>
        <w:ind w:left="0" w:firstLine="0"/>
      </w:pPr>
      <w:rPr>
        <w:rFonts w:hint="eastAsia"/>
      </w:rPr>
    </w:lvl>
    <w:lvl w:ilvl="1" w:tentative="0">
      <w:start w:val="1"/>
      <w:numFmt w:val="decimal"/>
      <w:pStyle w:val="3"/>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2FmZTFjMzZlMDAzNzhkNzVmZGQ0NWNkNmQyMDIifQ=="/>
  </w:docVars>
  <w:rsids>
    <w:rsidRoot w:val="00172A27"/>
    <w:rsid w:val="0003586F"/>
    <w:rsid w:val="00136E0A"/>
    <w:rsid w:val="00163BE9"/>
    <w:rsid w:val="00234F4B"/>
    <w:rsid w:val="00267C60"/>
    <w:rsid w:val="00271973"/>
    <w:rsid w:val="00311CA2"/>
    <w:rsid w:val="00383DE3"/>
    <w:rsid w:val="005319D6"/>
    <w:rsid w:val="005563F6"/>
    <w:rsid w:val="005A41FD"/>
    <w:rsid w:val="005C60AE"/>
    <w:rsid w:val="005E0D53"/>
    <w:rsid w:val="00687C67"/>
    <w:rsid w:val="008578F1"/>
    <w:rsid w:val="00875150"/>
    <w:rsid w:val="008E2B2F"/>
    <w:rsid w:val="00933BFF"/>
    <w:rsid w:val="00970C5F"/>
    <w:rsid w:val="00975284"/>
    <w:rsid w:val="009A4668"/>
    <w:rsid w:val="00A0212E"/>
    <w:rsid w:val="00A368BA"/>
    <w:rsid w:val="00AB56FC"/>
    <w:rsid w:val="00B13304"/>
    <w:rsid w:val="00B5540B"/>
    <w:rsid w:val="00C22087"/>
    <w:rsid w:val="00D87294"/>
    <w:rsid w:val="00DE110E"/>
    <w:rsid w:val="00DF5D8D"/>
    <w:rsid w:val="00FA7CA8"/>
    <w:rsid w:val="00FB3A77"/>
    <w:rsid w:val="01303AC5"/>
    <w:rsid w:val="01995B0E"/>
    <w:rsid w:val="025D6B3C"/>
    <w:rsid w:val="02753E85"/>
    <w:rsid w:val="02E80AFB"/>
    <w:rsid w:val="03AD764F"/>
    <w:rsid w:val="05880374"/>
    <w:rsid w:val="062A4F87"/>
    <w:rsid w:val="06451DC1"/>
    <w:rsid w:val="06A93C46"/>
    <w:rsid w:val="07177C01"/>
    <w:rsid w:val="07230354"/>
    <w:rsid w:val="074E2EF7"/>
    <w:rsid w:val="07A331FF"/>
    <w:rsid w:val="07BE1E2B"/>
    <w:rsid w:val="082C3238"/>
    <w:rsid w:val="08397703"/>
    <w:rsid w:val="0842480A"/>
    <w:rsid w:val="08730E67"/>
    <w:rsid w:val="0935611C"/>
    <w:rsid w:val="09710873"/>
    <w:rsid w:val="09734E97"/>
    <w:rsid w:val="09A3577C"/>
    <w:rsid w:val="0AE67CFF"/>
    <w:rsid w:val="0B3F3282"/>
    <w:rsid w:val="0B6B4077"/>
    <w:rsid w:val="0B8B471A"/>
    <w:rsid w:val="0DF06AB6"/>
    <w:rsid w:val="0E2F75DE"/>
    <w:rsid w:val="0E574D87"/>
    <w:rsid w:val="0F0071CD"/>
    <w:rsid w:val="0F0F11BE"/>
    <w:rsid w:val="0F39623B"/>
    <w:rsid w:val="104C32F3"/>
    <w:rsid w:val="10783CA7"/>
    <w:rsid w:val="12011292"/>
    <w:rsid w:val="12274A70"/>
    <w:rsid w:val="1229233C"/>
    <w:rsid w:val="1237502C"/>
    <w:rsid w:val="127E0B34"/>
    <w:rsid w:val="137D0DEC"/>
    <w:rsid w:val="139B3968"/>
    <w:rsid w:val="13F25014"/>
    <w:rsid w:val="14060DE1"/>
    <w:rsid w:val="14B4083D"/>
    <w:rsid w:val="150956B3"/>
    <w:rsid w:val="153761A3"/>
    <w:rsid w:val="153B0F5F"/>
    <w:rsid w:val="164D0F49"/>
    <w:rsid w:val="1739327C"/>
    <w:rsid w:val="17575DF8"/>
    <w:rsid w:val="176A1687"/>
    <w:rsid w:val="17B44FF8"/>
    <w:rsid w:val="17D80CE7"/>
    <w:rsid w:val="17EF7DDE"/>
    <w:rsid w:val="188C387F"/>
    <w:rsid w:val="18B3705E"/>
    <w:rsid w:val="18D47700"/>
    <w:rsid w:val="190C6EE7"/>
    <w:rsid w:val="198B3B37"/>
    <w:rsid w:val="19946E8F"/>
    <w:rsid w:val="1A0C4D2D"/>
    <w:rsid w:val="1A143B2C"/>
    <w:rsid w:val="1A6B5E42"/>
    <w:rsid w:val="1AA61C49"/>
    <w:rsid w:val="1F2B2ED2"/>
    <w:rsid w:val="1FD004F5"/>
    <w:rsid w:val="1FFE5062"/>
    <w:rsid w:val="20745325"/>
    <w:rsid w:val="20E36B38"/>
    <w:rsid w:val="20F46465"/>
    <w:rsid w:val="21AB746C"/>
    <w:rsid w:val="22930D9A"/>
    <w:rsid w:val="22EE13BE"/>
    <w:rsid w:val="231D7EF5"/>
    <w:rsid w:val="233C3329"/>
    <w:rsid w:val="23F24EDE"/>
    <w:rsid w:val="24092228"/>
    <w:rsid w:val="245F009A"/>
    <w:rsid w:val="24A3442A"/>
    <w:rsid w:val="256516E0"/>
    <w:rsid w:val="25867FD4"/>
    <w:rsid w:val="25C61B3D"/>
    <w:rsid w:val="25D86356"/>
    <w:rsid w:val="26AB75C6"/>
    <w:rsid w:val="271B4474"/>
    <w:rsid w:val="28090A48"/>
    <w:rsid w:val="29046AFF"/>
    <w:rsid w:val="29A62ABE"/>
    <w:rsid w:val="29D55086"/>
    <w:rsid w:val="2B5B780D"/>
    <w:rsid w:val="2BF33EE9"/>
    <w:rsid w:val="2CE455E0"/>
    <w:rsid w:val="2E2C723F"/>
    <w:rsid w:val="2EE713B8"/>
    <w:rsid w:val="2F316B28"/>
    <w:rsid w:val="2FB4573E"/>
    <w:rsid w:val="302503E9"/>
    <w:rsid w:val="30424C7D"/>
    <w:rsid w:val="30517430"/>
    <w:rsid w:val="30542A7D"/>
    <w:rsid w:val="31C84E47"/>
    <w:rsid w:val="31E5108C"/>
    <w:rsid w:val="32452FC5"/>
    <w:rsid w:val="327F0285"/>
    <w:rsid w:val="32851613"/>
    <w:rsid w:val="332B5D17"/>
    <w:rsid w:val="33843679"/>
    <w:rsid w:val="34164A7F"/>
    <w:rsid w:val="34655258"/>
    <w:rsid w:val="359F29EC"/>
    <w:rsid w:val="364A2958"/>
    <w:rsid w:val="377F2AD5"/>
    <w:rsid w:val="37963071"/>
    <w:rsid w:val="37BA58BB"/>
    <w:rsid w:val="389D1465"/>
    <w:rsid w:val="399A59A4"/>
    <w:rsid w:val="3A045513"/>
    <w:rsid w:val="3A4678DA"/>
    <w:rsid w:val="3BD3519D"/>
    <w:rsid w:val="3CBC20D5"/>
    <w:rsid w:val="3CDD2778"/>
    <w:rsid w:val="3D6267D9"/>
    <w:rsid w:val="3E3143FD"/>
    <w:rsid w:val="3EAE3E3D"/>
    <w:rsid w:val="3EF773F5"/>
    <w:rsid w:val="402210DC"/>
    <w:rsid w:val="40C652D1"/>
    <w:rsid w:val="40D7128C"/>
    <w:rsid w:val="41C87477"/>
    <w:rsid w:val="43397FDC"/>
    <w:rsid w:val="433B1FA6"/>
    <w:rsid w:val="434C41B3"/>
    <w:rsid w:val="43F00D00"/>
    <w:rsid w:val="44550E45"/>
    <w:rsid w:val="4496320C"/>
    <w:rsid w:val="450D7972"/>
    <w:rsid w:val="45244CBC"/>
    <w:rsid w:val="45321187"/>
    <w:rsid w:val="456F4189"/>
    <w:rsid w:val="45A1630C"/>
    <w:rsid w:val="4665558C"/>
    <w:rsid w:val="46BF4C9C"/>
    <w:rsid w:val="46F80C5B"/>
    <w:rsid w:val="472B2005"/>
    <w:rsid w:val="47C92205"/>
    <w:rsid w:val="48B14AB8"/>
    <w:rsid w:val="48C540C0"/>
    <w:rsid w:val="49F27137"/>
    <w:rsid w:val="4A1B043B"/>
    <w:rsid w:val="4A835FE1"/>
    <w:rsid w:val="4AB12B4E"/>
    <w:rsid w:val="4B59106A"/>
    <w:rsid w:val="4BB270BA"/>
    <w:rsid w:val="4C567E51"/>
    <w:rsid w:val="4D21045F"/>
    <w:rsid w:val="4D8C1650"/>
    <w:rsid w:val="4DC46494"/>
    <w:rsid w:val="4DEA6AA2"/>
    <w:rsid w:val="4E8F13F8"/>
    <w:rsid w:val="4F053468"/>
    <w:rsid w:val="4F11005F"/>
    <w:rsid w:val="4F310701"/>
    <w:rsid w:val="503264DF"/>
    <w:rsid w:val="50592E34"/>
    <w:rsid w:val="50D70E34"/>
    <w:rsid w:val="51087240"/>
    <w:rsid w:val="512F6EC2"/>
    <w:rsid w:val="51CD2963"/>
    <w:rsid w:val="51DC6676"/>
    <w:rsid w:val="51FC6DA4"/>
    <w:rsid w:val="525503FE"/>
    <w:rsid w:val="52A336C4"/>
    <w:rsid w:val="530D52E9"/>
    <w:rsid w:val="53544AC1"/>
    <w:rsid w:val="53FC12DE"/>
    <w:rsid w:val="54E35FFA"/>
    <w:rsid w:val="55191603"/>
    <w:rsid w:val="557E5D22"/>
    <w:rsid w:val="55BD4A9D"/>
    <w:rsid w:val="55D65B5E"/>
    <w:rsid w:val="55F83D27"/>
    <w:rsid w:val="577D2735"/>
    <w:rsid w:val="57EA58F1"/>
    <w:rsid w:val="591C7D2C"/>
    <w:rsid w:val="594B23BF"/>
    <w:rsid w:val="59930F48"/>
    <w:rsid w:val="59B41FB5"/>
    <w:rsid w:val="5A0013FC"/>
    <w:rsid w:val="5A272E2C"/>
    <w:rsid w:val="5A8147E1"/>
    <w:rsid w:val="5AE42ACB"/>
    <w:rsid w:val="5AFE3B8D"/>
    <w:rsid w:val="5AFF16B3"/>
    <w:rsid w:val="5B092532"/>
    <w:rsid w:val="5B152C85"/>
    <w:rsid w:val="5B9C6F02"/>
    <w:rsid w:val="5C514387"/>
    <w:rsid w:val="5C7834CB"/>
    <w:rsid w:val="5D4B0BE0"/>
    <w:rsid w:val="5DCA244C"/>
    <w:rsid w:val="5E4775F9"/>
    <w:rsid w:val="5E9860A7"/>
    <w:rsid w:val="5F9C492E"/>
    <w:rsid w:val="5FEB1311"/>
    <w:rsid w:val="604D64B1"/>
    <w:rsid w:val="60B8658C"/>
    <w:rsid w:val="61D07906"/>
    <w:rsid w:val="61F23D20"/>
    <w:rsid w:val="61F703D7"/>
    <w:rsid w:val="639D5F0D"/>
    <w:rsid w:val="63B75221"/>
    <w:rsid w:val="64370110"/>
    <w:rsid w:val="655A1765"/>
    <w:rsid w:val="65C53B7F"/>
    <w:rsid w:val="67105873"/>
    <w:rsid w:val="674A015A"/>
    <w:rsid w:val="68406D62"/>
    <w:rsid w:val="68BC5088"/>
    <w:rsid w:val="693B7D5A"/>
    <w:rsid w:val="696C260A"/>
    <w:rsid w:val="69B63885"/>
    <w:rsid w:val="69CE0BCF"/>
    <w:rsid w:val="6A9D38B2"/>
    <w:rsid w:val="6AD06BC8"/>
    <w:rsid w:val="6B543355"/>
    <w:rsid w:val="6BB452B4"/>
    <w:rsid w:val="6BBC6011"/>
    <w:rsid w:val="6CE93F71"/>
    <w:rsid w:val="6DF36E56"/>
    <w:rsid w:val="6F743FC6"/>
    <w:rsid w:val="70787CDC"/>
    <w:rsid w:val="70A46B2D"/>
    <w:rsid w:val="70D0347E"/>
    <w:rsid w:val="70DD5B9B"/>
    <w:rsid w:val="715916C6"/>
    <w:rsid w:val="717464FF"/>
    <w:rsid w:val="71D62D16"/>
    <w:rsid w:val="726522EC"/>
    <w:rsid w:val="72C76B03"/>
    <w:rsid w:val="730B69EF"/>
    <w:rsid w:val="73873564"/>
    <w:rsid w:val="749649DF"/>
    <w:rsid w:val="750D2EF3"/>
    <w:rsid w:val="759727BC"/>
    <w:rsid w:val="75A650F5"/>
    <w:rsid w:val="76D57A40"/>
    <w:rsid w:val="76DD06A3"/>
    <w:rsid w:val="773B361B"/>
    <w:rsid w:val="79052133"/>
    <w:rsid w:val="791A5BDE"/>
    <w:rsid w:val="79222CE5"/>
    <w:rsid w:val="797B1AFF"/>
    <w:rsid w:val="7A304F8E"/>
    <w:rsid w:val="7A342CD0"/>
    <w:rsid w:val="7AB21E46"/>
    <w:rsid w:val="7AEF4E49"/>
    <w:rsid w:val="7BDD2EF3"/>
    <w:rsid w:val="7BE14791"/>
    <w:rsid w:val="7BE73D72"/>
    <w:rsid w:val="7D95588D"/>
    <w:rsid w:val="7E8D6E52"/>
    <w:rsid w:val="7F3948E4"/>
    <w:rsid w:val="7F625BE9"/>
    <w:rsid w:val="7FAF9C8A"/>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link w:val="21"/>
    <w:qFormat/>
    <w:uiPriority w:val="9"/>
    <w:pPr>
      <w:keepNext/>
      <w:keepLines/>
      <w:numPr>
        <w:ilvl w:val="0"/>
        <w:numId w:val="1"/>
      </w:numPr>
      <w:spacing w:before="50" w:beforeLines="50" w:after="100" w:afterLines="100"/>
      <w:ind w:firstLineChars="0"/>
      <w:outlineLvl w:val="0"/>
    </w:pPr>
    <w:rPr>
      <w:rFonts w:eastAsia="宋体" w:asciiTheme="minorHAnsi" w:hAnsiTheme="minorHAnsi"/>
      <w:b/>
      <w:bCs/>
      <w:kern w:val="44"/>
      <w:sz w:val="28"/>
      <w:szCs w:val="44"/>
    </w:rPr>
  </w:style>
  <w:style w:type="paragraph" w:styleId="3">
    <w:name w:val="heading 2"/>
    <w:basedOn w:val="1"/>
    <w:next w:val="1"/>
    <w:unhideWhenUsed/>
    <w:qFormat/>
    <w:uiPriority w:val="9"/>
    <w:pPr>
      <w:keepNext/>
      <w:keepLines/>
      <w:numPr>
        <w:ilvl w:val="1"/>
        <w:numId w:val="1"/>
      </w:numPr>
      <w:spacing w:before="50" w:beforeLines="50" w:after="50" w:afterLines="50"/>
      <w:ind w:firstLineChars="0"/>
      <w:jc w:val="left"/>
      <w:outlineLvl w:val="1"/>
    </w:pPr>
    <w:rPr>
      <w:rFonts w:eastAsia="宋体" w:cstheme="majorBidi"/>
      <w:b/>
      <w:bCs/>
      <w:sz w:val="28"/>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autoRedefine/>
    <w:unhideWhenUsed/>
    <w:qFormat/>
    <w:uiPriority w:val="0"/>
    <w:pPr>
      <w:jc w:val="center"/>
    </w:pPr>
    <w:rPr>
      <w:rFonts w:ascii="Arial" w:hAnsi="Arial" w:eastAsia="黑体"/>
      <w:sz w:val="18"/>
    </w:rPr>
  </w:style>
  <w:style w:type="paragraph" w:styleId="5">
    <w:name w:val="annotation text"/>
    <w:basedOn w:val="1"/>
    <w:link w:val="19"/>
    <w:autoRedefine/>
    <w:qFormat/>
    <w:uiPriority w:val="0"/>
    <w:pPr>
      <w:jc w:val="left"/>
    </w:pPr>
  </w:style>
  <w:style w:type="paragraph" w:styleId="6">
    <w:name w:val="footer"/>
    <w:basedOn w:val="1"/>
    <w:link w:val="16"/>
    <w:autoRedefine/>
    <w:qFormat/>
    <w:uiPriority w:val="0"/>
    <w:pPr>
      <w:tabs>
        <w:tab w:val="center" w:pos="4153"/>
        <w:tab w:val="right" w:pos="8306"/>
      </w:tabs>
      <w:snapToGrid w:val="0"/>
      <w:spacing w:line="240" w:lineRule="auto"/>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7"/>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5"/>
    <w:next w:val="5"/>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annotation reference"/>
    <w:basedOn w:val="12"/>
    <w:autoRedefine/>
    <w:qFormat/>
    <w:uiPriority w:val="0"/>
    <w:rPr>
      <w:sz w:val="21"/>
      <w:szCs w:val="21"/>
    </w:rPr>
  </w:style>
  <w:style w:type="character" w:customStyle="1" w:styleId="15">
    <w:name w:val="页眉 字符"/>
    <w:basedOn w:val="12"/>
    <w:link w:val="7"/>
    <w:autoRedefine/>
    <w:qFormat/>
    <w:uiPriority w:val="0"/>
    <w:rPr>
      <w:rFonts w:eastAsia="仿宋" w:cstheme="minorBidi"/>
      <w:kern w:val="2"/>
      <w:sz w:val="18"/>
      <w:szCs w:val="18"/>
    </w:rPr>
  </w:style>
  <w:style w:type="character" w:customStyle="1" w:styleId="16">
    <w:name w:val="页脚 字符"/>
    <w:basedOn w:val="12"/>
    <w:link w:val="6"/>
    <w:autoRedefine/>
    <w:qFormat/>
    <w:uiPriority w:val="0"/>
    <w:rPr>
      <w:rFonts w:eastAsia="仿宋" w:cstheme="minorBidi"/>
      <w:kern w:val="2"/>
      <w:sz w:val="18"/>
      <w:szCs w:val="18"/>
    </w:rPr>
  </w:style>
  <w:style w:type="character" w:customStyle="1" w:styleId="17">
    <w:name w:val="标题 字符"/>
    <w:basedOn w:val="12"/>
    <w:link w:val="8"/>
    <w:autoRedefine/>
    <w:qFormat/>
    <w:uiPriority w:val="0"/>
    <w:rPr>
      <w:rFonts w:asciiTheme="majorHAnsi" w:hAnsiTheme="majorHAnsi" w:eastAsiaTheme="majorEastAsia" w:cstheme="majorBidi"/>
      <w:b/>
      <w:bCs/>
      <w:kern w:val="2"/>
      <w:sz w:val="32"/>
      <w:szCs w:val="32"/>
    </w:rPr>
  </w:style>
  <w:style w:type="paragraph" w:customStyle="1" w:styleId="18">
    <w:name w:val="表题注格式"/>
    <w:basedOn w:val="1"/>
    <w:autoRedefine/>
    <w:qFormat/>
    <w:uiPriority w:val="0"/>
    <w:pPr>
      <w:keepNext/>
      <w:spacing w:line="240" w:lineRule="auto"/>
      <w:ind w:firstLine="0" w:firstLineChars="0"/>
      <w:jc w:val="center"/>
    </w:pPr>
    <w:rPr>
      <w:rFonts w:ascii="黑体" w:eastAsia="黑体" w:cs="Times New Roman"/>
      <w:sz w:val="20"/>
      <w:szCs w:val="20"/>
    </w:rPr>
  </w:style>
  <w:style w:type="character" w:customStyle="1" w:styleId="19">
    <w:name w:val="批注文字 字符"/>
    <w:basedOn w:val="12"/>
    <w:link w:val="5"/>
    <w:autoRedefine/>
    <w:qFormat/>
    <w:uiPriority w:val="0"/>
    <w:rPr>
      <w:rFonts w:eastAsia="仿宋" w:cstheme="minorBidi"/>
      <w:kern w:val="2"/>
      <w:sz w:val="24"/>
      <w:szCs w:val="24"/>
    </w:rPr>
  </w:style>
  <w:style w:type="character" w:customStyle="1" w:styleId="20">
    <w:name w:val="批注主题 字符"/>
    <w:basedOn w:val="19"/>
    <w:link w:val="9"/>
    <w:autoRedefine/>
    <w:qFormat/>
    <w:uiPriority w:val="0"/>
    <w:rPr>
      <w:rFonts w:eastAsia="仿宋" w:cstheme="minorBidi"/>
      <w:b/>
      <w:bCs/>
      <w:kern w:val="2"/>
      <w:sz w:val="24"/>
      <w:szCs w:val="24"/>
    </w:rPr>
  </w:style>
  <w:style w:type="character" w:customStyle="1" w:styleId="21">
    <w:name w:val="标题 1 Char"/>
    <w:link w:val="2"/>
    <w:autoRedefine/>
    <w:qFormat/>
    <w:uiPriority w:val="9"/>
    <w:rPr>
      <w:rFonts w:eastAsia="宋体" w:asciiTheme="minorHAnsi" w:hAnsiTheme="minorHAnsi"/>
      <w:b/>
      <w:bCs/>
      <w:kern w:val="44"/>
      <w:sz w:val="28"/>
      <w:szCs w:val="44"/>
    </w:rPr>
  </w:style>
  <w:style w:type="character" w:customStyle="1" w:styleId="22">
    <w:name w:val="font51"/>
    <w:basedOn w:val="12"/>
    <w:qFormat/>
    <w:uiPriority w:val="0"/>
    <w:rPr>
      <w:rFonts w:hint="default" w:ascii="Times New Roman" w:hAnsi="Times New Roman" w:cs="Times New Roman"/>
      <w:color w:val="000000"/>
      <w:sz w:val="21"/>
      <w:szCs w:val="21"/>
      <w:u w:val="none"/>
    </w:rPr>
  </w:style>
  <w:style w:type="character" w:customStyle="1" w:styleId="23">
    <w:name w:val="font41"/>
    <w:basedOn w:val="12"/>
    <w:qFormat/>
    <w:uiPriority w:val="0"/>
    <w:rPr>
      <w:rFonts w:hint="eastAsia" w:ascii="仿宋" w:hAnsi="仿宋" w:eastAsia="仿宋" w:cs="仿宋"/>
      <w:color w:val="000000"/>
      <w:sz w:val="21"/>
      <w:szCs w:val="21"/>
      <w:u w:val="none"/>
    </w:rPr>
  </w:style>
  <w:style w:type="character" w:customStyle="1" w:styleId="24">
    <w:name w:val="font31"/>
    <w:basedOn w:val="12"/>
    <w:qFormat/>
    <w:uiPriority w:val="0"/>
    <w:rPr>
      <w:rFonts w:hint="default" w:ascii="Times New Roman" w:hAnsi="Times New Roman" w:cs="Times New Roman"/>
      <w:color w:val="000000"/>
      <w:sz w:val="21"/>
      <w:szCs w:val="21"/>
      <w:u w:val="none"/>
    </w:rPr>
  </w:style>
  <w:style w:type="character" w:customStyle="1" w:styleId="25">
    <w:name w:val="font21"/>
    <w:basedOn w:val="12"/>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chart" Target="charts/chart3.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chart" Target="charts/chart2.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file:///F:\&#21512;&#21516;&#31867;&#25991;&#20214;\&#23454;&#26045;\&#27733;&#23614;&#23548;&#33322;+&#31616;&#25253;\&#31616;&#25253;\&#31616;&#25253;&#25968;&#25454;&#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1512;&#21516;&#31867;&#25991;&#20214;\&#23454;&#26045;\&#27733;&#23614;&#23548;&#33322;+&#31616;&#25253;\&#31616;&#25253;\&#34676;&#34678;&#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1512;&#21516;&#31867;&#25991;&#20214;\&#23454;&#26045;\&#27733;&#23614;&#23548;&#33322;+&#31616;&#25253;\&#31616;&#25253;\&#34676;&#34678;&#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1512;&#21516;&#31867;&#25991;&#20214;\&#23454;&#26045;\&#27733;&#23614;&#23548;&#33322;+&#31616;&#25253;\&#31616;&#25253;\&#31616;&#25253;&#25968;&#25454;&#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1512;&#21516;&#31867;&#25991;&#20214;\&#23454;&#26045;\&#27733;&#23614;&#23548;&#33322;+&#31616;&#25253;\&#31616;&#25253;\&#31616;&#25253;&#25968;&#25454;&#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1512;&#21516;&#31867;&#25991;&#20214;\&#23454;&#26045;\&#27733;&#23614;&#23548;&#33322;+&#31616;&#25253;\&#31616;&#25253;\&#31616;&#25253;&#25968;&#25454;&#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16578947368421"/>
          <c:y val="0.107586798114016"/>
          <c:w val="0.934394736842105"/>
          <c:h val="0.655465066438063"/>
        </c:manualLayout>
      </c:layout>
      <c:lineChart>
        <c:grouping val="standard"/>
        <c:varyColors val="0"/>
        <c:ser>
          <c:idx val="0"/>
          <c:order val="0"/>
          <c:tx>
            <c:strRef>
              <c:f>'[简报数据图表.xlsx]1'!$B$24</c:f>
              <c:strCache>
                <c:ptCount val="1"/>
                <c:pt idx="0">
                  <c:v>专利申请量</c:v>
                </c:pt>
              </c:strCache>
            </c:strRef>
          </c:tx>
          <c:spPr>
            <a:ln w="28575" cap="rnd">
              <a:solidFill>
                <a:schemeClr val="accent1"/>
              </a:solidFill>
              <a:round/>
            </a:ln>
            <a:effectLst>
              <a:outerShdw blurRad="50800" dist="38100" dir="5400000" algn="t" rotWithShape="0">
                <a:prstClr val="black">
                  <a:alpha val="40000"/>
                </a:prstClr>
              </a:outerShdw>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layout>
                <c:manualLayout>
                  <c:x val="-0.0212895377128954"/>
                  <c:y val="-0.072438919845692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8"/>
              <c:delete val="1"/>
            </c:dLbl>
            <c:dLbl>
              <c:idx val="19"/>
              <c:delete val="1"/>
            </c:dLbl>
            <c:dLbl>
              <c:idx val="2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'[简报数据图表.xlsx]1'!$A$25:$A$45</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'[简报数据图表.xlsx]1'!$B$25:$B$45</c:f>
              <c:numCache>
                <c:formatCode>General</c:formatCode>
                <c:ptCount val="21"/>
                <c:pt idx="0">
                  <c:v>32</c:v>
                </c:pt>
                <c:pt idx="1">
                  <c:v>40</c:v>
                </c:pt>
                <c:pt idx="2">
                  <c:v>56</c:v>
                </c:pt>
                <c:pt idx="3">
                  <c:v>82</c:v>
                </c:pt>
                <c:pt idx="4">
                  <c:v>102</c:v>
                </c:pt>
                <c:pt idx="5">
                  <c:v>120</c:v>
                </c:pt>
                <c:pt idx="6">
                  <c:v>141</c:v>
                </c:pt>
                <c:pt idx="7">
                  <c:v>164</c:v>
                </c:pt>
                <c:pt idx="8">
                  <c:v>227</c:v>
                </c:pt>
                <c:pt idx="9">
                  <c:v>282</c:v>
                </c:pt>
                <c:pt idx="10">
                  <c:v>341</c:v>
                </c:pt>
                <c:pt idx="11">
                  <c:v>344</c:v>
                </c:pt>
                <c:pt idx="12">
                  <c:v>460</c:v>
                </c:pt>
                <c:pt idx="13">
                  <c:v>510</c:v>
                </c:pt>
                <c:pt idx="14">
                  <c:v>463</c:v>
                </c:pt>
                <c:pt idx="15">
                  <c:v>458</c:v>
                </c:pt>
                <c:pt idx="16">
                  <c:v>537</c:v>
                </c:pt>
                <c:pt idx="17">
                  <c:v>608</c:v>
                </c:pt>
                <c:pt idx="18">
                  <c:v>547</c:v>
                </c:pt>
                <c:pt idx="19">
                  <c:v>512</c:v>
                </c:pt>
                <c:pt idx="20">
                  <c:v>147</c:v>
                </c:pt>
              </c:numCache>
            </c:numRef>
          </c:val>
          <c:smooth val="0"/>
        </c:ser>
        <c:ser>
          <c:idx val="1"/>
          <c:order val="1"/>
          <c:tx>
            <c:strRef>
              <c:f>'[简报数据图表.xlsx]1'!$C$24</c:f>
              <c:strCache>
                <c:ptCount val="1"/>
                <c:pt idx="0">
                  <c:v>专利授权量</c:v>
                </c:pt>
              </c:strCache>
            </c:strRef>
          </c:tx>
          <c:spPr>
            <a:ln w="28575" cap="rnd">
              <a:solidFill>
                <a:schemeClr val="accent3"/>
              </a:solidFill>
              <a:round/>
            </a:ln>
            <a:effectLst>
              <a:outerShdw blurRad="50800" dist="38100" dir="5400000" algn="t" rotWithShape="0">
                <a:prstClr val="black">
                  <a:alpha val="40000"/>
                </a:prstClr>
              </a:outerShdw>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layout>
                <c:manualLayout>
                  <c:x val="-0.0411192214111922"/>
                  <c:y val="-0.05079297042434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9"/>
              <c:delete val="1"/>
            </c:dLbl>
            <c:dLbl>
              <c:idx val="2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'[简报数据图表.xlsx]1'!$A$25:$A$45</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'[简报数据图表.xlsx]1'!$C$25:$C$45</c:f>
              <c:numCache>
                <c:formatCode>General</c:formatCode>
                <c:ptCount val="21"/>
                <c:pt idx="0">
                  <c:v>15</c:v>
                </c:pt>
                <c:pt idx="1">
                  <c:v>26</c:v>
                </c:pt>
                <c:pt idx="2">
                  <c:v>25</c:v>
                </c:pt>
                <c:pt idx="3">
                  <c:v>40</c:v>
                </c:pt>
                <c:pt idx="4">
                  <c:v>63</c:v>
                </c:pt>
                <c:pt idx="5">
                  <c:v>65</c:v>
                </c:pt>
                <c:pt idx="6">
                  <c:v>106</c:v>
                </c:pt>
                <c:pt idx="7">
                  <c:v>106</c:v>
                </c:pt>
                <c:pt idx="8">
                  <c:v>135</c:v>
                </c:pt>
                <c:pt idx="9">
                  <c:v>186</c:v>
                </c:pt>
                <c:pt idx="10">
                  <c:v>259</c:v>
                </c:pt>
                <c:pt idx="11">
                  <c:v>237</c:v>
                </c:pt>
                <c:pt idx="12">
                  <c:v>251</c:v>
                </c:pt>
                <c:pt idx="13">
                  <c:v>332</c:v>
                </c:pt>
                <c:pt idx="14">
                  <c:v>331</c:v>
                </c:pt>
                <c:pt idx="15">
                  <c:v>301</c:v>
                </c:pt>
                <c:pt idx="16">
                  <c:v>293</c:v>
                </c:pt>
                <c:pt idx="17">
                  <c:v>435</c:v>
                </c:pt>
                <c:pt idx="18">
                  <c:v>439</c:v>
                </c:pt>
                <c:pt idx="19">
                  <c:v>365</c:v>
                </c:pt>
                <c:pt idx="20">
                  <c:v>307</c:v>
                </c:pt>
              </c:numCache>
            </c:numRef>
          </c:val>
          <c:smooth val="0"/>
        </c:ser>
        <c:dLbls>
          <c:showLegendKey val="0"/>
          <c:showVal val="0"/>
          <c:showCatName val="0"/>
          <c:showSerName val="0"/>
          <c:showPercent val="0"/>
          <c:showBubbleSize val="0"/>
        </c:dLbls>
        <c:marker val="0"/>
        <c:smooth val="0"/>
        <c:axId val="969608140"/>
        <c:axId val="924501781"/>
      </c:lineChart>
      <c:catAx>
        <c:axId val="9696081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crossAx val="924501781"/>
        <c:crosses val="autoZero"/>
        <c:auto val="1"/>
        <c:lblAlgn val="ctr"/>
        <c:lblOffset val="100"/>
        <c:noMultiLvlLbl val="0"/>
      </c:catAx>
      <c:valAx>
        <c:axId val="92450178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crossAx val="96960814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658626506024096"/>
          <c:y val="0.04296875"/>
          <c:w val="0.314867469879518"/>
          <c:h val="0.8634765625"/>
        </c:manualLayout>
      </c:layout>
      <c:barChart>
        <c:barDir val="bar"/>
        <c:grouping val="clustered"/>
        <c:varyColors val="0"/>
        <c:ser>
          <c:idx val="0"/>
          <c:order val="0"/>
          <c:tx>
            <c:strRef>
              <c:f>[蝴蝶图.xlsx]草稿!$F$101</c:f>
              <c:strCache>
                <c:ptCount val="1"/>
                <c:pt idx="0">
                  <c:v>专利授权量</c:v>
                </c:pt>
              </c:strCache>
            </c:strRef>
          </c:tx>
          <c:spPr>
            <a:solidFill>
              <a:schemeClr val="accent1">
                <a:lumMod val="75000"/>
              </a:schemeClr>
            </a:solidFill>
            <a:ln>
              <a:noFill/>
            </a:ln>
            <a:effectLst/>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北京市</c:v>
                </c:pt>
                <c:pt idx="1">
                  <c:v>山东省</c:v>
                </c:pt>
                <c:pt idx="2">
                  <c:v>天津市</c:v>
                </c:pt>
                <c:pt idx="3">
                  <c:v>广东省</c:v>
                </c:pt>
                <c:pt idx="4">
                  <c:v>江苏省</c:v>
                </c:pt>
                <c:pt idx="5">
                  <c:v>上海市</c:v>
                </c:pt>
                <c:pt idx="6">
                  <c:v>辽宁省</c:v>
                </c:pt>
                <c:pt idx="7">
                  <c:v>浙江省</c:v>
                </c:pt>
                <c:pt idx="8">
                  <c:v>四川省</c:v>
                </c:pt>
                <c:pt idx="9">
                  <c:v>陕西省</c:v>
                </c:pt>
              </c:strCache>
            </c:strRef>
          </c:cat>
          <c:val>
            <c:numRef>
              <c:f>[蝴蝶图.xlsx]草稿!$F$102:$F$111</c:f>
              <c:numCache>
                <c:formatCode>General</c:formatCode>
                <c:ptCount val="10"/>
                <c:pt idx="0">
                  <c:v>772</c:v>
                </c:pt>
                <c:pt idx="1">
                  <c:v>604</c:v>
                </c:pt>
                <c:pt idx="2">
                  <c:v>510</c:v>
                </c:pt>
                <c:pt idx="3">
                  <c:v>416</c:v>
                </c:pt>
                <c:pt idx="4">
                  <c:v>389</c:v>
                </c:pt>
                <c:pt idx="5">
                  <c:v>310</c:v>
                </c:pt>
                <c:pt idx="6">
                  <c:v>305</c:v>
                </c:pt>
                <c:pt idx="7">
                  <c:v>204</c:v>
                </c:pt>
                <c:pt idx="8">
                  <c:v>164</c:v>
                </c:pt>
                <c:pt idx="9">
                  <c:v>170</c:v>
                </c:pt>
              </c:numCache>
            </c:numRef>
          </c:val>
        </c:ser>
        <c:ser>
          <c:idx val="1"/>
          <c:order val="1"/>
          <c:tx>
            <c:strRef>
              <c:f>[蝴蝶图.xlsx]草稿!$G$101</c:f>
              <c:strCache>
                <c:ptCount val="1"/>
                <c:pt idx="0">
                  <c:v>专利申请量</c:v>
                </c:pt>
              </c:strCache>
            </c:strRef>
          </c:tx>
          <c:spPr>
            <a:solidFill>
              <a:schemeClr val="accent1">
                <a:tint val="76667"/>
              </a:schemeClr>
            </a:solidFill>
            <a:ln>
              <a:noFill/>
            </a:ln>
            <a:effectLst/>
          </c:spPr>
          <c:invertIfNegative val="0"/>
          <c:dLbls>
            <c:dLbl>
              <c:idx val="0"/>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北京市</c:v>
                </c:pt>
                <c:pt idx="1">
                  <c:v>山东省</c:v>
                </c:pt>
                <c:pt idx="2">
                  <c:v>天津市</c:v>
                </c:pt>
                <c:pt idx="3">
                  <c:v>广东省</c:v>
                </c:pt>
                <c:pt idx="4">
                  <c:v>江苏省</c:v>
                </c:pt>
                <c:pt idx="5">
                  <c:v>上海市</c:v>
                </c:pt>
                <c:pt idx="6">
                  <c:v>辽宁省</c:v>
                </c:pt>
                <c:pt idx="7">
                  <c:v>浙江省</c:v>
                </c:pt>
                <c:pt idx="8">
                  <c:v>四川省</c:v>
                </c:pt>
                <c:pt idx="9">
                  <c:v>陕西省</c:v>
                </c:pt>
              </c:strCache>
            </c:strRef>
          </c:cat>
          <c:val>
            <c:numRef>
              <c:f>[蝴蝶图.xlsx]草稿!$G$102:$G$111</c:f>
              <c:numCache>
                <c:formatCode>General</c:formatCode>
                <c:ptCount val="10"/>
                <c:pt idx="0">
                  <c:v>-1113</c:v>
                </c:pt>
                <c:pt idx="1">
                  <c:v>-834</c:v>
                </c:pt>
                <c:pt idx="2">
                  <c:v>-702</c:v>
                </c:pt>
                <c:pt idx="3">
                  <c:v>-618</c:v>
                </c:pt>
                <c:pt idx="4">
                  <c:v>-603</c:v>
                </c:pt>
                <c:pt idx="5">
                  <c:v>-480</c:v>
                </c:pt>
                <c:pt idx="6">
                  <c:v>-382</c:v>
                </c:pt>
                <c:pt idx="7">
                  <c:v>-288</c:v>
                </c:pt>
                <c:pt idx="8">
                  <c:v>-238</c:v>
                </c:pt>
                <c:pt idx="9">
                  <c:v>-227</c:v>
                </c:pt>
              </c:numCache>
            </c:numRef>
          </c:val>
          <c:extLst>
            <c:ext xmlns:c15="http://schemas.microsoft.com/office/drawing/2012/chart" uri="{02D57815-91ED-43cb-92C2-25804820EDAC}">
              <c15:datalabelsRange>
                <c15:f>草稿!$E$102:$E$111</c15:f>
                <c15:dlblRangeCache>
                  <c:ptCount val="10"/>
                  <c:pt idx="0">
                    <c:v>1113</c:v>
                  </c:pt>
                  <c:pt idx="1">
                    <c:v>834</c:v>
                  </c:pt>
                  <c:pt idx="2">
                    <c:v>702</c:v>
                  </c:pt>
                  <c:pt idx="3">
                    <c:v>618</c:v>
                  </c:pt>
                  <c:pt idx="4">
                    <c:v>603</c:v>
                  </c:pt>
                  <c:pt idx="5">
                    <c:v>480</c:v>
                  </c:pt>
                  <c:pt idx="6">
                    <c:v>382</c:v>
                  </c:pt>
                  <c:pt idx="7">
                    <c:v>288</c:v>
                  </c:pt>
                  <c:pt idx="8">
                    <c:v>238</c:v>
                  </c:pt>
                  <c:pt idx="9">
                    <c:v>227</c:v>
                  </c:pt>
                </c15:dlblRangeCache>
              </c15:datalabelsRange>
            </c:ext>
          </c:extLst>
        </c:ser>
        <c:dLbls>
          <c:showLegendKey val="0"/>
          <c:showVal val="1"/>
          <c:showCatName val="0"/>
          <c:showSerName val="0"/>
          <c:showPercent val="0"/>
          <c:showBubbleSize val="0"/>
        </c:dLbls>
        <c:gapWidth val="128"/>
        <c:overlap val="100"/>
        <c:axId val="543150360"/>
        <c:axId val="545351698"/>
      </c:barChart>
      <c:catAx>
        <c:axId val="543150360"/>
        <c:scaling>
          <c:orientation val="maxMin"/>
        </c:scaling>
        <c:delete val="0"/>
        <c:axPos val="l"/>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5351698"/>
        <c:crosses val="autoZero"/>
        <c:auto val="1"/>
        <c:lblAlgn val="ctr"/>
        <c:lblOffset val="100"/>
        <c:noMultiLvlLbl val="0"/>
      </c:catAx>
      <c:valAx>
        <c:axId val="545351698"/>
        <c:scaling>
          <c:orientation val="minMax"/>
        </c:scaling>
        <c:delete val="1"/>
        <c:axPos val="t"/>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31503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688975903614458"/>
          <c:y val="0.9291015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900" b="0">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651036144578313"/>
          <c:y val="0.04296875"/>
          <c:w val="0.322457831325301"/>
          <c:h val="0.869140625"/>
        </c:manualLayout>
      </c:layout>
      <c:barChart>
        <c:barDir val="bar"/>
        <c:grouping val="clustered"/>
        <c:varyColors val="0"/>
        <c:ser>
          <c:idx val="0"/>
          <c:order val="0"/>
          <c:tx>
            <c:strRef>
              <c:f>[蝴蝶图.xlsx]草稿!$F$101</c:f>
              <c:strCache>
                <c:ptCount val="1"/>
                <c:pt idx="0">
                  <c:v>专利授权量</c:v>
                </c:pt>
              </c:strCache>
            </c:strRef>
          </c:tx>
          <c:spPr>
            <a:solidFill>
              <a:schemeClr val="accent1">
                <a:shade val="76667"/>
              </a:schemeClr>
            </a:solidFill>
            <a:ln>
              <a:noFill/>
            </a:ln>
            <a:effectLst/>
          </c:spPr>
          <c:invertIfNegative val="0"/>
          <c:dPt>
            <c:idx val="0"/>
            <c:invertIfNegative val="0"/>
            <c:bubble3D val="0"/>
            <c:spPr>
              <a:solidFill>
                <a:schemeClr val="accent1">
                  <a:lumMod val="75000"/>
                </a:schemeClr>
              </a:solidFill>
              <a:ln>
                <a:noFill/>
              </a:ln>
              <a:effectLst/>
            </c:spPr>
          </c:dPt>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广州市</c:v>
                </c:pt>
                <c:pt idx="1">
                  <c:v>深圳市</c:v>
                </c:pt>
                <c:pt idx="2">
                  <c:v>湛江市</c:v>
                </c:pt>
                <c:pt idx="3">
                  <c:v>珠海市</c:v>
                </c:pt>
                <c:pt idx="4">
                  <c:v>佛山市</c:v>
                </c:pt>
                <c:pt idx="5">
                  <c:v>东莞市</c:v>
                </c:pt>
                <c:pt idx="6">
                  <c:v>中山市</c:v>
                </c:pt>
                <c:pt idx="7">
                  <c:v>惠州市</c:v>
                </c:pt>
                <c:pt idx="8">
                  <c:v>江门市</c:v>
                </c:pt>
                <c:pt idx="9">
                  <c:v>揭阳市</c:v>
                </c:pt>
              </c:strCache>
            </c:strRef>
          </c:cat>
          <c:val>
            <c:numRef>
              <c:f>[蝴蝶图.xlsx]草稿!$F$102:$F$111</c:f>
              <c:numCache>
                <c:formatCode>General</c:formatCode>
                <c:ptCount val="10"/>
                <c:pt idx="0">
                  <c:v>139</c:v>
                </c:pt>
                <c:pt idx="1">
                  <c:v>124</c:v>
                </c:pt>
                <c:pt idx="2">
                  <c:v>60</c:v>
                </c:pt>
                <c:pt idx="3">
                  <c:v>32</c:v>
                </c:pt>
                <c:pt idx="4">
                  <c:v>27</c:v>
                </c:pt>
                <c:pt idx="5">
                  <c:v>21</c:v>
                </c:pt>
                <c:pt idx="6">
                  <c:v>12</c:v>
                </c:pt>
                <c:pt idx="7">
                  <c:v>9</c:v>
                </c:pt>
                <c:pt idx="8">
                  <c:v>2</c:v>
                </c:pt>
                <c:pt idx="9">
                  <c:v>1</c:v>
                </c:pt>
              </c:numCache>
            </c:numRef>
          </c:val>
        </c:ser>
        <c:ser>
          <c:idx val="1"/>
          <c:order val="1"/>
          <c:tx>
            <c:strRef>
              <c:f>[蝴蝶图.xlsx]草稿!$G$101</c:f>
              <c:strCache>
                <c:ptCount val="1"/>
                <c:pt idx="0">
                  <c:v>专利申请量</c:v>
                </c:pt>
              </c:strCache>
            </c:strRef>
          </c:tx>
          <c:spPr>
            <a:solidFill>
              <a:schemeClr val="accent1">
                <a:tint val="76667"/>
              </a:schemeClr>
            </a:solidFill>
            <a:ln>
              <a:noFill/>
            </a:ln>
            <a:effectLst/>
          </c:spPr>
          <c:invertIfNegative val="0"/>
          <c:dLbls>
            <c:dLbl>
              <c:idx val="0"/>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[蝴蝶图.xlsx]草稿!$D$102:$D$111</c:f>
              <c:strCache>
                <c:ptCount val="10"/>
                <c:pt idx="0">
                  <c:v>广州市</c:v>
                </c:pt>
                <c:pt idx="1">
                  <c:v>深圳市</c:v>
                </c:pt>
                <c:pt idx="2">
                  <c:v>湛江市</c:v>
                </c:pt>
                <c:pt idx="3">
                  <c:v>珠海市</c:v>
                </c:pt>
                <c:pt idx="4">
                  <c:v>佛山市</c:v>
                </c:pt>
                <c:pt idx="5">
                  <c:v>东莞市</c:v>
                </c:pt>
                <c:pt idx="6">
                  <c:v>中山市</c:v>
                </c:pt>
                <c:pt idx="7">
                  <c:v>惠州市</c:v>
                </c:pt>
                <c:pt idx="8">
                  <c:v>江门市</c:v>
                </c:pt>
                <c:pt idx="9">
                  <c:v>揭阳市</c:v>
                </c:pt>
              </c:strCache>
            </c:strRef>
          </c:cat>
          <c:val>
            <c:numRef>
              <c:f>[蝴蝶图.xlsx]草稿!$G$102:$G$111</c:f>
              <c:numCache>
                <c:formatCode>General</c:formatCode>
                <c:ptCount val="10"/>
                <c:pt idx="0">
                  <c:v>-212</c:v>
                </c:pt>
                <c:pt idx="1">
                  <c:v>-196</c:v>
                </c:pt>
                <c:pt idx="2">
                  <c:v>-88</c:v>
                </c:pt>
                <c:pt idx="3">
                  <c:v>-39</c:v>
                </c:pt>
                <c:pt idx="4">
                  <c:v>-37</c:v>
                </c:pt>
                <c:pt idx="5">
                  <c:v>-31</c:v>
                </c:pt>
                <c:pt idx="6">
                  <c:v>-14</c:v>
                </c:pt>
                <c:pt idx="7">
                  <c:v>-9</c:v>
                </c:pt>
                <c:pt idx="8">
                  <c:v>-3</c:v>
                </c:pt>
                <c:pt idx="9">
                  <c:v>-1</c:v>
                </c:pt>
              </c:numCache>
            </c:numRef>
          </c:val>
          <c:extLst>
            <c:ext xmlns:c15="http://schemas.microsoft.com/office/drawing/2012/chart" uri="{02D57815-91ED-43cb-92C2-25804820EDAC}">
              <c15:datalabelsRange>
                <c15:f>草稿!$E$102:$E$111</c15:f>
                <c15:dlblRangeCache>
                  <c:ptCount val="10"/>
                  <c:pt idx="0">
                    <c:v>212</c:v>
                  </c:pt>
                  <c:pt idx="1">
                    <c:v>196</c:v>
                  </c:pt>
                  <c:pt idx="2">
                    <c:v>88</c:v>
                  </c:pt>
                  <c:pt idx="3">
                    <c:v>39</c:v>
                  </c:pt>
                  <c:pt idx="4">
                    <c:v>37</c:v>
                  </c:pt>
                  <c:pt idx="5">
                    <c:v>31</c:v>
                  </c:pt>
                  <c:pt idx="6">
                    <c:v>14</c:v>
                  </c:pt>
                  <c:pt idx="7">
                    <c:v>9</c:v>
                  </c:pt>
                  <c:pt idx="8">
                    <c:v>3</c:v>
                  </c:pt>
                  <c:pt idx="9">
                    <c:v>1</c:v>
                  </c:pt>
                </c15:dlblRangeCache>
              </c15:datalabelsRange>
            </c:ext>
          </c:extLst>
        </c:ser>
        <c:dLbls>
          <c:showLegendKey val="0"/>
          <c:showVal val="1"/>
          <c:showCatName val="0"/>
          <c:showSerName val="0"/>
          <c:showPercent val="0"/>
          <c:showBubbleSize val="0"/>
        </c:dLbls>
        <c:gapWidth val="128"/>
        <c:overlap val="100"/>
        <c:axId val="543150360"/>
        <c:axId val="545351698"/>
      </c:barChart>
      <c:catAx>
        <c:axId val="543150360"/>
        <c:scaling>
          <c:orientation val="maxMin"/>
        </c:scaling>
        <c:delete val="0"/>
        <c:axPos val="l"/>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5351698"/>
        <c:crosses val="autoZero"/>
        <c:auto val="1"/>
        <c:lblAlgn val="ctr"/>
        <c:lblOffset val="100"/>
        <c:noMultiLvlLbl val="0"/>
      </c:catAx>
      <c:valAx>
        <c:axId val="545351698"/>
        <c:scaling>
          <c:orientation val="minMax"/>
        </c:scaling>
        <c:delete val="1"/>
        <c:axPos val="t"/>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31503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672349397590361"/>
          <c:y val="0.925781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900" b="0">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'[简报数据图表.xlsx]1'!$C$146</c:f>
              <c:strCache>
                <c:ptCount val="1"/>
                <c:pt idx="0">
                  <c:v>数量</c:v>
                </c:pt>
              </c:strCache>
            </c:strRef>
          </c:tx>
          <c:spPr>
            <a:solidFill>
              <a:schemeClr val="accent1">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'[简报数据图表.xlsx]1'!$B$147:$B$151</c:f>
              <c:strCache>
                <c:ptCount val="5"/>
                <c:pt idx="0">
                  <c:v>企事业单位</c:v>
                </c:pt>
                <c:pt idx="1">
                  <c:v>大专院校</c:v>
                </c:pt>
                <c:pt idx="2">
                  <c:v>个人</c:v>
                </c:pt>
                <c:pt idx="3">
                  <c:v>科研院所</c:v>
                </c:pt>
                <c:pt idx="4">
                  <c:v>机关团体</c:v>
                </c:pt>
              </c:strCache>
            </c:strRef>
          </c:cat>
          <c:val>
            <c:numRef>
              <c:f>'[简报数据图表.xlsx]1'!$C$147:$C$151</c:f>
              <c:numCache>
                <c:formatCode>General</c:formatCode>
                <c:ptCount val="5"/>
                <c:pt idx="0">
                  <c:v>4255</c:v>
                </c:pt>
                <c:pt idx="1">
                  <c:v>1140</c:v>
                </c:pt>
                <c:pt idx="2">
                  <c:v>666</c:v>
                </c:pt>
                <c:pt idx="3">
                  <c:v>422</c:v>
                </c:pt>
                <c:pt idx="4">
                  <c:v>153</c:v>
                </c:pt>
              </c:numCache>
            </c:numRef>
          </c:val>
        </c:ser>
        <c:dLbls>
          <c:showLegendKey val="0"/>
          <c:showVal val="1"/>
          <c:showCatName val="0"/>
          <c:showSerName val="0"/>
          <c:showPercent val="0"/>
          <c:showBubbleSize val="0"/>
        </c:dLbls>
        <c:gapWidth val="246"/>
        <c:overlap val="-28"/>
        <c:axId val="393147770"/>
        <c:axId val="868835098"/>
      </c:barChart>
      <c:catAx>
        <c:axId val="3931477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68835098"/>
        <c:crosses val="autoZero"/>
        <c:auto val="1"/>
        <c:lblAlgn val="ctr"/>
        <c:lblOffset val="100"/>
        <c:noMultiLvlLbl val="0"/>
      </c:catAx>
      <c:valAx>
        <c:axId val="86883509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931477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b="0">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'[简报数据图表.xlsx]1'!$B$135:$B$144</c:f>
              <c:strCache>
                <c:ptCount val="10"/>
                <c:pt idx="0">
                  <c:v>广州海洋地质调查局</c:v>
                </c:pt>
                <c:pt idx="1">
                  <c:v>宝鸡石油机械有限责任公司</c:v>
                </c:pt>
                <c:pt idx="2">
                  <c:v>大连船舶重工集团有限公司</c:v>
                </c:pt>
                <c:pt idx="3">
                  <c:v>西南石油大学</c:v>
                </c:pt>
                <c:pt idx="4">
                  <c:v>中海油研究总院</c:v>
                </c:pt>
                <c:pt idx="5">
                  <c:v>海洋石油工程股份有限公司</c:v>
                </c:pt>
                <c:pt idx="6">
                  <c:v>中国海洋石油集团有限公司</c:v>
                </c:pt>
                <c:pt idx="7">
                  <c:v>中国石油大学(华东)</c:v>
                </c:pt>
                <c:pt idx="8">
                  <c:v>中海油能源发展股份有限公司</c:v>
                </c:pt>
                <c:pt idx="9">
                  <c:v>中国海洋石油总公司</c:v>
                </c:pt>
              </c:strCache>
            </c:strRef>
          </c:cat>
          <c:val>
            <c:numRef>
              <c:f>'[简报数据图表.xlsx]1'!$C$135:$C$144</c:f>
              <c:numCache>
                <c:formatCode>General</c:formatCode>
                <c:ptCount val="10"/>
                <c:pt idx="0">
                  <c:v>63</c:v>
                </c:pt>
                <c:pt idx="1">
                  <c:v>66</c:v>
                </c:pt>
                <c:pt idx="2">
                  <c:v>70</c:v>
                </c:pt>
                <c:pt idx="3">
                  <c:v>76</c:v>
                </c:pt>
                <c:pt idx="4">
                  <c:v>86</c:v>
                </c:pt>
                <c:pt idx="5">
                  <c:v>103</c:v>
                </c:pt>
                <c:pt idx="6">
                  <c:v>131</c:v>
                </c:pt>
                <c:pt idx="7">
                  <c:v>141</c:v>
                </c:pt>
                <c:pt idx="8">
                  <c:v>149</c:v>
                </c:pt>
                <c:pt idx="9">
                  <c:v>300</c:v>
                </c:pt>
              </c:numCache>
            </c:numRef>
          </c:val>
        </c:ser>
        <c:dLbls>
          <c:showLegendKey val="0"/>
          <c:showVal val="1"/>
          <c:showCatName val="0"/>
          <c:showSerName val="0"/>
          <c:showPercent val="0"/>
          <c:showBubbleSize val="0"/>
        </c:dLbls>
        <c:gapWidth val="140"/>
        <c:overlap val="-40"/>
        <c:axId val="802141563"/>
        <c:axId val="961496413"/>
      </c:barChart>
      <c:catAx>
        <c:axId val="802141563"/>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61496413"/>
        <c:crosses val="autoZero"/>
        <c:auto val="1"/>
        <c:lblAlgn val="ctr"/>
        <c:lblOffset val="100"/>
        <c:noMultiLvlLbl val="0"/>
      </c:catAx>
      <c:valAx>
        <c:axId val="961496413"/>
        <c:scaling>
          <c:orientation val="minMax"/>
        </c:scaling>
        <c:delete val="0"/>
        <c:axPos val="b"/>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021415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40522276944222"/>
          <c:y val="0.016096307317733"/>
          <c:w val="0.756041690528004"/>
          <c:h val="0.874611118625727"/>
        </c:manualLayout>
      </c:layout>
      <c:bubbleChart>
        <c:varyColors val="0"/>
        <c:ser>
          <c:idx val="0"/>
          <c:order val="0"/>
          <c:tx>
            <c:strRef>
              <c:f>'[简报数据图表.xlsx]1气泡图'!$B$1</c:f>
              <c:strCache>
                <c:ptCount val="1"/>
                <c:pt idx="0">
                  <c:v>B63B35</c:v>
                </c:pt>
              </c:strCache>
            </c:strRef>
          </c:tx>
          <c:spPr>
            <a:solidFill>
              <a:schemeClr val="accent1">
                <a:shade val="40769"/>
                <a:alpha val="75000"/>
              </a:schemeClr>
            </a:solidFill>
            <a:ln>
              <a:noFill/>
            </a:ln>
            <a:effectLst/>
          </c:spPr>
          <c:invertIfNegative val="0"/>
          <c:dLbls>
            <c:delete val="1"/>
          </c:dLbls>
          <c:xVal>
            <c:numRef>
              <c:f>'[简报数据图表.xlsx]1气泡图'!$D$16:$D$25</c:f>
              <c:numCache>
                <c:formatCode>General</c:formatCode>
                <c:ptCount val="10"/>
                <c:pt idx="0">
                  <c:v>1</c:v>
                </c:pt>
                <c:pt idx="1">
                  <c:v>1</c:v>
                </c:pt>
                <c:pt idx="2">
                  <c:v>1</c:v>
                </c:pt>
                <c:pt idx="3">
                  <c:v>1</c:v>
                </c:pt>
                <c:pt idx="4">
                  <c:v>1</c:v>
                </c:pt>
                <c:pt idx="5">
                  <c:v>1</c:v>
                </c:pt>
                <c:pt idx="6">
                  <c:v>1</c:v>
                </c:pt>
                <c:pt idx="7">
                  <c:v>1</c:v>
                </c:pt>
                <c:pt idx="8">
                  <c:v>1</c:v>
                </c:pt>
                <c:pt idx="9">
                  <c:v>1</c:v>
                </c:pt>
              </c:numCache>
            </c:numRef>
          </c:xVal>
          <c:yVal>
            <c:numRef>
              <c:f>'[简报数据图表.xlsx]1气泡图'!$D$16:$N$16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'[简报数据图表.xlsx]1气泡图'!$B$2:$B$11</c:f>
              <c:numCache>
                <c:formatCode>General</c:formatCode>
                <c:ptCount val="10"/>
                <c:pt idx="0">
                  <c:v>52</c:v>
                </c:pt>
                <c:pt idx="1">
                  <c:v>13</c:v>
                </c:pt>
                <c:pt idx="2">
                  <c:v>1</c:v>
                </c:pt>
                <c:pt idx="3">
                  <c:v>19</c:v>
                </c:pt>
                <c:pt idx="4">
                  <c:v>25</c:v>
                </c:pt>
                <c:pt idx="5">
                  <c:v>28</c:v>
                </c:pt>
                <c:pt idx="6">
                  <c:v>5</c:v>
                </c:pt>
                <c:pt idx="7">
                  <c:v>27</c:v>
                </c:pt>
                <c:pt idx="8">
                  <c:v>2</c:v>
                </c:pt>
                <c:pt idx="9">
                  <c:v>0</c:v>
                </c:pt>
              </c:numCache>
            </c:numRef>
          </c:bubbleSize>
          <c:bubble3D val="0"/>
        </c:ser>
        <c:ser>
          <c:idx val="1"/>
          <c:order val="1"/>
          <c:tx>
            <c:strRef>
              <c:f>'[简报数据图表.xlsx]1气泡图'!$C$1</c:f>
              <c:strCache>
                <c:ptCount val="1"/>
                <c:pt idx="0">
                  <c:v>E21B7</c:v>
                </c:pt>
              </c:strCache>
            </c:strRef>
          </c:tx>
          <c:spPr>
            <a:solidFill>
              <a:schemeClr val="accent1">
                <a:shade val="51538"/>
                <a:alpha val="75000"/>
              </a:schemeClr>
            </a:solidFill>
            <a:ln>
              <a:noFill/>
            </a:ln>
            <a:effectLst/>
          </c:spPr>
          <c:invertIfNegative val="0"/>
          <c:dLbls>
            <c:delete val="1"/>
          </c:dLbls>
          <c:xVal>
            <c:numRef>
              <c:f>'[简报数据图表.xlsx]1气泡图'!$E$16:$E$25</c:f>
              <c:numCache>
                <c:formatCode>General</c:formatCode>
                <c:ptCount val="10"/>
                <c:pt idx="0">
                  <c:v>2</c:v>
                </c:pt>
                <c:pt idx="1">
                  <c:v>2</c:v>
                </c:pt>
                <c:pt idx="2">
                  <c:v>2</c:v>
                </c:pt>
                <c:pt idx="3">
                  <c:v>2</c:v>
                </c:pt>
                <c:pt idx="4">
                  <c:v>2</c:v>
                </c:pt>
                <c:pt idx="5">
                  <c:v>2</c:v>
                </c:pt>
                <c:pt idx="6">
                  <c:v>2</c:v>
                </c:pt>
                <c:pt idx="7">
                  <c:v>2</c:v>
                </c:pt>
                <c:pt idx="8">
                  <c:v>2</c:v>
                </c:pt>
                <c:pt idx="9">
                  <c:v>2</c:v>
                </c:pt>
              </c:numCache>
            </c:numRef>
          </c:xVal>
          <c:yVal>
            <c:numRef>
              <c:f>'[简报数据图表.xlsx]1气泡图'!$D$17:$N$17</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'[简报数据图表.xlsx]1气泡图'!$C$2:$C$11</c:f>
              <c:numCache>
                <c:formatCode>General</c:formatCode>
                <c:ptCount val="10"/>
                <c:pt idx="0">
                  <c:v>20</c:v>
                </c:pt>
                <c:pt idx="1">
                  <c:v>10</c:v>
                </c:pt>
                <c:pt idx="2">
                  <c:v>22</c:v>
                </c:pt>
                <c:pt idx="3">
                  <c:v>10</c:v>
                </c:pt>
                <c:pt idx="4">
                  <c:v>0</c:v>
                </c:pt>
                <c:pt idx="5">
                  <c:v>9</c:v>
                </c:pt>
                <c:pt idx="6">
                  <c:v>9</c:v>
                </c:pt>
                <c:pt idx="7">
                  <c:v>2</c:v>
                </c:pt>
                <c:pt idx="8">
                  <c:v>5</c:v>
                </c:pt>
                <c:pt idx="9">
                  <c:v>18</c:v>
                </c:pt>
              </c:numCache>
            </c:numRef>
          </c:bubbleSize>
          <c:bubble3D val="0"/>
        </c:ser>
        <c:ser>
          <c:idx val="2"/>
          <c:order val="2"/>
          <c:tx>
            <c:strRef>
              <c:f>'[简报数据图表.xlsx]1气泡图'!$D$1</c:f>
              <c:strCache>
                <c:ptCount val="1"/>
                <c:pt idx="0">
                  <c:v>E02B17</c:v>
                </c:pt>
              </c:strCache>
            </c:strRef>
          </c:tx>
          <c:spPr>
            <a:solidFill>
              <a:schemeClr val="accent1">
                <a:shade val="62308"/>
                <a:alpha val="75000"/>
              </a:schemeClr>
            </a:solidFill>
            <a:ln>
              <a:noFill/>
            </a:ln>
            <a:effectLst/>
          </c:spPr>
          <c:invertIfNegative val="0"/>
          <c:dLbls>
            <c:delete val="1"/>
          </c:dLbls>
          <c:xVal>
            <c:numRef>
              <c:f>'[简报数据图表.xlsx]1气泡图'!$F$16:$F$25</c:f>
              <c:numCache>
                <c:formatCode>General</c:formatCode>
                <c:ptCount val="10"/>
                <c:pt idx="0">
                  <c:v>3</c:v>
                </c:pt>
                <c:pt idx="1">
                  <c:v>3</c:v>
                </c:pt>
                <c:pt idx="2">
                  <c:v>3</c:v>
                </c:pt>
                <c:pt idx="3">
                  <c:v>3</c:v>
                </c:pt>
                <c:pt idx="4">
                  <c:v>3</c:v>
                </c:pt>
                <c:pt idx="5">
                  <c:v>3</c:v>
                </c:pt>
                <c:pt idx="6">
                  <c:v>3</c:v>
                </c:pt>
                <c:pt idx="7">
                  <c:v>3</c:v>
                </c:pt>
                <c:pt idx="8">
                  <c:v>3</c:v>
                </c:pt>
                <c:pt idx="9">
                  <c:v>3</c:v>
                </c:pt>
              </c:numCache>
            </c:numRef>
          </c:xVal>
          <c:yVal>
            <c:numRef>
              <c:f>'[简报数据图表.xlsx]1气泡图'!$D$18:$M$18</c:f>
              <c:numCache>
                <c:formatCode>General</c:formatCode>
                <c:ptCount val="10"/>
                <c:pt idx="0">
                  <c:v>1</c:v>
                </c:pt>
                <c:pt idx="1">
                  <c:v>2</c:v>
                </c:pt>
                <c:pt idx="2">
                  <c:v>3</c:v>
                </c:pt>
                <c:pt idx="3">
                  <c:v>4</c:v>
                </c:pt>
                <c:pt idx="4">
                  <c:v>5</c:v>
                </c:pt>
                <c:pt idx="5">
                  <c:v>6</c:v>
                </c:pt>
                <c:pt idx="6">
                  <c:v>7</c:v>
                </c:pt>
                <c:pt idx="7">
                  <c:v>8</c:v>
                </c:pt>
                <c:pt idx="8">
                  <c:v>9</c:v>
                </c:pt>
                <c:pt idx="9">
                  <c:v>10</c:v>
                </c:pt>
              </c:numCache>
            </c:numRef>
          </c:yVal>
          <c:bubbleSize>
            <c:numRef>
              <c:f>'[简报数据图表.xlsx]1气泡图'!$D$2:$D$11</c:f>
              <c:numCache>
                <c:formatCode>General</c:formatCode>
                <c:ptCount val="10"/>
                <c:pt idx="0">
                  <c:v>26</c:v>
                </c:pt>
                <c:pt idx="1">
                  <c:v>12</c:v>
                </c:pt>
                <c:pt idx="2">
                  <c:v>7</c:v>
                </c:pt>
                <c:pt idx="3">
                  <c:v>2</c:v>
                </c:pt>
                <c:pt idx="4">
                  <c:v>6</c:v>
                </c:pt>
                <c:pt idx="5">
                  <c:v>8</c:v>
                </c:pt>
                <c:pt idx="6">
                  <c:v>5</c:v>
                </c:pt>
                <c:pt idx="7">
                  <c:v>7</c:v>
                </c:pt>
                <c:pt idx="8">
                  <c:v>0</c:v>
                </c:pt>
                <c:pt idx="9">
                  <c:v>0</c:v>
                </c:pt>
              </c:numCache>
            </c:numRef>
          </c:bubbleSize>
          <c:bubble3D val="0"/>
        </c:ser>
        <c:ser>
          <c:idx val="3"/>
          <c:order val="3"/>
          <c:tx>
            <c:strRef>
              <c:f>'[简报数据图表.xlsx]1气泡图'!$E$1</c:f>
              <c:strCache>
                <c:ptCount val="1"/>
                <c:pt idx="0">
                  <c:v>E21B19</c:v>
                </c:pt>
              </c:strCache>
            </c:strRef>
          </c:tx>
          <c:spPr>
            <a:solidFill>
              <a:schemeClr val="accent1">
                <a:shade val="73077"/>
                <a:alpha val="75000"/>
              </a:schemeClr>
            </a:solidFill>
            <a:ln>
              <a:noFill/>
            </a:ln>
            <a:effectLst/>
          </c:spPr>
          <c:invertIfNegative val="0"/>
          <c:dLbls>
            <c:delete val="1"/>
          </c:dLbls>
          <c:xVal>
            <c:numRef>
              <c:f>'[简报数据图表.xlsx]1气泡图'!$G$16:$G$25</c:f>
              <c:numCache>
                <c:formatCode>General</c:formatCode>
                <c:ptCount val="10"/>
                <c:pt idx="0">
                  <c:v>4</c:v>
                </c:pt>
                <c:pt idx="1">
                  <c:v>4</c:v>
                </c:pt>
                <c:pt idx="2">
                  <c:v>4</c:v>
                </c:pt>
                <c:pt idx="3">
                  <c:v>4</c:v>
                </c:pt>
                <c:pt idx="4">
                  <c:v>4</c:v>
                </c:pt>
                <c:pt idx="5">
                  <c:v>4</c:v>
                </c:pt>
                <c:pt idx="6">
                  <c:v>4</c:v>
                </c:pt>
                <c:pt idx="7">
                  <c:v>4</c:v>
                </c:pt>
                <c:pt idx="8">
                  <c:v>4</c:v>
                </c:pt>
                <c:pt idx="9">
                  <c:v>4</c:v>
                </c:pt>
              </c:numCache>
            </c:numRef>
          </c:xVal>
          <c:yVal>
            <c:numRef>
              <c:f>'[简报数据图表.xlsx]1气泡图'!$D$19:$N$19</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'[简报数据图表.xlsx]1气泡图'!$E$2:$E$11</c:f>
              <c:numCache>
                <c:formatCode>General</c:formatCode>
                <c:ptCount val="10"/>
                <c:pt idx="0">
                  <c:v>12</c:v>
                </c:pt>
                <c:pt idx="1">
                  <c:v>9</c:v>
                </c:pt>
                <c:pt idx="2">
                  <c:v>18</c:v>
                </c:pt>
                <c:pt idx="3">
                  <c:v>4</c:v>
                </c:pt>
                <c:pt idx="4">
                  <c:v>0</c:v>
                </c:pt>
                <c:pt idx="5">
                  <c:v>3</c:v>
                </c:pt>
                <c:pt idx="6">
                  <c:v>6</c:v>
                </c:pt>
                <c:pt idx="7">
                  <c:v>1</c:v>
                </c:pt>
                <c:pt idx="8">
                  <c:v>16</c:v>
                </c:pt>
                <c:pt idx="9">
                  <c:v>13</c:v>
                </c:pt>
              </c:numCache>
            </c:numRef>
          </c:bubbleSize>
          <c:bubble3D val="0"/>
        </c:ser>
        <c:ser>
          <c:idx val="4"/>
          <c:order val="4"/>
          <c:tx>
            <c:strRef>
              <c:f>'[简报数据图表.xlsx]1气泡图'!$F$1</c:f>
              <c:strCache>
                <c:ptCount val="1"/>
                <c:pt idx="0">
                  <c:v>E21B43</c:v>
                </c:pt>
              </c:strCache>
            </c:strRef>
          </c:tx>
          <c:spPr>
            <a:solidFill>
              <a:schemeClr val="accent1">
                <a:shade val="83846"/>
                <a:alpha val="75000"/>
              </a:schemeClr>
            </a:solidFill>
            <a:ln>
              <a:noFill/>
            </a:ln>
            <a:effectLst/>
          </c:spPr>
          <c:invertIfNegative val="0"/>
          <c:dLbls>
            <c:delete val="1"/>
          </c:dLbls>
          <c:xVal>
            <c:numRef>
              <c:f>'[简报数据图表.xlsx]1气泡图'!$H$16:$H$26</c:f>
              <c:numCache>
                <c:formatCode>General</c:formatCode>
                <c:ptCount val="11"/>
                <c:pt idx="0">
                  <c:v>5</c:v>
                </c:pt>
                <c:pt idx="1">
                  <c:v>5</c:v>
                </c:pt>
                <c:pt idx="2">
                  <c:v>5</c:v>
                </c:pt>
                <c:pt idx="3">
                  <c:v>5</c:v>
                </c:pt>
                <c:pt idx="4">
                  <c:v>5</c:v>
                </c:pt>
                <c:pt idx="5">
                  <c:v>5</c:v>
                </c:pt>
                <c:pt idx="6">
                  <c:v>5</c:v>
                </c:pt>
                <c:pt idx="7">
                  <c:v>5</c:v>
                </c:pt>
                <c:pt idx="8">
                  <c:v>5</c:v>
                </c:pt>
                <c:pt idx="9">
                  <c:v>5</c:v>
                </c:pt>
                <c:pt idx="10">
                  <c:v>5</c:v>
                </c:pt>
              </c:numCache>
            </c:numRef>
          </c:xVal>
          <c:yVal>
            <c:numRef>
              <c:f>'[简报数据图表.xlsx]1气泡图'!$D$21:$N$21</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'[简报数据图表.xlsx]1气泡图'!$F$2:$F$11</c:f>
              <c:numCache>
                <c:formatCode>General</c:formatCode>
                <c:ptCount val="10"/>
                <c:pt idx="0">
                  <c:v>28</c:v>
                </c:pt>
                <c:pt idx="1">
                  <c:v>11</c:v>
                </c:pt>
                <c:pt idx="2">
                  <c:v>13</c:v>
                </c:pt>
                <c:pt idx="3">
                  <c:v>18</c:v>
                </c:pt>
                <c:pt idx="4">
                  <c:v>2</c:v>
                </c:pt>
                <c:pt idx="5">
                  <c:v>17</c:v>
                </c:pt>
                <c:pt idx="6">
                  <c:v>18</c:v>
                </c:pt>
                <c:pt idx="7">
                  <c:v>2</c:v>
                </c:pt>
                <c:pt idx="8">
                  <c:v>1</c:v>
                </c:pt>
                <c:pt idx="9">
                  <c:v>3</c:v>
                </c:pt>
              </c:numCache>
            </c:numRef>
          </c:bubbleSize>
          <c:bubble3D val="0"/>
        </c:ser>
        <c:ser>
          <c:idx val="5"/>
          <c:order val="5"/>
          <c:tx>
            <c:strRef>
              <c:f>'[简报数据图表.xlsx]1气泡图'!$G$1</c:f>
              <c:strCache>
                <c:ptCount val="1"/>
                <c:pt idx="0">
                  <c:v>E21B15</c:v>
                </c:pt>
              </c:strCache>
            </c:strRef>
          </c:tx>
          <c:spPr>
            <a:solidFill>
              <a:schemeClr val="accent1">
                <a:shade val="94615"/>
                <a:alpha val="75000"/>
              </a:schemeClr>
            </a:solidFill>
            <a:ln>
              <a:noFill/>
            </a:ln>
            <a:effectLst/>
          </c:spPr>
          <c:invertIfNegative val="0"/>
          <c:dLbls>
            <c:delete val="1"/>
          </c:dLbls>
          <c:xVal>
            <c:numRef>
              <c:f>'[简报数据图表.xlsx]1气泡图'!$I$16:$I$25</c:f>
              <c:numCache>
                <c:formatCode>General</c:formatCode>
                <c:ptCount val="10"/>
                <c:pt idx="0">
                  <c:v>6</c:v>
                </c:pt>
                <c:pt idx="1">
                  <c:v>6</c:v>
                </c:pt>
                <c:pt idx="2">
                  <c:v>6</c:v>
                </c:pt>
                <c:pt idx="3">
                  <c:v>6</c:v>
                </c:pt>
                <c:pt idx="4">
                  <c:v>6</c:v>
                </c:pt>
                <c:pt idx="5">
                  <c:v>6</c:v>
                </c:pt>
                <c:pt idx="6">
                  <c:v>6</c:v>
                </c:pt>
                <c:pt idx="7">
                  <c:v>6</c:v>
                </c:pt>
                <c:pt idx="8">
                  <c:v>6</c:v>
                </c:pt>
                <c:pt idx="9">
                  <c:v>6</c:v>
                </c:pt>
              </c:numCache>
            </c:numRef>
          </c:xVal>
          <c:yVal>
            <c:numRef>
              <c:f>'[简报数据图表.xlsx]1气泡图'!$D$21:$N$21</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'[简报数据图表.xlsx]1气泡图'!$G$2:$G$11</c:f>
              <c:numCache>
                <c:formatCode>General</c:formatCode>
                <c:ptCount val="10"/>
                <c:pt idx="0">
                  <c:v>15</c:v>
                </c:pt>
                <c:pt idx="1">
                  <c:v>10</c:v>
                </c:pt>
                <c:pt idx="2">
                  <c:v>10</c:v>
                </c:pt>
                <c:pt idx="3">
                  <c:v>0</c:v>
                </c:pt>
                <c:pt idx="4">
                  <c:v>1</c:v>
                </c:pt>
                <c:pt idx="5">
                  <c:v>0</c:v>
                </c:pt>
                <c:pt idx="6">
                  <c:v>1</c:v>
                </c:pt>
                <c:pt idx="7">
                  <c:v>1</c:v>
                </c:pt>
                <c:pt idx="8">
                  <c:v>10</c:v>
                </c:pt>
                <c:pt idx="9">
                  <c:v>3</c:v>
                </c:pt>
              </c:numCache>
            </c:numRef>
          </c:bubbleSize>
          <c:bubble3D val="0"/>
        </c:ser>
        <c:ser>
          <c:idx val="6"/>
          <c:order val="6"/>
          <c:tx>
            <c:strRef>
              <c:f>'[简报数据图表.xlsx]1气泡图'!$H$1</c:f>
              <c:strCache>
                <c:ptCount val="1"/>
                <c:pt idx="0">
                  <c:v>E21B21</c:v>
                </c:pt>
              </c:strCache>
            </c:strRef>
          </c:tx>
          <c:spPr>
            <a:solidFill>
              <a:schemeClr val="accent1">
                <a:tint val="94615"/>
                <a:alpha val="75000"/>
              </a:schemeClr>
            </a:solidFill>
            <a:ln>
              <a:noFill/>
            </a:ln>
            <a:effectLst/>
          </c:spPr>
          <c:invertIfNegative val="0"/>
          <c:dLbls>
            <c:delete val="1"/>
          </c:dLbls>
          <c:xVal>
            <c:numRef>
              <c:f>'[简报数据图表.xlsx]1气泡图'!$J$16:$J$25</c:f>
              <c:numCache>
                <c:formatCode>General</c:formatCode>
                <c:ptCount val="10"/>
                <c:pt idx="0">
                  <c:v>7</c:v>
                </c:pt>
                <c:pt idx="1">
                  <c:v>7</c:v>
                </c:pt>
                <c:pt idx="2">
                  <c:v>7</c:v>
                </c:pt>
                <c:pt idx="3">
                  <c:v>7</c:v>
                </c:pt>
                <c:pt idx="4">
                  <c:v>7</c:v>
                </c:pt>
                <c:pt idx="5">
                  <c:v>7</c:v>
                </c:pt>
                <c:pt idx="6">
                  <c:v>7</c:v>
                </c:pt>
                <c:pt idx="7">
                  <c:v>7</c:v>
                </c:pt>
                <c:pt idx="8">
                  <c:v>7</c:v>
                </c:pt>
                <c:pt idx="9">
                  <c:v>7</c:v>
                </c:pt>
              </c:numCache>
            </c:numRef>
          </c:xVal>
          <c:yVal>
            <c:numRef>
              <c:f>'[简报数据图表.xlsx]1气泡图'!$D$22:$N$22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'[简报数据图表.xlsx]1气泡图'!$H$2:$H$11</c:f>
              <c:numCache>
                <c:formatCode>General</c:formatCode>
                <c:ptCount val="10"/>
                <c:pt idx="0">
                  <c:v>14</c:v>
                </c:pt>
                <c:pt idx="1">
                  <c:v>12</c:v>
                </c:pt>
                <c:pt idx="2">
                  <c:v>21</c:v>
                </c:pt>
                <c:pt idx="3">
                  <c:v>9</c:v>
                </c:pt>
                <c:pt idx="4">
                  <c:v>0</c:v>
                </c:pt>
                <c:pt idx="5">
                  <c:v>9</c:v>
                </c:pt>
                <c:pt idx="6">
                  <c:v>5</c:v>
                </c:pt>
                <c:pt idx="7">
                  <c:v>0</c:v>
                </c:pt>
                <c:pt idx="8">
                  <c:v>4</c:v>
                </c:pt>
                <c:pt idx="9">
                  <c:v>9</c:v>
                </c:pt>
              </c:numCache>
            </c:numRef>
          </c:bubbleSize>
          <c:bubble3D val="0"/>
        </c:ser>
        <c:ser>
          <c:idx val="7"/>
          <c:order val="7"/>
          <c:tx>
            <c:strRef>
              <c:f>'[简报数据图表.xlsx]1气泡图'!$I$1</c:f>
              <c:strCache>
                <c:ptCount val="1"/>
                <c:pt idx="0">
                  <c:v>B63B21</c:v>
                </c:pt>
              </c:strCache>
            </c:strRef>
          </c:tx>
          <c:spPr>
            <a:solidFill>
              <a:schemeClr val="accent1">
                <a:tint val="83846"/>
                <a:alpha val="75000"/>
              </a:schemeClr>
            </a:solidFill>
            <a:ln>
              <a:noFill/>
            </a:ln>
            <a:effectLst/>
          </c:spPr>
          <c:invertIfNegative val="0"/>
          <c:dLbls>
            <c:delete val="1"/>
          </c:dLbls>
          <c:xVal>
            <c:numRef>
              <c:f>'[简报数据图表.xlsx]1气泡图'!$K$16:$K$25</c:f>
              <c:numCache>
                <c:formatCode>General</c:formatCode>
                <c:ptCount val="10"/>
                <c:pt idx="0">
                  <c:v>8</c:v>
                </c:pt>
                <c:pt idx="1">
                  <c:v>8</c:v>
                </c:pt>
                <c:pt idx="2">
                  <c:v>8</c:v>
                </c:pt>
                <c:pt idx="3">
                  <c:v>8</c:v>
                </c:pt>
                <c:pt idx="4">
                  <c:v>8</c:v>
                </c:pt>
                <c:pt idx="5">
                  <c:v>8</c:v>
                </c:pt>
                <c:pt idx="6">
                  <c:v>8</c:v>
                </c:pt>
                <c:pt idx="7">
                  <c:v>8</c:v>
                </c:pt>
                <c:pt idx="8">
                  <c:v>8</c:v>
                </c:pt>
                <c:pt idx="9">
                  <c:v>8</c:v>
                </c:pt>
              </c:numCache>
            </c:numRef>
          </c:xVal>
          <c:yVal>
            <c:numRef>
              <c:f>'[简报数据图表.xlsx]1气泡图'!$D$23:$N$23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'[简报数据图表.xlsx]1气泡图'!$I$2:$I$11</c:f>
              <c:numCache>
                <c:formatCode>General</c:formatCode>
                <c:ptCount val="10"/>
                <c:pt idx="0">
                  <c:v>13</c:v>
                </c:pt>
                <c:pt idx="1">
                  <c:v>4</c:v>
                </c:pt>
                <c:pt idx="2">
                  <c:v>1</c:v>
                </c:pt>
                <c:pt idx="3">
                  <c:v>12</c:v>
                </c:pt>
                <c:pt idx="4">
                  <c:v>15</c:v>
                </c:pt>
                <c:pt idx="5">
                  <c:v>7</c:v>
                </c:pt>
                <c:pt idx="6">
                  <c:v>0</c:v>
                </c:pt>
                <c:pt idx="7">
                  <c:v>4</c:v>
                </c:pt>
                <c:pt idx="8">
                  <c:v>0</c:v>
                </c:pt>
                <c:pt idx="9">
                  <c:v>0</c:v>
                </c:pt>
              </c:numCache>
            </c:numRef>
          </c:bubbleSize>
          <c:bubble3D val="0"/>
        </c:ser>
        <c:ser>
          <c:idx val="8"/>
          <c:order val="8"/>
          <c:tx>
            <c:strRef>
              <c:f>'[简报数据图表.xlsx]1气泡图'!$J$1</c:f>
              <c:strCache>
                <c:ptCount val="1"/>
                <c:pt idx="0">
                  <c:v>B64C3</c:v>
                </c:pt>
              </c:strCache>
            </c:strRef>
          </c:tx>
          <c:spPr>
            <a:solidFill>
              <a:schemeClr val="accent1">
                <a:tint val="73077"/>
                <a:alpha val="75000"/>
              </a:schemeClr>
            </a:solidFill>
            <a:ln>
              <a:noFill/>
            </a:ln>
            <a:effectLst/>
          </c:spPr>
          <c:invertIfNegative val="0"/>
          <c:dLbls>
            <c:delete val="1"/>
          </c:dLbls>
          <c:xVal>
            <c:numRef>
              <c:f>'[简报数据图表.xlsx]1气泡图'!$L$16:$L$25</c:f>
              <c:numCache>
                <c:formatCode>General</c:formatCode>
                <c:ptCount val="10"/>
                <c:pt idx="0">
                  <c:v>9</c:v>
                </c:pt>
                <c:pt idx="1">
                  <c:v>9</c:v>
                </c:pt>
                <c:pt idx="2">
                  <c:v>9</c:v>
                </c:pt>
                <c:pt idx="3">
                  <c:v>9</c:v>
                </c:pt>
                <c:pt idx="4">
                  <c:v>9</c:v>
                </c:pt>
                <c:pt idx="5">
                  <c:v>9</c:v>
                </c:pt>
                <c:pt idx="6">
                  <c:v>9</c:v>
                </c:pt>
                <c:pt idx="7">
                  <c:v>9</c:v>
                </c:pt>
                <c:pt idx="8">
                  <c:v>9</c:v>
                </c:pt>
                <c:pt idx="9">
                  <c:v>9</c:v>
                </c:pt>
              </c:numCache>
            </c:numRef>
          </c:xVal>
          <c:yVal>
            <c:numRef>
              <c:f>'[简报数据图表.xlsx]1气泡图'!$D$24:$N$24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'[简报数据图表.xlsx]1气泡图'!$J$2:$J$11</c:f>
              <c:numCache>
                <c:formatCode>General</c:formatCode>
                <c:ptCount val="10"/>
                <c:pt idx="0">
                  <c:v>0</c:v>
                </c:pt>
                <c:pt idx="1">
                  <c:v>0</c:v>
                </c:pt>
                <c:pt idx="2">
                  <c:v>1</c:v>
                </c:pt>
                <c:pt idx="3">
                  <c:v>0</c:v>
                </c:pt>
                <c:pt idx="4">
                  <c:v>0</c:v>
                </c:pt>
                <c:pt idx="5">
                  <c:v>0</c:v>
                </c:pt>
                <c:pt idx="6">
                  <c:v>0</c:v>
                </c:pt>
                <c:pt idx="7">
                  <c:v>0</c:v>
                </c:pt>
                <c:pt idx="8">
                  <c:v>0</c:v>
                </c:pt>
                <c:pt idx="9">
                  <c:v>0</c:v>
                </c:pt>
              </c:numCache>
            </c:numRef>
          </c:bubbleSize>
          <c:bubble3D val="0"/>
        </c:ser>
        <c:ser>
          <c:idx val="9"/>
          <c:order val="9"/>
          <c:tx>
            <c:strRef>
              <c:f>'[简报数据图表.xlsx]1气泡图'!$K$1</c:f>
              <c:strCache>
                <c:ptCount val="1"/>
                <c:pt idx="0">
                  <c:v>E21B41</c:v>
                </c:pt>
              </c:strCache>
            </c:strRef>
          </c:tx>
          <c:spPr>
            <a:solidFill>
              <a:schemeClr val="accent1">
                <a:tint val="62308"/>
                <a:alpha val="75000"/>
              </a:schemeClr>
            </a:solidFill>
            <a:ln>
              <a:noFill/>
            </a:ln>
            <a:effectLst/>
          </c:spPr>
          <c:invertIfNegative val="0"/>
          <c:dLbls>
            <c:delete val="1"/>
          </c:dLbls>
          <c:xVal>
            <c:numRef>
              <c:f>'[简报数据图表.xlsx]1气泡图'!$M$16:$M$25</c:f>
              <c:numCache>
                <c:formatCode>General</c:formatCode>
                <c:ptCount val="10"/>
                <c:pt idx="0">
                  <c:v>10</c:v>
                </c:pt>
                <c:pt idx="1">
                  <c:v>10</c:v>
                </c:pt>
                <c:pt idx="2">
                  <c:v>10</c:v>
                </c:pt>
                <c:pt idx="3">
                  <c:v>10</c:v>
                </c:pt>
                <c:pt idx="4">
                  <c:v>10</c:v>
                </c:pt>
                <c:pt idx="5">
                  <c:v>10</c:v>
                </c:pt>
                <c:pt idx="6">
                  <c:v>10</c:v>
                </c:pt>
                <c:pt idx="7">
                  <c:v>10</c:v>
                </c:pt>
                <c:pt idx="8">
                  <c:v>10</c:v>
                </c:pt>
                <c:pt idx="9">
                  <c:v>10</c:v>
                </c:pt>
              </c:numCache>
            </c:numRef>
          </c:xVal>
          <c:yVal>
            <c:numRef>
              <c:f>'[简报数据图表.xlsx]1气泡图'!$D$25:$N$25</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'[简报数据图表.xlsx]1气泡图'!$K$2:$K$11</c:f>
              <c:numCache>
                <c:formatCode>General</c:formatCode>
                <c:ptCount val="10"/>
                <c:pt idx="0">
                  <c:v>11</c:v>
                </c:pt>
                <c:pt idx="1">
                  <c:v>4</c:v>
                </c:pt>
                <c:pt idx="2">
                  <c:v>4</c:v>
                </c:pt>
                <c:pt idx="3">
                  <c:v>6</c:v>
                </c:pt>
                <c:pt idx="4">
                  <c:v>0</c:v>
                </c:pt>
                <c:pt idx="5">
                  <c:v>3</c:v>
                </c:pt>
                <c:pt idx="6">
                  <c:v>5</c:v>
                </c:pt>
                <c:pt idx="7">
                  <c:v>3</c:v>
                </c:pt>
                <c:pt idx="8">
                  <c:v>1</c:v>
                </c:pt>
                <c:pt idx="9">
                  <c:v>5</c:v>
                </c:pt>
              </c:numCache>
            </c:numRef>
          </c:bubbleSize>
          <c:bubble3D val="0"/>
        </c:ser>
        <c:ser>
          <c:idx val="10"/>
          <c:order val="10"/>
          <c:tx>
            <c:strRef>
              <c:f>'[简报数据图表.xlsx]1气泡图'!$A$12</c:f>
              <c:strCache>
                <c:ptCount val="1"/>
                <c:pt idx="0">
                  <c:v>横轴</c:v>
                </c:pt>
              </c:strCache>
            </c:strRef>
          </c:tx>
          <c:spPr>
            <a:solidFill>
              <a:schemeClr val="accent1">
                <a:tint val="51538"/>
                <a:alpha val="75000"/>
              </a:schemeClr>
            </a:solidFill>
            <a:ln>
              <a:noFill/>
            </a:ln>
            <a:effectLst/>
          </c:spPr>
          <c:invertIfNegative val="0"/>
          <c:dLbls>
            <c:dLbl>
              <c:idx val="0"/>
              <c:layout>
                <c:manualLayout>
                  <c:x val="-0.00204349729966428"/>
                  <c:y val="0.0342077845227238"/>
                </c:manualLayout>
              </c:layout>
              <c:tx>
                <c:rich>
                  <a:bodyPr rot="-1800000" spcFirstLastPara="0" vertOverflow="ellipsis" vert="horz" wrap="square" lIns="38100" tIns="71755" rIns="38100" bIns="19050" anchor="ctr" anchorCtr="1"/>
                  <a:lstStyle/>
                  <a:p>
                    <a:fld id="{492ae0b4-13d9-4b4b-a2be-1cb56d5eab78}"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manualLayout>
                  <c:x val="-0.00131233595800525"/>
                  <c:y val="0.0333720135239774"/>
                </c:manualLayout>
              </c:layout>
              <c:tx>
                <c:rich>
                  <a:bodyPr rot="-1800000" spcFirstLastPara="0" vertOverflow="ellipsis" vert="horz" wrap="square" lIns="38100" tIns="71755" rIns="38100" bIns="19050" anchor="ctr" anchorCtr="1"/>
                  <a:lstStyle/>
                  <a:p>
                    <a:fld id="{27adf72f-dd2a-4cf3-8877-5b43046d34a7}"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2"/>
              <c:layout>
                <c:manualLayout>
                  <c:x val="0"/>
                  <c:y val="0.0340980187695516"/>
                </c:manualLayout>
              </c:layout>
              <c:tx>
                <c:rich>
                  <a:bodyPr rot="-1800000" spcFirstLastPara="0" vertOverflow="ellipsis" vert="horz" wrap="square" lIns="38100" tIns="71755" rIns="38100" bIns="19050" anchor="ctr" anchorCtr="1"/>
                  <a:lstStyle/>
                  <a:p>
                    <a:fld id="{2ec8a705-d089-47b5-90b7-169a1efd1615}"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3"/>
              <c:layout>
                <c:manualLayout>
                  <c:x val="7.29820464165815e-5"/>
                  <c:y val="0.0342022940563087"/>
                </c:manualLayout>
              </c:layout>
              <c:tx>
                <c:rich>
                  <a:bodyPr rot="-1800000" spcFirstLastPara="0" vertOverflow="ellipsis" vert="horz" wrap="square" lIns="38100" tIns="71755" rIns="38100" bIns="19050" anchor="ctr" anchorCtr="1"/>
                  <a:lstStyle/>
                  <a:p>
                    <a:fld id="{14a59550-d2a3-4b9c-be2e-5ac4e30eaa4d}"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4"/>
              <c:layout>
                <c:manualLayout>
                  <c:x val="0.00094876660341556"/>
                  <c:y val="0.0340980187695516"/>
                </c:manualLayout>
              </c:layout>
              <c:tx>
                <c:rich>
                  <a:bodyPr rot="-1800000" spcFirstLastPara="0" vertOverflow="ellipsis" vert="horz" wrap="square" lIns="38100" tIns="71755" rIns="38100" bIns="19050" anchor="ctr" anchorCtr="1"/>
                  <a:lstStyle/>
                  <a:p>
                    <a:fld id="{527b426f-1e34-4707-be3f-897532947a1a}"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5"/>
              <c:layout>
                <c:manualLayout>
                  <c:x val="0.0039410305064954"/>
                  <c:y val="0.0340980187695516"/>
                </c:manualLayout>
              </c:layout>
              <c:tx>
                <c:rich>
                  <a:bodyPr rot="-1800000" spcFirstLastPara="0" vertOverflow="ellipsis" vert="horz" wrap="square" lIns="38100" tIns="71755" rIns="38100" bIns="19050" anchor="ctr" anchorCtr="1"/>
                  <a:lstStyle/>
                  <a:p>
                    <a:fld id="{4904432f-4d7c-43ba-9148-cafccb23e47a}"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6"/>
              <c:layout>
                <c:manualLayout>
                  <c:x val="0.00102174864983214"/>
                  <c:y val="0.0342022940563087"/>
                </c:manualLayout>
              </c:layout>
              <c:tx>
                <c:rich>
                  <a:bodyPr rot="-1800000" spcFirstLastPara="0" vertOverflow="ellipsis" vert="horz" wrap="square" lIns="38100" tIns="71755" rIns="38100" bIns="19050" anchor="ctr" anchorCtr="1"/>
                  <a:lstStyle/>
                  <a:p>
                    <a:fld id="{8fd86848-a77d-4cce-8519-d51980d5731b}"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7"/>
              <c:layout>
                <c:manualLayout>
                  <c:x val="-0.00094876660341556"/>
                  <c:y val="0.0342022940563087"/>
                </c:manualLayout>
              </c:layout>
              <c:tx>
                <c:rich>
                  <a:bodyPr rot="-1800000" spcFirstLastPara="0" vertOverflow="ellipsis" vert="horz" wrap="square" lIns="38100" tIns="71755" rIns="38100" bIns="19050" anchor="ctr" anchorCtr="1"/>
                  <a:lstStyle/>
                  <a:p>
                    <a:fld id="{bee27744-316b-4cd8-bbbf-caa631a44f07}"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8"/>
              <c:layout>
                <c:manualLayout>
                  <c:x val="0"/>
                  <c:y val="0.0342022940563087"/>
                </c:manualLayout>
              </c:layout>
              <c:tx>
                <c:rich>
                  <a:bodyPr rot="-1800000" spcFirstLastPara="0" vertOverflow="ellipsis" vert="horz" wrap="square" lIns="38100" tIns="71755" rIns="38100" bIns="19050" anchor="ctr" anchorCtr="1"/>
                  <a:lstStyle/>
                  <a:p>
                    <a:fld id="{2bc7c620-75d2-4a62-8bb7-c0adbff34e22}"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9"/>
              <c:layout>
                <c:manualLayout>
                  <c:x val="0"/>
                  <c:y val="0.0340980187695516"/>
                </c:manualLayout>
              </c:layout>
              <c:tx>
                <c:rich>
                  <a:bodyPr rot="-1800000" spcFirstLastPara="0" vertOverflow="ellipsis" vert="horz" wrap="square" lIns="38100" tIns="71755" rIns="38100" bIns="19050" anchor="ctr" anchorCtr="1"/>
                  <a:lstStyle/>
                  <a:p>
                    <a:fld id="{5db44007-7dbb-46c1-9827-002f23fa0091}"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0"/>
              <c:layout/>
              <c:dLblPos val="b"/>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1800000" spcFirstLastPara="0" vertOverflow="ellipsis" vert="horz" wrap="square" lIns="38100" tIns="71755" rIns="38100" bIns="19050" anchor="ctr" anchorCtr="1"/>
              <a:lstStyle/>
              <a:p>
                <a:pPr>
                  <a:defRPr lang="zh-CN" sz="1100" b="0" i="0" u="none" strike="noStrike" kern="1200" baseline="0">
                    <a:solidFill>
                      <a:sysClr val="windowText" lastClr="000000"/>
                    </a:solidFill>
                    <a:latin typeface="+mn-lt"/>
                    <a:ea typeface="+mn-ea"/>
                    <a:cs typeface="+mn-cs"/>
                  </a:defRPr>
                </a:pPr>
              </a:p>
            </c:txPr>
            <c:dLblPos val="b"/>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9525" cap="flat" cmpd="sng" algn="ctr">
                      <a:solidFill>
                        <a:schemeClr val="tx1">
                          <a:lumMod val="35000"/>
                          <a:lumOff val="65000"/>
                        </a:schemeClr>
                      </a:solidFill>
                      <a:round/>
                    </a:ln>
                    <a:effectLst/>
                  </c:spPr>
                </c15:leaderLines>
              </c:ext>
            </c:extLst>
          </c:dLbls>
          <c:xVal>
            <c:numRef>
              <c:f>'[简报数据图表.xlsx]1气泡图'!$D$16:$N$16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'[简报数据图表.xlsx]1气泡图'!$C$16:$C$26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yVal>
          <c:bubbleSize>
            <c:numRef>
              <c:f>'[简报数据图表.xlsx]1气泡图'!$B$12:$M$12</c:f>
              <c:numCache>
                <c:formatCode>General</c:formatCode>
                <c:ptCount val="12"/>
                <c:pt idx="0">
                  <c:v>0.01</c:v>
                </c:pt>
                <c:pt idx="1">
                  <c:v>0.01</c:v>
                </c:pt>
                <c:pt idx="2">
                  <c:v>0.01</c:v>
                </c:pt>
                <c:pt idx="3">
                  <c:v>0.01</c:v>
                </c:pt>
                <c:pt idx="4">
                  <c:v>0.01</c:v>
                </c:pt>
                <c:pt idx="5">
                  <c:v>0.01</c:v>
                </c:pt>
                <c:pt idx="6">
                  <c:v>0.01</c:v>
                </c:pt>
                <c:pt idx="7">
                  <c:v>0.01</c:v>
                </c:pt>
                <c:pt idx="8">
                  <c:v>0.01</c:v>
                </c:pt>
                <c:pt idx="9">
                  <c:v>0.01</c:v>
                </c:pt>
              </c:numCache>
            </c:numRef>
          </c:bubbleSize>
          <c:bubble3D val="0"/>
          <c:extLst>
            <c:ext xmlns:c15="http://schemas.microsoft.com/office/drawing/2012/chart" uri="{02D57815-91ED-43cb-92C2-25804820EDAC}">
              <c15:datalabelsRange>
                <c15:f>'1气泡图'!$B$1:$M$1</c15:f>
                <c15:dlblRangeCache>
                  <c:ptCount val="12"/>
                  <c:pt idx="0">
                    <c:v>B63B35</c:v>
                  </c:pt>
                  <c:pt idx="1">
                    <c:v>E21B7</c:v>
                  </c:pt>
                  <c:pt idx="2">
                    <c:v>E02B17</c:v>
                  </c:pt>
                  <c:pt idx="3">
                    <c:v>E21B19</c:v>
                  </c:pt>
                  <c:pt idx="4">
                    <c:v>E21B43</c:v>
                  </c:pt>
                  <c:pt idx="5">
                    <c:v>E21B15</c:v>
                  </c:pt>
                  <c:pt idx="6">
                    <c:v>E21B21</c:v>
                  </c:pt>
                  <c:pt idx="7">
                    <c:v>B63B21</c:v>
                  </c:pt>
                  <c:pt idx="8">
                    <c:v>B64C3</c:v>
                  </c:pt>
                  <c:pt idx="9">
                    <c:v>E21B41</c:v>
                  </c:pt>
                </c15:dlblRangeCache>
              </c15:datalabelsRange>
            </c:ext>
          </c:extLst>
        </c:ser>
        <c:ser>
          <c:idx val="11"/>
          <c:order val="11"/>
          <c:tx>
            <c:strRef>
              <c:f>'[简报数据图表.xlsx]1气泡图'!$A$15</c:f>
              <c:strCache>
                <c:ptCount val="1"/>
                <c:pt idx="0">
                  <c:v>纵轴</c:v>
                </c:pt>
              </c:strCache>
            </c:strRef>
          </c:tx>
          <c:spPr>
            <a:solidFill>
              <a:schemeClr val="accent1">
                <a:tint val="40769"/>
                <a:alpha val="75000"/>
              </a:schemeClr>
            </a:solidFill>
            <a:ln>
              <a:noFill/>
            </a:ln>
            <a:effectLst/>
          </c:spPr>
          <c:invertIfNegative val="0"/>
          <c:dLbls>
            <c:dLbl>
              <c:idx val="0"/>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l"/>
              <c:showLegendKey val="0"/>
              <c:showVal val="0"/>
              <c:showCatName val="0"/>
              <c:showSerName val="0"/>
              <c:showPercent val="0"/>
              <c:showBubbleSize val="0"/>
              <c:extLst>
                <c:ext xmlns:c15="http://schemas.microsoft.com/office/drawing/2012/chart" uri="{CE6537A1-D6FC-4f65-9D91-7224C49458BB}">
                  <c15:layout>
                    <c:manualLayout>
                      <c:w val="0.205474745160921"/>
                      <c:h val="0.0837149398969662"/>
                    </c:manualLayout>
                  </c15:layout>
                  <c15:dlblFieldTable/>
                  <c15:showDataLabelsRange val="1"/>
                </c:ext>
              </c:extLst>
            </c:dLbl>
            <c:dLbl>
              <c:idx val="2"/>
              <c:layout/>
              <c:dLblPos val="l"/>
              <c:showLegendKey val="0"/>
              <c:showVal val="0"/>
              <c:showCatName val="0"/>
              <c:showSerName val="0"/>
              <c:showPercent val="0"/>
              <c:showBubbleSize val="0"/>
              <c:extLst>
                <c:ext xmlns:c15="http://schemas.microsoft.com/office/drawing/2012/chart" uri="{CE6537A1-D6FC-4f65-9D91-7224C49458BB}">
                  <c15:layout>
                    <c:manualLayout>
                      <c:w val="0.214064826480357"/>
                      <c:h val="0.105505207628838"/>
                    </c:manualLayout>
                  </c15:layout>
                  <c15:dlblFieldTable/>
                  <c15:showDataLabelsRange val="1"/>
                </c:ext>
              </c:extLst>
            </c:dLbl>
            <c:dLbl>
              <c:idx val="3"/>
              <c:layout/>
              <c:dLblPos val="l"/>
              <c:showLegendKey val="0"/>
              <c:showVal val="0"/>
              <c:showCatName val="0"/>
              <c:showSerName val="0"/>
              <c:showPercent val="0"/>
              <c:showBubbleSize val="0"/>
              <c:extLst>
                <c:ext xmlns:c15="http://schemas.microsoft.com/office/drawing/2012/chart" uri="{CE6537A1-D6FC-4f65-9D91-7224C49458BB}">
                  <c15:layout>
                    <c:manualLayout>
                      <c:w val="0.227808956591456"/>
                      <c:h val="0.105153720481212"/>
                    </c:manualLayout>
                  </c15:layout>
                  <c15:dlblFieldTable/>
                  <c15:showDataLabelsRange val="1"/>
                </c:ext>
              </c:extLst>
            </c:dLbl>
            <c:dLbl>
              <c:idx val="4"/>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l"/>
              <c:showLegendKey val="0"/>
              <c:showVal val="0"/>
              <c:showCatName val="0"/>
              <c:showSerName val="0"/>
              <c:showPercent val="0"/>
              <c:showBubbleSize val="0"/>
              <c:extLst>
                <c:ext xmlns:c15="http://schemas.microsoft.com/office/drawing/2012/chart" uri="{CE6537A1-D6FC-4f65-9D91-7224C49458BB}">
                  <c15:layout>
                    <c:manualLayout>
                      <c:w val="0.224372924063681"/>
                      <c:h val="0.105153720481212"/>
                    </c:manualLayout>
                  </c15:layout>
                  <c15:dlblFieldTable/>
                  <c15:showDataLabelsRange val="1"/>
                </c:ext>
              </c:extLst>
            </c:dLbl>
            <c:dLbl>
              <c:idx val="7"/>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l"/>
              <c:showLegendKey val="0"/>
              <c:showVal val="0"/>
              <c:showCatName val="0"/>
              <c:showSerName val="0"/>
              <c:showPercent val="0"/>
              <c:showBubbleSize val="0"/>
              <c:extLst>
                <c:ext xmlns:c15="http://schemas.microsoft.com/office/drawing/2012/chart" uri="{CE6537A1-D6FC-4f65-9D91-7224C49458BB}">
                  <c15:layout>
                    <c:manualLayout>
                      <c:w val="0.227808956591456"/>
                      <c:h val="0.105153720481212"/>
                    </c:manualLayout>
                  </c15:layout>
                  <c15:dlblFieldTable/>
                  <c15:showDataLabelsRange val="1"/>
                </c:ext>
              </c:extLst>
            </c:dLbl>
            <c:dLbl>
              <c:idx val="10"/>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0"/>
              <a:lstStyle/>
              <a:p>
                <a:pPr algn="r">
                  <a:defRPr lang="zh-CN" sz="1000" b="0" i="0" u="none" strike="noStrike" kern="1200" baseline="0">
                    <a:solidFill>
                      <a:sysClr val="windowText" lastClr="000000"/>
                    </a:solidFill>
                    <a:latin typeface="+mn-lt"/>
                    <a:ea typeface="+mn-ea"/>
                    <a:cs typeface="+mn-cs"/>
                  </a:defRPr>
                </a:pPr>
              </a:p>
            </c:txPr>
            <c:dLblPos val="l"/>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9525" cap="flat" cmpd="sng" algn="ctr">
                      <a:solidFill>
                        <a:schemeClr val="tx1">
                          <a:lumMod val="35000"/>
                          <a:lumOff val="65000"/>
                        </a:schemeClr>
                      </a:solidFill>
                      <a:round/>
                    </a:ln>
                    <a:effectLst/>
                  </c:spPr>
                </c15:leaderLines>
              </c:ext>
            </c:extLst>
          </c:dLbls>
          <c:xVal>
            <c:numRef>
              <c:f>'[简报数据图表.xlsx]1气泡图'!$C$16:$C$26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xVal>
          <c:yVal>
            <c:numRef>
              <c:f>'[简报数据图表.xlsx]1气泡图'!$D$16:$N$16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'[简报数据图表.xlsx]1气泡图'!$A$16:$A$25</c:f>
              <c:numCache>
                <c:formatCode>General</c:formatCode>
                <c:ptCount val="10"/>
                <c:pt idx="0">
                  <c:v>0.01</c:v>
                </c:pt>
                <c:pt idx="1">
                  <c:v>0.01</c:v>
                </c:pt>
                <c:pt idx="2">
                  <c:v>0.01</c:v>
                </c:pt>
                <c:pt idx="3">
                  <c:v>0.01</c:v>
                </c:pt>
                <c:pt idx="4">
                  <c:v>0.01</c:v>
                </c:pt>
                <c:pt idx="5">
                  <c:v>0.01</c:v>
                </c:pt>
                <c:pt idx="6">
                  <c:v>0.01</c:v>
                </c:pt>
                <c:pt idx="7">
                  <c:v>0.01</c:v>
                </c:pt>
                <c:pt idx="8">
                  <c:v>0.01</c:v>
                </c:pt>
                <c:pt idx="9">
                  <c:v>0.01</c:v>
                </c:pt>
              </c:numCache>
            </c:numRef>
          </c:bubbleSize>
          <c:bubble3D val="0"/>
          <c:extLst>
            <c:ext xmlns:c15="http://schemas.microsoft.com/office/drawing/2012/chart" uri="{02D57815-91ED-43cb-92C2-25804820EDAC}">
              <c15:datalabelsRange>
                <c15:f>'1气泡图'!$A$2:$A$11</c15:f>
                <c15:dlblRangeCache>
                  <c:ptCount val="10"/>
                  <c:pt idx="0">
                    <c:v>中国海洋石油总公司</c:v>
                  </c:pt>
                  <c:pt idx="1">
                    <c:v>中海油能源发展股份有限公司</c:v>
                  </c:pt>
                  <c:pt idx="2">
                    <c:v>中国石油大学(华东)</c:v>
                  </c:pt>
                  <c:pt idx="3">
                    <c:v>中国海洋石油集团有限公司</c:v>
                  </c:pt>
                  <c:pt idx="4">
                    <c:v>海洋石油工程股份有限公司</c:v>
                  </c:pt>
                  <c:pt idx="5">
                    <c:v>中海油研究总院</c:v>
                  </c:pt>
                  <c:pt idx="6">
                    <c:v>西南石油大学</c:v>
                  </c:pt>
                  <c:pt idx="7">
                    <c:v>大连船舶重工集团有限公司</c:v>
                  </c:pt>
                  <c:pt idx="8">
                    <c:v>宝鸡石油机械有限责任公司</c:v>
                  </c:pt>
                  <c:pt idx="9">
                    <c:v>广州海洋地质调查局</c:v>
                  </c:pt>
                </c15:dlblRangeCache>
              </c15:datalabelsRange>
            </c:ext>
          </c:extLst>
        </c:ser>
        <c:dLbls>
          <c:showLegendKey val="0"/>
          <c:showVal val="0"/>
          <c:showCatName val="0"/>
          <c:showSerName val="0"/>
          <c:showPercent val="0"/>
          <c:showBubbleSize val="0"/>
        </c:dLbls>
        <c:bubbleScale val="45"/>
        <c:showNegBubbles val="0"/>
        <c:sizeRepresents val="area"/>
        <c:axId val="77979023"/>
        <c:axId val="943885176"/>
      </c:bubbleChart>
      <c:valAx>
        <c:axId val="77979023"/>
        <c:scaling>
          <c:orientation val="minMax"/>
          <c:max val="11"/>
          <c:min val="0"/>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p>
        </c:txPr>
        <c:crossAx val="943885176"/>
        <c:crosses val="autoZero"/>
        <c:crossBetween val="midCat"/>
        <c:majorUnit val="1"/>
        <c:minorUnit val="0.2"/>
      </c:valAx>
      <c:valAx>
        <c:axId val="943885176"/>
        <c:scaling>
          <c:orientation val="minMax"/>
          <c:max val="10.5"/>
          <c:min val="-0.5"/>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100" b="0" i="0" u="none" strike="noStrike" kern="1200" baseline="0">
                <a:solidFill>
                  <a:sysClr val="windowText" lastClr="000000"/>
                </a:solidFill>
                <a:latin typeface="+mn-lt"/>
                <a:ea typeface="+mn-ea"/>
                <a:cs typeface="+mn-cs"/>
              </a:defRPr>
            </a:pPr>
          </a:p>
        </c:txPr>
        <c:crossAx val="77979023"/>
        <c:crosses val="autoZero"/>
        <c:crossBetween val="midCat"/>
        <c:majorUnit val="1"/>
      </c:valAx>
      <c:spPr>
        <a:no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sz="1100">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3532</Words>
  <Characters>3955</Characters>
  <Lines>5</Lines>
  <Paragraphs>1</Paragraphs>
  <TotalTime>1</TotalTime>
  <ScaleCrop>false</ScaleCrop>
  <LinksUpToDate>false</LinksUpToDate>
  <CharactersWithSpaces>4024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2022-04-26T14:35:00Z</dcterms:created>
  <dc:creator>Administrator</dc:creator>
  <cp:lastModifiedBy>简</cp:lastModifiedBy>
  <dcterms:modified xsi:type="dcterms:W3CDTF">2024-10-11T02:14:23Z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A4A3C1C242A4476B9C5BAB8221E35474_13</vt:lpwstr>
  </property>
</Properties>
</file>