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8F8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ABB270">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18A2E4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65.020 </w:t>
            </w:r>
            <w:r>
              <w:rPr>
                <w:rFonts w:ascii="黑体" w:hAnsi="黑体" w:eastAsia="黑体"/>
                <w:sz w:val="21"/>
                <w:szCs w:val="21"/>
              </w:rPr>
              <w:fldChar w:fldCharType="end"/>
            </w:r>
            <w:bookmarkEnd w:id="0"/>
          </w:p>
        </w:tc>
      </w:tr>
      <w:tr w14:paraId="766B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A7D2A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11B75F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31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5DAA6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5C1D0853">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4415</w:t>
            </w:r>
            <w:r>
              <w:fldChar w:fldCharType="end"/>
            </w:r>
            <w:bookmarkEnd w:id="3"/>
          </w:p>
        </w:tc>
      </w:tr>
    </w:tbl>
    <w:p w14:paraId="27C4C1FE">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汕尾市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9890CD0">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441</w:t>
      </w:r>
      <w:r>
        <w:rPr>
          <w:rFonts w:hint="eastAsia"/>
          <w:lang w:val="en-US" w:eastAsia="zh-CN"/>
        </w:rPr>
        <w:t>5</w:t>
      </w:r>
      <w:bookmarkStart w:id="47" w:name="_GoBack"/>
      <w:bookmarkEnd w:id="47"/>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2024</w:t>
      </w:r>
      <w:r>
        <w:fldChar w:fldCharType="end"/>
      </w:r>
      <w:bookmarkEnd w:id="7"/>
    </w:p>
    <w:p w14:paraId="563FD06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A3DB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397F7C7">
      <w:pPr>
        <w:pStyle w:val="50"/>
        <w:framePr w:w="9639" w:h="6976" w:hRule="exact" w:hSpace="0" w:vSpace="0" w:wrap="around" w:hAnchor="page" w:y="6408"/>
        <w:jc w:val="center"/>
        <w:rPr>
          <w:rFonts w:ascii="黑体" w:hAnsi="黑体" w:eastAsia="黑体"/>
          <w:b w:val="0"/>
          <w:bCs w:val="0"/>
          <w:w w:val="100"/>
        </w:rPr>
      </w:pPr>
    </w:p>
    <w:p w14:paraId="26A30952">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地理标志产品 陆河青梅</w:t>
      </w:r>
      <w:r>
        <w:fldChar w:fldCharType="end"/>
      </w:r>
      <w:bookmarkEnd w:id="9"/>
    </w:p>
    <w:p w14:paraId="5BE35B76">
      <w:pPr>
        <w:framePr w:w="9639" w:h="6974" w:hRule="exact" w:wrap="around" w:vAnchor="page" w:hAnchor="page" w:x="1419" w:y="6408" w:anchorLock="1"/>
        <w:ind w:left="-1418"/>
      </w:pPr>
    </w:p>
    <w:p w14:paraId="234A060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Product of geographical indication-Luhe green plum</w:t>
      </w:r>
      <w:r>
        <w:rPr>
          <w:rFonts w:ascii="黑体" w:hAnsi="黑体" w:eastAsia="黑体"/>
          <w:szCs w:val="28"/>
        </w:rPr>
        <w:fldChar w:fldCharType="end"/>
      </w:r>
      <w:bookmarkEnd w:id="10"/>
    </w:p>
    <w:p w14:paraId="50135613">
      <w:pPr>
        <w:framePr w:w="9639" w:h="6974" w:hRule="exact" w:wrap="around" w:vAnchor="page" w:hAnchor="page" w:x="1419" w:y="6408" w:anchorLock="1"/>
        <w:spacing w:line="760" w:lineRule="exact"/>
        <w:ind w:left="-1418"/>
      </w:pPr>
    </w:p>
    <w:p w14:paraId="0D24E675">
      <w:pPr>
        <w:pStyle w:val="125"/>
        <w:framePr w:w="9639" w:h="6974" w:hRule="exact" w:wrap="around" w:vAnchor="page" w:hAnchor="page" w:x="1419" w:y="6408" w:anchorLock="1"/>
        <w:textAlignment w:val="bottom"/>
        <w:rPr>
          <w:rFonts w:eastAsia="黑体"/>
          <w:szCs w:val="28"/>
        </w:rPr>
      </w:pPr>
    </w:p>
    <w:p w14:paraId="42BB008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2F5429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CCD51A4">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524049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4CD5B3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60F021A">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汕尾市市场监督管理局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E61CFB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53F42E6">
      <w:pPr>
        <w:pStyle w:val="89"/>
        <w:spacing w:before="900" w:after="468"/>
      </w:pPr>
      <w:bookmarkStart w:id="21" w:name="BookMark2"/>
      <w:r>
        <w:rPr>
          <w:spacing w:val="320"/>
        </w:rPr>
        <w:t>前</w:t>
      </w:r>
      <w:r>
        <w:t>言</w:t>
      </w:r>
    </w:p>
    <w:p w14:paraId="44E1A302">
      <w:pPr>
        <w:pStyle w:val="56"/>
        <w:ind w:firstLine="420"/>
        <w:rPr>
          <w:rFonts w:hint="eastAsia"/>
        </w:rPr>
      </w:pPr>
      <w:r>
        <w:rPr>
          <w:rFonts w:hint="eastAsia"/>
        </w:rPr>
        <w:t>本文件按照GB/T 1.1—2020《标准化工作导则  第1部分：标准化文件的结构和起草规则》的规定起草。</w:t>
      </w:r>
    </w:p>
    <w:p w14:paraId="3E40D5B0">
      <w:pPr>
        <w:pStyle w:val="56"/>
        <w:ind w:firstLine="420"/>
      </w:pPr>
      <w:r>
        <w:rPr>
          <w:rFonts w:hint="eastAsia"/>
        </w:rPr>
        <w:t>请注意本文件的某些内容可能涉及专利。本文件的发布机构不承担识别专利的责任。</w:t>
      </w:r>
    </w:p>
    <w:p w14:paraId="7395F507">
      <w:pPr>
        <w:pStyle w:val="56"/>
        <w:ind w:firstLine="420"/>
        <w:rPr>
          <w:rFonts w:hint="eastAsia"/>
        </w:rPr>
      </w:pPr>
      <w:r>
        <w:rPr>
          <w:rFonts w:hint="eastAsia"/>
        </w:rPr>
        <w:t>本文件由汕尾市市场监督管理局提出并归口。</w:t>
      </w:r>
    </w:p>
    <w:p w14:paraId="69AD0EC7">
      <w:pPr>
        <w:pStyle w:val="56"/>
        <w:ind w:firstLine="420"/>
        <w:rPr>
          <w:rFonts w:hint="eastAsia"/>
        </w:rPr>
      </w:pPr>
      <w:r>
        <w:rPr>
          <w:rFonts w:hint="eastAsia"/>
        </w:rPr>
        <w:t>本文件起草单位：陆河县市场监督管理局、陆河县农业农村局、陆河县科技局、陆河县青梅协会、广东省农业科学院作物研究所。</w:t>
      </w:r>
    </w:p>
    <w:p w14:paraId="60904422">
      <w:pPr>
        <w:pStyle w:val="56"/>
        <w:ind w:firstLine="420"/>
      </w:pPr>
      <w:r>
        <w:rPr>
          <w:rFonts w:hint="eastAsia"/>
        </w:rPr>
        <w:t>本文件主要起草人：蔡时可、彭慕君、叶绍庆、李向荣、王继华、彭思苗、丘伟忠、朱志勇。</w:t>
      </w:r>
    </w:p>
    <w:p w14:paraId="695D04A8">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69B69AF9">
      <w:pPr>
        <w:spacing w:line="20" w:lineRule="exact"/>
        <w:jc w:val="center"/>
        <w:rPr>
          <w:rFonts w:ascii="黑体" w:hAnsi="黑体" w:eastAsia="黑体"/>
          <w:sz w:val="32"/>
          <w:szCs w:val="32"/>
        </w:rPr>
      </w:pPr>
      <w:bookmarkStart w:id="22" w:name="BookMark4"/>
    </w:p>
    <w:p w14:paraId="4C0A63CA">
      <w:pPr>
        <w:spacing w:line="20" w:lineRule="exact"/>
        <w:jc w:val="center"/>
        <w:rPr>
          <w:rFonts w:ascii="黑体" w:hAnsi="黑体" w:eastAsia="黑体"/>
          <w:sz w:val="32"/>
          <w:szCs w:val="32"/>
        </w:rPr>
      </w:pPr>
    </w:p>
    <w:sdt>
      <w:sdtPr>
        <w:tag w:val="NEW_STAND_NAME"/>
        <w:id w:val="595910757"/>
        <w:lock w:val="sdtLocked"/>
        <w:placeholder>
          <w:docPart w:val="6C1EE3C3D25B47A9885C69CC61E02C20"/>
        </w:placeholder>
      </w:sdtPr>
      <w:sdtContent>
        <w:p w14:paraId="20B6F7CB">
          <w:pPr>
            <w:pStyle w:val="177"/>
            <w:spacing w:before="3" w:beforeLines="1" w:after="686" w:afterLines="220"/>
          </w:pPr>
          <w:bookmarkStart w:id="23" w:name="NEW_STAND_NAME"/>
          <w:r>
            <w:rPr>
              <w:rFonts w:hint="eastAsia"/>
            </w:rPr>
            <w:t>地理标志产品</w:t>
          </w:r>
          <w:r>
            <w:t xml:space="preserve"> 陆河青梅</w:t>
          </w:r>
        </w:p>
      </w:sdtContent>
    </w:sdt>
    <w:bookmarkEnd w:id="23"/>
    <w:p w14:paraId="590DCFEF">
      <w:pPr>
        <w:pStyle w:val="104"/>
        <w:spacing w:before="312" w:after="312"/>
      </w:pPr>
      <w:bookmarkStart w:id="24" w:name="_Toc26648465"/>
      <w:bookmarkStart w:id="25" w:name="_Toc17233333"/>
      <w:bookmarkStart w:id="26" w:name="_Toc24884211"/>
      <w:bookmarkStart w:id="27" w:name="_Toc17233325"/>
      <w:bookmarkStart w:id="28" w:name="_Toc26986771"/>
      <w:bookmarkStart w:id="29" w:name="_Toc26986530"/>
      <w:bookmarkStart w:id="30" w:name="_Toc24884218"/>
      <w:bookmarkStart w:id="31" w:name="_Toc26718930"/>
      <w:bookmarkStart w:id="32" w:name="_Toc97191423"/>
      <w:r>
        <w:rPr>
          <w:rFonts w:hint="eastAsia"/>
        </w:rPr>
        <w:t>范围</w:t>
      </w:r>
      <w:bookmarkEnd w:id="24"/>
      <w:bookmarkEnd w:id="25"/>
      <w:bookmarkEnd w:id="26"/>
      <w:bookmarkEnd w:id="27"/>
      <w:bookmarkEnd w:id="28"/>
      <w:bookmarkEnd w:id="29"/>
      <w:bookmarkEnd w:id="30"/>
      <w:bookmarkEnd w:id="31"/>
      <w:bookmarkEnd w:id="32"/>
    </w:p>
    <w:p w14:paraId="00E4AB9D">
      <w:pPr>
        <w:pStyle w:val="56"/>
        <w:ind w:firstLine="420"/>
        <w:rPr>
          <w:rFonts w:hint="eastAsia"/>
        </w:rPr>
      </w:pPr>
      <w:bookmarkStart w:id="33" w:name="_Toc17233326"/>
      <w:bookmarkStart w:id="34" w:name="_Toc24884219"/>
      <w:bookmarkStart w:id="35" w:name="_Toc17233334"/>
      <w:bookmarkStart w:id="36" w:name="_Toc24884212"/>
      <w:bookmarkStart w:id="37" w:name="_Toc26648466"/>
      <w:r>
        <w:rPr>
          <w:rFonts w:hint="eastAsia"/>
        </w:rPr>
        <w:t>本文件规定了陆河青梅的术语和定义、地理标志产品保护范围、生产技术要求、采收、质量要求、检验方法、检验规则、标签、标志、包装、贮存与运输。</w:t>
      </w:r>
    </w:p>
    <w:p w14:paraId="378929D1">
      <w:pPr>
        <w:pStyle w:val="56"/>
        <w:ind w:firstLine="420"/>
      </w:pPr>
      <w:r>
        <w:rPr>
          <w:rFonts w:hint="eastAsia"/>
        </w:rPr>
        <w:t>本文件适用于原国家质量监督检验检疫总局2005年第181号公告批准保护的陆河青梅。</w:t>
      </w:r>
    </w:p>
    <w:p w14:paraId="31596B57">
      <w:pPr>
        <w:pStyle w:val="104"/>
        <w:spacing w:before="312" w:after="312"/>
      </w:pPr>
      <w:bookmarkStart w:id="38" w:name="_Toc97191424"/>
      <w:bookmarkStart w:id="39" w:name="_Toc26986531"/>
      <w:bookmarkStart w:id="40" w:name="_Toc26986772"/>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DA9894EAFFF470E9406B263C86640F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88009D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769BCE">
      <w:pPr>
        <w:pStyle w:val="56"/>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4F2AFF">
      <w:pPr>
        <w:pStyle w:val="56"/>
        <w:ind w:firstLine="420"/>
        <w:rPr>
          <w:rFonts w:hint="eastAsia"/>
        </w:rPr>
      </w:pPr>
      <w:r>
        <w:rPr>
          <w:rFonts w:hint="eastAsia"/>
        </w:rPr>
        <w:t>GB/T 191 包装储运图示标志</w:t>
      </w:r>
    </w:p>
    <w:p w14:paraId="482B26CC">
      <w:pPr>
        <w:pStyle w:val="56"/>
        <w:ind w:firstLine="420"/>
        <w:rPr>
          <w:rFonts w:hint="eastAsia"/>
        </w:rPr>
      </w:pPr>
      <w:r>
        <w:rPr>
          <w:rFonts w:hint="eastAsia"/>
        </w:rPr>
        <w:t>GB 2762 食品安全国家标准 食品中污染物限量</w:t>
      </w:r>
    </w:p>
    <w:p w14:paraId="36846306">
      <w:pPr>
        <w:pStyle w:val="56"/>
        <w:ind w:firstLine="420"/>
        <w:rPr>
          <w:rFonts w:hint="eastAsia"/>
        </w:rPr>
      </w:pPr>
      <w:r>
        <w:rPr>
          <w:rFonts w:hint="eastAsia"/>
        </w:rPr>
        <w:t>GB 2763 食品安全国家标准 食品中农药最大残留限量</w:t>
      </w:r>
    </w:p>
    <w:p w14:paraId="3DB232AE">
      <w:pPr>
        <w:pStyle w:val="56"/>
        <w:ind w:firstLine="420"/>
        <w:rPr>
          <w:rFonts w:hint="eastAsia"/>
        </w:rPr>
      </w:pPr>
      <w:r>
        <w:rPr>
          <w:rFonts w:hint="eastAsia"/>
        </w:rPr>
        <w:t>GB 5009.8食品安全国家标准 食品中果糖、葡萄糖、蔗糖、麦芽糖、乳糖的测定</w:t>
      </w:r>
    </w:p>
    <w:p w14:paraId="31881B3A">
      <w:pPr>
        <w:pStyle w:val="56"/>
        <w:ind w:firstLine="420"/>
        <w:rPr>
          <w:rFonts w:hint="eastAsia"/>
        </w:rPr>
      </w:pPr>
      <w:r>
        <w:rPr>
          <w:rFonts w:hint="eastAsia"/>
        </w:rPr>
        <w:t>GB 5009.86 食品安全国家标准 食品中抗坏血酸的测定</w:t>
      </w:r>
    </w:p>
    <w:p w14:paraId="565D1D23">
      <w:pPr>
        <w:pStyle w:val="56"/>
        <w:ind w:firstLine="420"/>
        <w:rPr>
          <w:rFonts w:hint="eastAsia"/>
        </w:rPr>
      </w:pPr>
      <w:r>
        <w:rPr>
          <w:rFonts w:hint="eastAsia"/>
        </w:rPr>
        <w:t>GB/T 8321(所有部分) 农药合理使用准则</w:t>
      </w:r>
    </w:p>
    <w:p w14:paraId="22A55DA5">
      <w:pPr>
        <w:pStyle w:val="56"/>
        <w:ind w:firstLine="420"/>
        <w:rPr>
          <w:rFonts w:hint="eastAsia"/>
        </w:rPr>
      </w:pPr>
      <w:r>
        <w:rPr>
          <w:rFonts w:hint="eastAsia"/>
        </w:rPr>
        <w:t>GB 12456 食品安全国家标准 食品中总酸的测定</w:t>
      </w:r>
    </w:p>
    <w:p w14:paraId="72785CCB">
      <w:pPr>
        <w:pStyle w:val="56"/>
        <w:ind w:firstLine="420"/>
        <w:rPr>
          <w:rFonts w:hint="eastAsia"/>
        </w:rPr>
      </w:pPr>
      <w:r>
        <w:rPr>
          <w:rFonts w:hint="eastAsia"/>
        </w:rPr>
        <w:t>GB 15618 土壤环境质量农用地污染风险管控标准(试行)</w:t>
      </w:r>
    </w:p>
    <w:p w14:paraId="6E5855EA">
      <w:pPr>
        <w:pStyle w:val="56"/>
        <w:ind w:firstLine="420"/>
        <w:rPr>
          <w:rFonts w:hint="eastAsia"/>
        </w:rPr>
      </w:pPr>
      <w:r>
        <w:rPr>
          <w:rFonts w:hint="eastAsia"/>
        </w:rPr>
        <w:t>GB/T 17924 地理标志产品 标准通用要求</w:t>
      </w:r>
    </w:p>
    <w:p w14:paraId="3B89B407">
      <w:pPr>
        <w:pStyle w:val="56"/>
        <w:ind w:firstLine="420"/>
      </w:pPr>
      <w:r>
        <w:rPr>
          <w:rFonts w:hint="eastAsia"/>
        </w:rPr>
        <w:t>NY/T 2637 水果和蔬菜可溶性固形物含量的测定 折射仪法</w:t>
      </w:r>
    </w:p>
    <w:p w14:paraId="7BEF79D2">
      <w:pPr>
        <w:pStyle w:val="104"/>
        <w:spacing w:before="312" w:after="312"/>
      </w:pPr>
      <w:bookmarkStart w:id="42" w:name="_Toc97191425"/>
      <w:r>
        <w:rPr>
          <w:rFonts w:hint="eastAsia"/>
          <w:szCs w:val="21"/>
        </w:rPr>
        <w:t>术语和定义</w:t>
      </w:r>
      <w:bookmarkEnd w:id="42"/>
    </w:p>
    <w:sdt>
      <w:sdtPr>
        <w:id w:val="-1909835108"/>
        <w:placeholder>
          <w:docPart w:val="BEC50A2F8A01487BA4829168D26DA39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C36CC5D">
          <w:pPr>
            <w:pStyle w:val="56"/>
            <w:ind w:firstLine="420"/>
          </w:pPr>
          <w:bookmarkStart w:id="43" w:name="_Toc26986532"/>
          <w:bookmarkEnd w:id="43"/>
          <w:r>
            <w:t>下列术语和定义适用于本文件。</w:t>
          </w:r>
        </w:p>
      </w:sdtContent>
    </w:sdt>
    <w:p w14:paraId="5C85F62A">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陆河青梅Luhe green plum</w:t>
      </w:r>
    </w:p>
    <w:p w14:paraId="5651BCB6">
      <w:pPr>
        <w:pStyle w:val="56"/>
        <w:ind w:firstLine="420"/>
      </w:pPr>
      <w:r>
        <w:rPr>
          <w:rFonts w:hint="eastAsia"/>
        </w:rPr>
        <w:t>在地理标志产品保护范围内，生产技术及质量质量符合本文件要求的青梅，包括青竹梅、软枝大粒梅。</w:t>
      </w:r>
    </w:p>
    <w:p w14:paraId="1727D948">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成熟度 maturity</w:t>
      </w:r>
    </w:p>
    <w:p w14:paraId="7C9E70A1">
      <w:pPr>
        <w:pStyle w:val="56"/>
        <w:ind w:firstLine="420"/>
      </w:pPr>
      <w:r>
        <w:rPr>
          <w:rFonts w:hint="eastAsia"/>
        </w:rPr>
        <w:t>果实达到该品种固有的大小、色泽以及品质风味。</w:t>
      </w:r>
    </w:p>
    <w:p w14:paraId="652E46A1">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可食率eatable rate</w:t>
      </w:r>
    </w:p>
    <w:p w14:paraId="4618C199">
      <w:pPr>
        <w:pStyle w:val="56"/>
        <w:ind w:firstLine="420"/>
      </w:pPr>
      <w:r>
        <w:rPr>
          <w:rFonts w:hint="eastAsia"/>
        </w:rPr>
        <w:t>单个青梅鲜果可食部分重量与整个果重的百分比。</w:t>
      </w:r>
    </w:p>
    <w:p w14:paraId="77C735B6">
      <w:pPr>
        <w:pStyle w:val="104"/>
        <w:spacing w:before="312" w:after="312"/>
      </w:pPr>
      <w:r>
        <w:rPr>
          <w:rFonts w:hint="eastAsia"/>
        </w:rPr>
        <w:t>地理标志产品保护范围</w:t>
      </w:r>
    </w:p>
    <w:p w14:paraId="66339AB7">
      <w:pPr>
        <w:pStyle w:val="56"/>
        <w:ind w:firstLine="420"/>
      </w:pPr>
      <w:r>
        <w:rPr>
          <w:rFonts w:hint="eastAsia"/>
        </w:rPr>
        <w:t>陆河青梅地理标志产品保护范围为广东省陆河县河田镇、河口镇、新田镇、东坑镇、水唇镇、螺溪镇、南万镇、上护镇、国营吉溪农场县辖行政区域。地理坐标位于东经115°24′-115°49′之间，北纬23º28′-23º 68′之间。见附录A。</w:t>
      </w:r>
    </w:p>
    <w:p w14:paraId="38B2354C">
      <w:pPr>
        <w:pStyle w:val="104"/>
        <w:spacing w:before="312" w:after="312"/>
      </w:pPr>
      <w:r>
        <w:rPr>
          <w:rFonts w:hint="eastAsia"/>
        </w:rPr>
        <w:t>生产技术要求</w:t>
      </w:r>
    </w:p>
    <w:p w14:paraId="690A8F49">
      <w:pPr>
        <w:pStyle w:val="105"/>
        <w:spacing w:before="156" w:after="156"/>
      </w:pPr>
      <w:r>
        <w:rPr>
          <w:rFonts w:hint="eastAsia"/>
        </w:rPr>
        <w:t>土壤要求</w:t>
      </w:r>
    </w:p>
    <w:p w14:paraId="2F7F9CA2">
      <w:pPr>
        <w:pStyle w:val="56"/>
        <w:ind w:firstLine="420"/>
      </w:pPr>
      <w:r>
        <w:rPr>
          <w:rFonts w:hint="eastAsia"/>
        </w:rPr>
        <w:t>土壤宜选择pH值5.0～6.5，有机质较丰富，土壤质量应符合GB 15618的规定。</w:t>
      </w:r>
    </w:p>
    <w:p w14:paraId="1EAD049D">
      <w:pPr>
        <w:pStyle w:val="105"/>
        <w:spacing w:before="156" w:after="156"/>
      </w:pPr>
      <w:r>
        <w:rPr>
          <w:rFonts w:hint="eastAsia"/>
        </w:rPr>
        <w:t>品种</w:t>
      </w:r>
    </w:p>
    <w:p w14:paraId="2A7BCF6F">
      <w:pPr>
        <w:pStyle w:val="56"/>
        <w:ind w:firstLine="420"/>
      </w:pPr>
      <w:r>
        <w:rPr>
          <w:rFonts w:hint="eastAsia"/>
        </w:rPr>
        <w:t>本地原生品种，青竹梅、软枝大粒梅。</w:t>
      </w:r>
    </w:p>
    <w:p w14:paraId="0B414763">
      <w:pPr>
        <w:pStyle w:val="105"/>
        <w:spacing w:before="156" w:after="156"/>
      </w:pPr>
      <w:r>
        <w:rPr>
          <w:rFonts w:hint="eastAsia"/>
        </w:rPr>
        <w:t>栽培管理</w:t>
      </w:r>
    </w:p>
    <w:p w14:paraId="2B4C6759">
      <w:pPr>
        <w:pStyle w:val="65"/>
        <w:spacing w:before="156" w:after="156"/>
      </w:pPr>
      <w:r>
        <w:rPr>
          <w:rFonts w:hint="eastAsia"/>
        </w:rPr>
        <w:t>定植</w:t>
      </w:r>
    </w:p>
    <w:p w14:paraId="79861D1E">
      <w:pPr>
        <w:pStyle w:val="56"/>
        <w:ind w:firstLine="420"/>
      </w:pPr>
      <w:r>
        <w:rPr>
          <w:rFonts w:hint="eastAsia"/>
        </w:rPr>
        <w:t>宜选择健壮、无病虫害的嫁接苗。冬植时间11月上旬-12月上旬，春植时间4月-5月。穴植， 33株～40株每667m2。</w:t>
      </w:r>
    </w:p>
    <w:p w14:paraId="6A1EF3E5">
      <w:pPr>
        <w:pStyle w:val="65"/>
        <w:spacing w:before="156" w:after="156"/>
      </w:pPr>
      <w:r>
        <w:rPr>
          <w:rFonts w:hint="eastAsia"/>
        </w:rPr>
        <w:t>施肥</w:t>
      </w:r>
    </w:p>
    <w:p w14:paraId="7917C8E4">
      <w:pPr>
        <w:pStyle w:val="56"/>
        <w:ind w:firstLine="420"/>
      </w:pPr>
      <w:r>
        <w:rPr>
          <w:rFonts w:hint="eastAsia"/>
        </w:rPr>
        <w:t>宜根据树体长势结合测土配方施肥，重点施好促花肥、壮花座果肥、壮果肥和健春梢肥。</w:t>
      </w:r>
    </w:p>
    <w:p w14:paraId="6060515F">
      <w:pPr>
        <w:pStyle w:val="65"/>
        <w:spacing w:before="156" w:after="156"/>
      </w:pPr>
      <w:r>
        <w:rPr>
          <w:rFonts w:hint="eastAsia"/>
        </w:rPr>
        <w:t>修剪</w:t>
      </w:r>
    </w:p>
    <w:p w14:paraId="1655C152">
      <w:pPr>
        <w:pStyle w:val="56"/>
        <w:ind w:firstLine="420"/>
      </w:pPr>
      <w:r>
        <w:rPr>
          <w:rFonts w:hint="eastAsia"/>
        </w:rPr>
        <w:t>采果后宜进行大修剪，立冬前后进行小修剪。修剪的原则：留壮去弱、留空去密，调整侧枝分布角度，保证树冠通风透光。</w:t>
      </w:r>
    </w:p>
    <w:p w14:paraId="30218614">
      <w:pPr>
        <w:pStyle w:val="65"/>
        <w:spacing w:before="156" w:after="156"/>
      </w:pPr>
      <w:r>
        <w:rPr>
          <w:rFonts w:hint="eastAsia"/>
        </w:rPr>
        <w:t>病、虫、草害防治</w:t>
      </w:r>
    </w:p>
    <w:p w14:paraId="03ED4941">
      <w:pPr>
        <w:pStyle w:val="56"/>
        <w:ind w:firstLine="420"/>
      </w:pPr>
      <w:r>
        <w:rPr>
          <w:rFonts w:hint="eastAsia"/>
        </w:rPr>
        <w:t>坚持“预防为主，综合防治”的植保工作方针，采取农业防治、物理防治、生物防治和化学防治相结合的防控措施。应执行GB/T 8321相关规定。</w:t>
      </w:r>
    </w:p>
    <w:p w14:paraId="68640A00">
      <w:pPr>
        <w:pStyle w:val="104"/>
        <w:spacing w:before="312" w:after="312"/>
      </w:pPr>
      <w:r>
        <w:rPr>
          <w:rFonts w:hint="eastAsia"/>
        </w:rPr>
        <w:t>采收</w:t>
      </w:r>
    </w:p>
    <w:p w14:paraId="6699032C">
      <w:pPr>
        <w:pStyle w:val="162"/>
      </w:pPr>
      <w:r>
        <w:rPr>
          <w:rFonts w:hint="eastAsia"/>
        </w:rPr>
        <w:t>根据用途、市场需要以及品种特性采收。七成熟果可用于脆梅类，八成熟果可用于软梅类，九成熟或完熟果可用于梅酱类。</w:t>
      </w:r>
    </w:p>
    <w:p w14:paraId="08D07471">
      <w:pPr>
        <w:pStyle w:val="162"/>
      </w:pPr>
      <w:r>
        <w:rPr>
          <w:rFonts w:hint="eastAsia"/>
        </w:rPr>
        <w:t>果实的采收方法：以人工采摘为主，轻摘轻放，避免碰伤、擦伤。采摘后及时清拣，冷藏、盐渍或熏制。不宜堆放，以防发热变质。</w:t>
      </w:r>
    </w:p>
    <w:p w14:paraId="718581CD">
      <w:pPr>
        <w:pStyle w:val="104"/>
        <w:spacing w:before="312" w:after="312"/>
      </w:pPr>
      <w:r>
        <w:rPr>
          <w:rFonts w:hint="eastAsia"/>
        </w:rPr>
        <w:t>质量要求</w:t>
      </w:r>
    </w:p>
    <w:p w14:paraId="3FBE0DE3">
      <w:pPr>
        <w:pStyle w:val="105"/>
        <w:spacing w:before="156" w:after="156"/>
      </w:pPr>
      <w:r>
        <w:rPr>
          <w:rFonts w:hint="eastAsia"/>
        </w:rPr>
        <w:t>感官要求</w:t>
      </w:r>
    </w:p>
    <w:p w14:paraId="65376C85">
      <w:pPr>
        <w:pStyle w:val="56"/>
        <w:ind w:firstLine="420"/>
        <w:rPr>
          <w:rFonts w:hint="eastAsia"/>
        </w:rPr>
      </w:pPr>
      <w:r>
        <w:rPr>
          <w:rFonts w:hint="eastAsia"/>
        </w:rPr>
        <w:t>七成熟果：皮色青绿，肉子脆嫩，肉厚核小，用于制作脆梅；</w:t>
      </w:r>
    </w:p>
    <w:p w14:paraId="551E5CB0">
      <w:pPr>
        <w:pStyle w:val="56"/>
        <w:ind w:firstLine="420"/>
        <w:rPr>
          <w:rFonts w:hint="eastAsia"/>
        </w:rPr>
      </w:pPr>
      <w:r>
        <w:rPr>
          <w:rFonts w:hint="eastAsia"/>
        </w:rPr>
        <w:t>八成熟果：皮色淡绿转黄，果肉略转软，肉厚核小，用于制作软梅；</w:t>
      </w:r>
    </w:p>
    <w:p w14:paraId="01DB0009">
      <w:pPr>
        <w:pStyle w:val="56"/>
        <w:ind w:firstLine="420"/>
        <w:rPr>
          <w:rFonts w:hint="eastAsia"/>
        </w:rPr>
      </w:pPr>
      <w:r>
        <w:rPr>
          <w:rFonts w:hint="eastAsia"/>
        </w:rPr>
        <w:t>九成熟果：皮色金黄，果形端正，肉脆味香，酸味纯正，用于制作梅酒或鲜食；</w:t>
      </w:r>
    </w:p>
    <w:p w14:paraId="1291947F">
      <w:pPr>
        <w:pStyle w:val="56"/>
        <w:ind w:firstLine="420"/>
      </w:pPr>
      <w:r>
        <w:rPr>
          <w:rFonts w:hint="eastAsia"/>
        </w:rPr>
        <w:t>完熟果：皮色金黄，肉厚多汁，酸味纯正，用于制作梅酱。</w:t>
      </w:r>
    </w:p>
    <w:p w14:paraId="714EDF62">
      <w:pPr>
        <w:pStyle w:val="105"/>
        <w:spacing w:before="156" w:after="156"/>
      </w:pPr>
      <w:r>
        <w:rPr>
          <w:rFonts w:hint="eastAsia"/>
        </w:rPr>
        <w:t>理化指标</w:t>
      </w:r>
    </w:p>
    <w:p w14:paraId="12079932">
      <w:pPr>
        <w:pStyle w:val="56"/>
        <w:ind w:firstLine="420"/>
      </w:pPr>
      <w:r>
        <w:rPr>
          <w:rFonts w:hint="eastAsia"/>
        </w:rPr>
        <w:t>应符合表1的规定。</w:t>
      </w:r>
    </w:p>
    <w:p w14:paraId="3AC7FE6E">
      <w:pPr>
        <w:pStyle w:val="112"/>
        <w:spacing w:before="156" w:after="156"/>
        <w:rPr>
          <w:rFonts w:hint="eastAsia"/>
        </w:rPr>
      </w:pPr>
      <w:r>
        <w:rPr>
          <w:rFonts w:hint="eastAsia"/>
        </w:rPr>
        <w:t>理化指标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25"/>
        <w:gridCol w:w="3686"/>
      </w:tblGrid>
      <w:tr w14:paraId="0E954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25" w:type="dxa"/>
            <w:tcBorders>
              <w:top w:val="single" w:color="auto" w:sz="8" w:space="0"/>
              <w:bottom w:val="single" w:color="auto" w:sz="8" w:space="0"/>
            </w:tcBorders>
            <w:shd w:val="clear" w:color="auto" w:fill="auto"/>
          </w:tcPr>
          <w:p w14:paraId="04F4C730">
            <w:pPr>
              <w:rPr>
                <w:rFonts w:hint="eastAsia"/>
              </w:rPr>
            </w:pPr>
            <w:r>
              <w:rPr>
                <w:rFonts w:hint="eastAsia"/>
              </w:rPr>
              <w:t>项    目</w:t>
            </w:r>
          </w:p>
        </w:tc>
        <w:tc>
          <w:tcPr>
            <w:tcW w:w="3686" w:type="dxa"/>
            <w:tcBorders>
              <w:top w:val="single" w:color="auto" w:sz="8" w:space="0"/>
              <w:bottom w:val="single" w:color="auto" w:sz="8" w:space="0"/>
            </w:tcBorders>
            <w:shd w:val="clear" w:color="auto" w:fill="auto"/>
          </w:tcPr>
          <w:p w14:paraId="36D662B3">
            <w:pPr>
              <w:rPr>
                <w:rFonts w:hint="eastAsia"/>
              </w:rPr>
            </w:pPr>
            <w:r>
              <w:rPr>
                <w:rFonts w:hint="eastAsia"/>
              </w:rPr>
              <w:t>指    标</w:t>
            </w:r>
          </w:p>
        </w:tc>
      </w:tr>
      <w:tr w14:paraId="0B5F7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tcBorders>
              <w:top w:val="single" w:color="auto" w:sz="8" w:space="0"/>
            </w:tcBorders>
            <w:shd w:val="clear" w:color="auto" w:fill="auto"/>
          </w:tcPr>
          <w:p w14:paraId="7F869E51">
            <w:pPr>
              <w:rPr>
                <w:rFonts w:hint="eastAsia"/>
              </w:rPr>
            </w:pPr>
            <w:r>
              <w:rPr>
                <w:rFonts w:hint="eastAsia"/>
              </w:rPr>
              <w:t>单果重，g</w:t>
            </w:r>
          </w:p>
        </w:tc>
        <w:tc>
          <w:tcPr>
            <w:tcW w:w="3686" w:type="dxa"/>
            <w:tcBorders>
              <w:top w:val="single" w:color="auto" w:sz="8" w:space="0"/>
            </w:tcBorders>
            <w:shd w:val="clear" w:color="auto" w:fill="auto"/>
          </w:tcPr>
          <w:p w14:paraId="0D3D8A9F">
            <w:pPr>
              <w:rPr>
                <w:rFonts w:hint="eastAsia"/>
              </w:rPr>
            </w:pPr>
            <w:r>
              <w:rPr>
                <w:rFonts w:hint="eastAsia"/>
              </w:rPr>
              <w:t xml:space="preserve">≥10 </w:t>
            </w:r>
          </w:p>
        </w:tc>
      </w:tr>
      <w:tr w14:paraId="19AC4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shd w:val="clear" w:color="auto" w:fill="auto"/>
          </w:tcPr>
          <w:p w14:paraId="421F003B">
            <w:pPr>
              <w:rPr>
                <w:rFonts w:hint="eastAsia"/>
              </w:rPr>
            </w:pPr>
            <w:r>
              <w:rPr>
                <w:rFonts w:hint="eastAsia"/>
              </w:rPr>
              <w:t>可食率，%</w:t>
            </w:r>
          </w:p>
        </w:tc>
        <w:tc>
          <w:tcPr>
            <w:tcW w:w="3686" w:type="dxa"/>
            <w:shd w:val="clear" w:color="auto" w:fill="auto"/>
          </w:tcPr>
          <w:p w14:paraId="6214D83A">
            <w:pPr>
              <w:rPr>
                <w:rFonts w:hint="eastAsia"/>
              </w:rPr>
            </w:pPr>
            <w:r>
              <w:rPr>
                <w:rFonts w:hint="eastAsia"/>
              </w:rPr>
              <w:t>≥75</w:t>
            </w:r>
          </w:p>
        </w:tc>
      </w:tr>
      <w:tr w14:paraId="18195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shd w:val="clear" w:color="auto" w:fill="auto"/>
          </w:tcPr>
          <w:p w14:paraId="32909395">
            <w:pPr>
              <w:rPr>
                <w:rFonts w:hint="eastAsia"/>
              </w:rPr>
            </w:pPr>
            <w:r>
              <w:rPr>
                <w:rFonts w:hint="eastAsia"/>
              </w:rPr>
              <w:t>可溶性固形物，%</w:t>
            </w:r>
          </w:p>
        </w:tc>
        <w:tc>
          <w:tcPr>
            <w:tcW w:w="3686" w:type="dxa"/>
            <w:shd w:val="clear" w:color="auto" w:fill="auto"/>
          </w:tcPr>
          <w:p w14:paraId="650CF6DE">
            <w:pPr>
              <w:rPr>
                <w:rFonts w:hint="eastAsia"/>
              </w:rPr>
            </w:pPr>
            <w:r>
              <w:rPr>
                <w:rFonts w:hint="eastAsia"/>
              </w:rPr>
              <w:t>8.0～10</w:t>
            </w:r>
          </w:p>
        </w:tc>
      </w:tr>
      <w:tr w14:paraId="04302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shd w:val="clear" w:color="auto" w:fill="auto"/>
          </w:tcPr>
          <w:p w14:paraId="52A3FA2C">
            <w:pPr>
              <w:rPr>
                <w:rFonts w:hint="eastAsia"/>
              </w:rPr>
            </w:pPr>
            <w:r>
              <w:rPr>
                <w:rFonts w:hint="eastAsia"/>
              </w:rPr>
              <w:t>总酸，%</w:t>
            </w:r>
          </w:p>
        </w:tc>
        <w:tc>
          <w:tcPr>
            <w:tcW w:w="3686" w:type="dxa"/>
            <w:shd w:val="clear" w:color="auto" w:fill="auto"/>
          </w:tcPr>
          <w:p w14:paraId="149DC1EA">
            <w:pPr>
              <w:rPr>
                <w:rFonts w:hint="eastAsia"/>
              </w:rPr>
            </w:pPr>
            <w:r>
              <w:rPr>
                <w:rFonts w:hint="eastAsia"/>
              </w:rPr>
              <w:t>4.9～6.4</w:t>
            </w:r>
          </w:p>
        </w:tc>
      </w:tr>
      <w:tr w14:paraId="55EE5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shd w:val="clear" w:color="auto" w:fill="auto"/>
          </w:tcPr>
          <w:p w14:paraId="1C026F99">
            <w:pPr>
              <w:rPr>
                <w:rFonts w:hint="eastAsia"/>
              </w:rPr>
            </w:pPr>
            <w:r>
              <w:rPr>
                <w:rFonts w:hint="eastAsia"/>
              </w:rPr>
              <w:t>维生素C，mg</w:t>
            </w:r>
          </w:p>
        </w:tc>
        <w:tc>
          <w:tcPr>
            <w:tcW w:w="3686" w:type="dxa"/>
            <w:shd w:val="clear" w:color="auto" w:fill="auto"/>
          </w:tcPr>
          <w:p w14:paraId="0B21134F">
            <w:pPr>
              <w:rPr>
                <w:rFonts w:hint="eastAsia"/>
              </w:rPr>
            </w:pPr>
            <w:r>
              <w:rPr>
                <w:rFonts w:hint="eastAsia"/>
              </w:rPr>
              <w:t xml:space="preserve">≥5.8 </w:t>
            </w:r>
          </w:p>
        </w:tc>
      </w:tr>
      <w:tr w14:paraId="5BCB0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25" w:type="dxa"/>
            <w:shd w:val="clear" w:color="auto" w:fill="auto"/>
          </w:tcPr>
          <w:p w14:paraId="79473A85">
            <w:pPr>
              <w:rPr>
                <w:rFonts w:hint="eastAsia"/>
              </w:rPr>
            </w:pPr>
            <w:r>
              <w:rPr>
                <w:rFonts w:hint="eastAsia"/>
              </w:rPr>
              <w:t>总糖，%</w:t>
            </w:r>
          </w:p>
        </w:tc>
        <w:tc>
          <w:tcPr>
            <w:tcW w:w="3686" w:type="dxa"/>
            <w:shd w:val="clear" w:color="auto" w:fill="auto"/>
          </w:tcPr>
          <w:p w14:paraId="284C088F">
            <w:r>
              <w:rPr>
                <w:rFonts w:hint="eastAsia"/>
              </w:rPr>
              <w:t>≤0.03</w:t>
            </w:r>
          </w:p>
        </w:tc>
      </w:tr>
    </w:tbl>
    <w:p w14:paraId="583E8E5E">
      <w:pPr>
        <w:pStyle w:val="105"/>
        <w:spacing w:before="156" w:after="156"/>
        <w:rPr>
          <w:rFonts w:hint="eastAsia"/>
        </w:rPr>
      </w:pPr>
      <w:r>
        <w:rPr>
          <w:rFonts w:hint="eastAsia"/>
        </w:rPr>
        <w:t>安全指标</w:t>
      </w:r>
    </w:p>
    <w:p w14:paraId="3EEDA90F">
      <w:pPr>
        <w:pStyle w:val="56"/>
        <w:ind w:firstLine="420"/>
      </w:pPr>
      <w:r>
        <w:rPr>
          <w:rFonts w:hint="eastAsia"/>
        </w:rPr>
        <w:t>安全指标应符合GB 2762和GB 2763的规定。</w:t>
      </w:r>
    </w:p>
    <w:p w14:paraId="65D71F27">
      <w:pPr>
        <w:pStyle w:val="104"/>
        <w:spacing w:before="312" w:after="312"/>
      </w:pPr>
      <w:r>
        <w:rPr>
          <w:rFonts w:hint="eastAsia"/>
        </w:rPr>
        <w:t>检验方法</w:t>
      </w:r>
    </w:p>
    <w:p w14:paraId="79D5D383">
      <w:pPr>
        <w:pStyle w:val="105"/>
        <w:spacing w:before="156" w:after="156"/>
      </w:pPr>
      <w:r>
        <w:rPr>
          <w:rFonts w:hint="eastAsia"/>
        </w:rPr>
        <w:t>感官指标</w:t>
      </w:r>
    </w:p>
    <w:p w14:paraId="5CF104A0">
      <w:pPr>
        <w:pStyle w:val="56"/>
        <w:ind w:firstLine="420"/>
      </w:pPr>
      <w:r>
        <w:rPr>
          <w:rFonts w:hint="eastAsia"/>
        </w:rPr>
        <w:t>采用目测、鼻嗅、品尝的检测方法。</w:t>
      </w:r>
    </w:p>
    <w:p w14:paraId="6A457591">
      <w:pPr>
        <w:pStyle w:val="105"/>
        <w:spacing w:before="156" w:after="156"/>
      </w:pPr>
      <w:r>
        <w:rPr>
          <w:rFonts w:hint="eastAsia"/>
        </w:rPr>
        <w:t>单果重</w:t>
      </w:r>
    </w:p>
    <w:p w14:paraId="34B45717">
      <w:pPr>
        <w:pStyle w:val="56"/>
        <w:ind w:firstLine="420"/>
      </w:pPr>
      <w:r>
        <w:rPr>
          <w:rFonts w:hint="eastAsia"/>
        </w:rPr>
        <w:t>随机抽检100个果，用感量0.1g的合格衡器称重，然后按“总重／果数”计算而得。</w:t>
      </w:r>
    </w:p>
    <w:p w14:paraId="521066B2">
      <w:pPr>
        <w:pStyle w:val="105"/>
        <w:spacing w:before="156" w:after="156"/>
      </w:pPr>
      <w:r>
        <w:rPr>
          <w:rFonts w:hint="eastAsia"/>
        </w:rPr>
        <w:t>可食率</w:t>
      </w:r>
    </w:p>
    <w:p w14:paraId="4C14696C">
      <w:pPr>
        <w:pStyle w:val="56"/>
        <w:ind w:firstLine="420"/>
      </w:pPr>
      <w:r>
        <w:rPr>
          <w:rFonts w:hint="eastAsia"/>
        </w:rPr>
        <w:t>随机抽检同包装100个果，除去果核、果柄，用感量0.1g的合格衡器称重，计算出果肉占全果重的百分比。</w:t>
      </w:r>
    </w:p>
    <w:p w14:paraId="34139D49">
      <w:pPr>
        <w:pStyle w:val="105"/>
        <w:spacing w:before="156" w:after="156"/>
      </w:pPr>
      <w:r>
        <w:rPr>
          <w:rFonts w:hint="eastAsia"/>
        </w:rPr>
        <w:t>可溶性固形物</w:t>
      </w:r>
    </w:p>
    <w:p w14:paraId="64469F93">
      <w:pPr>
        <w:pStyle w:val="56"/>
        <w:ind w:firstLine="420"/>
      </w:pPr>
      <w:r>
        <w:rPr>
          <w:rFonts w:hint="eastAsia"/>
        </w:rPr>
        <w:t>按NY/T 2637规定的方法执行。</w:t>
      </w:r>
    </w:p>
    <w:p w14:paraId="53AEABA1">
      <w:pPr>
        <w:pStyle w:val="105"/>
        <w:spacing w:before="156" w:after="156"/>
      </w:pPr>
      <w:r>
        <w:rPr>
          <w:rFonts w:hint="eastAsia"/>
        </w:rPr>
        <w:t>总酸</w:t>
      </w:r>
    </w:p>
    <w:p w14:paraId="55A8A0C8">
      <w:pPr>
        <w:pStyle w:val="56"/>
        <w:ind w:firstLine="420"/>
      </w:pPr>
      <w:r>
        <w:rPr>
          <w:rFonts w:hint="eastAsia"/>
        </w:rPr>
        <w:t>按GB 12456规定的方法执行。</w:t>
      </w:r>
    </w:p>
    <w:p w14:paraId="33611AA3">
      <w:pPr>
        <w:pStyle w:val="105"/>
        <w:spacing w:before="156" w:after="156"/>
      </w:pPr>
      <w:r>
        <w:rPr>
          <w:rFonts w:hint="eastAsia"/>
        </w:rPr>
        <w:t>维生素C</w:t>
      </w:r>
    </w:p>
    <w:p w14:paraId="3D620034">
      <w:pPr>
        <w:pStyle w:val="56"/>
        <w:ind w:firstLine="420"/>
      </w:pPr>
      <w:r>
        <w:rPr>
          <w:rFonts w:hint="eastAsia"/>
        </w:rPr>
        <w:t>按GB 5009.86规定的方法执行。</w:t>
      </w:r>
    </w:p>
    <w:p w14:paraId="685642FD">
      <w:pPr>
        <w:pStyle w:val="105"/>
        <w:spacing w:before="156" w:after="156"/>
      </w:pPr>
      <w:r>
        <w:rPr>
          <w:rFonts w:hint="eastAsia"/>
        </w:rPr>
        <w:t>总糖</w:t>
      </w:r>
    </w:p>
    <w:p w14:paraId="3622365B">
      <w:pPr>
        <w:pStyle w:val="56"/>
        <w:ind w:firstLine="420"/>
      </w:pPr>
      <w:r>
        <w:rPr>
          <w:rFonts w:hint="eastAsia"/>
        </w:rPr>
        <w:t>按GB 5009.8规定的方法执行。</w:t>
      </w:r>
    </w:p>
    <w:p w14:paraId="56C96B20">
      <w:pPr>
        <w:pStyle w:val="104"/>
        <w:spacing w:before="312" w:after="312"/>
      </w:pPr>
      <w:r>
        <w:rPr>
          <w:rFonts w:hint="eastAsia"/>
        </w:rPr>
        <w:t>检验规则</w:t>
      </w:r>
    </w:p>
    <w:p w14:paraId="248C36E9">
      <w:pPr>
        <w:pStyle w:val="105"/>
        <w:spacing w:before="156" w:after="156"/>
      </w:pPr>
      <w:r>
        <w:rPr>
          <w:rFonts w:hint="eastAsia"/>
        </w:rPr>
        <w:t>检验批次</w:t>
      </w:r>
    </w:p>
    <w:p w14:paraId="415B6ADD">
      <w:pPr>
        <w:pStyle w:val="56"/>
        <w:ind w:firstLine="420"/>
      </w:pPr>
      <w:r>
        <w:rPr>
          <w:rFonts w:hint="eastAsia"/>
        </w:rPr>
        <w:t>同一生产产地、同一品种、同一采收期、同一成熟度的青梅为一个检验批次。</w:t>
      </w:r>
    </w:p>
    <w:p w14:paraId="7E9CACE6">
      <w:pPr>
        <w:pStyle w:val="105"/>
        <w:spacing w:before="156" w:after="156"/>
      </w:pPr>
      <w:r>
        <w:rPr>
          <w:rFonts w:hint="eastAsia"/>
        </w:rPr>
        <w:t>抽样方法</w:t>
      </w:r>
    </w:p>
    <w:p w14:paraId="6527C21C">
      <w:pPr>
        <w:pStyle w:val="56"/>
        <w:ind w:firstLine="420"/>
      </w:pPr>
      <w:r>
        <w:rPr>
          <w:rFonts w:hint="eastAsia"/>
        </w:rPr>
        <w:t>以一个检验批次为一个抽样批次，随机抽样，样品的检验结果适用于整个检验批次。</w:t>
      </w:r>
    </w:p>
    <w:p w14:paraId="377805BC">
      <w:pPr>
        <w:pStyle w:val="105"/>
        <w:spacing w:before="156" w:after="156"/>
      </w:pPr>
      <w:r>
        <w:rPr>
          <w:rFonts w:hint="eastAsia"/>
        </w:rPr>
        <w:t>检验分类</w:t>
      </w:r>
    </w:p>
    <w:p w14:paraId="70602F3A">
      <w:pPr>
        <w:pStyle w:val="65"/>
        <w:spacing w:before="156" w:after="156"/>
      </w:pPr>
      <w:r>
        <w:rPr>
          <w:rFonts w:hint="eastAsia"/>
        </w:rPr>
        <w:t>型式检验</w:t>
      </w:r>
    </w:p>
    <w:p w14:paraId="5ABC94FF">
      <w:pPr>
        <w:pStyle w:val="56"/>
        <w:ind w:firstLine="420"/>
      </w:pPr>
      <w:r>
        <w:rPr>
          <w:rFonts w:hint="eastAsia"/>
        </w:rPr>
        <w:t>型式检验的项目包括技术要求中的全部项目，正常生产每年进行一次型式检验，有下列情况之一时，也应进行型式检验。</w:t>
      </w:r>
    </w:p>
    <w:p w14:paraId="35DC7BB3">
      <w:pPr>
        <w:pStyle w:val="174"/>
      </w:pPr>
      <w:r>
        <w:rPr>
          <w:rFonts w:hint="eastAsia"/>
        </w:rPr>
        <w:t>前后两次检验，结果差异较大；</w:t>
      </w:r>
    </w:p>
    <w:p w14:paraId="2CC186A6">
      <w:pPr>
        <w:pStyle w:val="174"/>
      </w:pPr>
      <w:r>
        <w:rPr>
          <w:rFonts w:hint="eastAsia"/>
        </w:rPr>
        <w:t>因人为或自然因素使生产环境发生较大变化；</w:t>
      </w:r>
    </w:p>
    <w:p w14:paraId="0CA09C5D">
      <w:pPr>
        <w:pStyle w:val="174"/>
      </w:pPr>
      <w:r>
        <w:rPr>
          <w:rFonts w:hint="eastAsia"/>
        </w:rPr>
        <w:t>国家监督管理机构或主管部门提出进行型式检验要求。</w:t>
      </w:r>
    </w:p>
    <w:p w14:paraId="260F372D">
      <w:pPr>
        <w:pStyle w:val="65"/>
        <w:spacing w:before="156" w:after="156"/>
      </w:pPr>
      <w:r>
        <w:rPr>
          <w:rFonts w:hint="eastAsia"/>
        </w:rPr>
        <w:t>交收检验</w:t>
      </w:r>
    </w:p>
    <w:p w14:paraId="74F890AF">
      <w:pPr>
        <w:pStyle w:val="56"/>
        <w:ind w:firstLine="420"/>
      </w:pPr>
      <w:r>
        <w:rPr>
          <w:rFonts w:hint="eastAsia"/>
        </w:rPr>
        <w:t>每批产品交收前，生产单位都应进行交收检验。交收检验内容为感官指标、标签、标志和包装等指标。交收检验合格，并附合格证的产品方可交收。</w:t>
      </w:r>
    </w:p>
    <w:p w14:paraId="76F0A47A">
      <w:pPr>
        <w:pStyle w:val="105"/>
        <w:spacing w:before="156" w:after="156"/>
      </w:pPr>
      <w:r>
        <w:rPr>
          <w:rFonts w:hint="eastAsia"/>
        </w:rPr>
        <w:t>判定规则</w:t>
      </w:r>
    </w:p>
    <w:p w14:paraId="7C429E90">
      <w:pPr>
        <w:pStyle w:val="165"/>
      </w:pPr>
      <w:r>
        <w:rPr>
          <w:rFonts w:hint="eastAsia"/>
        </w:rPr>
        <w:t>检测结果全部合格时则判该批产品合格。</w:t>
      </w:r>
    </w:p>
    <w:p w14:paraId="326A1C3D">
      <w:pPr>
        <w:pStyle w:val="165"/>
      </w:pPr>
      <w:r>
        <w:rPr>
          <w:rFonts w:hint="eastAsia"/>
        </w:rPr>
        <w:t>理化指标有一项不符合，可对该指标进行复检，以复检结果为准。</w:t>
      </w:r>
    </w:p>
    <w:p w14:paraId="07B73F81">
      <w:pPr>
        <w:pStyle w:val="165"/>
      </w:pPr>
      <w:r>
        <w:rPr>
          <w:rFonts w:hint="eastAsia"/>
        </w:rPr>
        <w:t>安全指标有一项不符合，即判定该批次产品不合格。</w:t>
      </w:r>
    </w:p>
    <w:p w14:paraId="4AD4CCAC">
      <w:pPr>
        <w:pStyle w:val="104"/>
        <w:spacing w:before="312" w:after="312"/>
      </w:pPr>
      <w:r>
        <w:rPr>
          <w:rFonts w:hint="eastAsia"/>
        </w:rPr>
        <w:t>标签、标志、包装、贮存与运输</w:t>
      </w:r>
    </w:p>
    <w:p w14:paraId="76DFDF22">
      <w:pPr>
        <w:pStyle w:val="105"/>
        <w:spacing w:before="156" w:after="156"/>
      </w:pPr>
      <w:r>
        <w:rPr>
          <w:rFonts w:hint="eastAsia"/>
        </w:rPr>
        <w:t>标签、标志</w:t>
      </w:r>
    </w:p>
    <w:p w14:paraId="3DDD9E87">
      <w:pPr>
        <w:pStyle w:val="165"/>
      </w:pPr>
      <w:r>
        <w:rPr>
          <w:rFonts w:hint="eastAsia"/>
        </w:rPr>
        <w:t>标签内容应符合GB/T 17924的规定。</w:t>
      </w:r>
    </w:p>
    <w:p w14:paraId="3A47E79D">
      <w:pPr>
        <w:pStyle w:val="165"/>
      </w:pPr>
      <w:r>
        <w:rPr>
          <w:rFonts w:hint="eastAsia"/>
        </w:rPr>
        <w:t>地理标志产品专用标志使用应符合《地理标志专用标志使用管理办法（试行）》的要求，地理标志产品保护范围内的生产者获得批准的，可在其生产的地理标志产品上使用地理标志产品专用标志。</w:t>
      </w:r>
    </w:p>
    <w:p w14:paraId="0ACC3D8A">
      <w:pPr>
        <w:pStyle w:val="165"/>
      </w:pPr>
      <w:r>
        <w:rPr>
          <w:rFonts w:hint="eastAsia"/>
        </w:rPr>
        <w:t>包装储运图示标志应符合GB/T 191相关规定。</w:t>
      </w:r>
    </w:p>
    <w:p w14:paraId="61F305A2">
      <w:pPr>
        <w:pStyle w:val="105"/>
        <w:spacing w:before="156" w:after="156"/>
      </w:pPr>
      <w:r>
        <w:rPr>
          <w:rFonts w:hint="eastAsia"/>
        </w:rPr>
        <w:t>包装</w:t>
      </w:r>
    </w:p>
    <w:p w14:paraId="2B3106C1">
      <w:pPr>
        <w:pStyle w:val="56"/>
        <w:ind w:firstLine="420"/>
      </w:pPr>
      <w:r>
        <w:rPr>
          <w:rFonts w:hint="eastAsia"/>
        </w:rPr>
        <w:t>采用木箱、塑胶箱等坚固，内壁平滑，洁净的容器，可内置一个厚聚乙烯塑料袋。</w:t>
      </w:r>
    </w:p>
    <w:p w14:paraId="572609E5">
      <w:pPr>
        <w:pStyle w:val="105"/>
        <w:spacing w:before="156" w:after="156"/>
      </w:pPr>
      <w:r>
        <w:rPr>
          <w:rFonts w:hint="eastAsia"/>
        </w:rPr>
        <w:t>贮存</w:t>
      </w:r>
    </w:p>
    <w:p w14:paraId="5BA64D2B">
      <w:pPr>
        <w:pStyle w:val="56"/>
        <w:ind w:firstLine="420"/>
      </w:pPr>
      <w:r>
        <w:rPr>
          <w:rFonts w:hint="eastAsia"/>
        </w:rPr>
        <w:t>青梅不耐贮藏，采收后宜及时挑选，根据需要进行盐渍、榨汁等加工处理。</w:t>
      </w:r>
    </w:p>
    <w:p w14:paraId="03CDE52D">
      <w:pPr>
        <w:pStyle w:val="105"/>
        <w:spacing w:before="156" w:after="156"/>
      </w:pPr>
      <w:r>
        <w:rPr>
          <w:rFonts w:hint="eastAsia"/>
        </w:rPr>
        <w:t>运输</w:t>
      </w:r>
    </w:p>
    <w:p w14:paraId="76BFBD8E">
      <w:pPr>
        <w:pStyle w:val="56"/>
        <w:ind w:firstLine="420"/>
        <w:rPr>
          <w:rFonts w:hint="eastAsia"/>
        </w:rPr>
      </w:pPr>
      <w:r>
        <w:rPr>
          <w:rFonts w:hint="eastAsia"/>
        </w:rPr>
        <w:t>青梅的运输应按快装快运，轻搬轻放的原则，运输工具应清洁卫生，运输过程禁止暴晒和淋雨。</w:t>
      </w:r>
    </w:p>
    <w:p w14:paraId="6E5962B7">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start="1"/>
          <w:cols w:space="425" w:num="1"/>
          <w:formProt w:val="0"/>
          <w:docGrid w:type="lines" w:linePitch="312" w:charSpace="0"/>
        </w:sectPr>
      </w:pPr>
    </w:p>
    <w:bookmarkEnd w:id="22"/>
    <w:p w14:paraId="68586782">
      <w:pPr>
        <w:pStyle w:val="198"/>
        <w:rPr>
          <w:rFonts w:hint="eastAsia"/>
          <w:vanish w:val="0"/>
        </w:rPr>
      </w:pPr>
      <w:bookmarkStart w:id="44" w:name="BookMark5"/>
    </w:p>
    <w:p w14:paraId="16D45A19">
      <w:pPr>
        <w:pStyle w:val="199"/>
        <w:rPr>
          <w:rFonts w:hint="eastAsia"/>
          <w:vanish w:val="0"/>
        </w:rPr>
      </w:pPr>
    </w:p>
    <w:p w14:paraId="0F3CE28B">
      <w:pPr>
        <w:pStyle w:val="76"/>
        <w:spacing w:after="156"/>
        <w:rPr>
          <w:rFonts w:hint="eastAsia"/>
        </w:rPr>
      </w:pPr>
      <w:r>
        <w:br w:type="textWrapping"/>
      </w:r>
      <w:r>
        <w:rPr>
          <w:rFonts w:hint="eastAsia"/>
        </w:rPr>
        <w:t>（规范性）</w:t>
      </w:r>
      <w:r>
        <w:br w:type="textWrapping"/>
      </w:r>
      <w:r>
        <w:rPr>
          <w:rFonts w:hint="eastAsia"/>
        </w:rPr>
        <w:t>地理标志产品 陆河青梅保护范围</w:t>
      </w:r>
    </w:p>
    <w:p w14:paraId="5DD218F4">
      <w:pPr>
        <w:pStyle w:val="56"/>
        <w:ind w:firstLine="420"/>
        <w:rPr>
          <w:rFonts w:hint="eastAsia"/>
        </w:rPr>
      </w:pPr>
      <w:r>
        <w:rPr>
          <w:rFonts w:hint="eastAsia"/>
        </w:rPr>
        <w:t>地理标志产品 陆河青梅保护范围见图A.1</w:t>
      </w:r>
    </w:p>
    <w:p w14:paraId="20E57756">
      <w:pPr>
        <w:pStyle w:val="56"/>
        <w:ind w:firstLine="420"/>
        <w:rPr>
          <w:rFonts w:hint="eastAsia"/>
        </w:rPr>
      </w:pPr>
      <w:r>
        <w:drawing>
          <wp:inline distT="0" distB="0" distL="0" distR="0">
            <wp:extent cx="4746625" cy="3437255"/>
            <wp:effectExtent l="0" t="0" r="0" b="0"/>
            <wp:docPr id="2" name="图片 2" descr="H:\汕尾市地方标准\2023汕尾标准\地理标志产品 陆河青梅\地理标志 陆河青梅 2024.3.21\附录A 陆河县地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汕尾市地方标准\2023汕尾标准\地理标志产品 陆河青梅\地理标志 陆河青梅 2024.3.21\附录A 陆河县地图.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52578" cy="3442168"/>
                    </a:xfrm>
                    <a:prstGeom prst="rect">
                      <a:avLst/>
                    </a:prstGeom>
                    <a:noFill/>
                    <a:ln>
                      <a:noFill/>
                    </a:ln>
                  </pic:spPr>
                </pic:pic>
              </a:graphicData>
            </a:graphic>
          </wp:inline>
        </w:drawing>
      </w:r>
    </w:p>
    <w:p w14:paraId="5526DCEB">
      <w:pPr>
        <w:pStyle w:val="83"/>
        <w:spacing w:before="156" w:after="156"/>
        <w:rPr>
          <w:rFonts w:hint="eastAsia"/>
        </w:rPr>
      </w:pPr>
      <w:r>
        <w:rPr>
          <w:rFonts w:hint="eastAsia"/>
        </w:rPr>
        <w:t>地理标志产品 陆河青梅产地范围</w:t>
      </w:r>
    </w:p>
    <w:bookmarkEnd w:id="44"/>
    <w:p w14:paraId="1CD294A3">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type="lines" w:linePitch="312" w:charSpace="0"/>
        </w:sectPr>
      </w:pPr>
      <w:bookmarkStart w:id="45" w:name="BookMark6"/>
    </w:p>
    <w:p w14:paraId="7985D974">
      <w:pPr>
        <w:pStyle w:val="63"/>
        <w:spacing w:after="156"/>
        <w:rPr>
          <w:rFonts w:hint="eastAsia"/>
        </w:rPr>
      </w:pPr>
      <w:r>
        <w:rPr>
          <w:rFonts w:hint="eastAsia"/>
          <w:spacing w:val="105"/>
        </w:rPr>
        <w:t>参考文</w:t>
      </w:r>
      <w:r>
        <w:rPr>
          <w:rFonts w:hint="eastAsia"/>
        </w:rPr>
        <w:t>献</w:t>
      </w:r>
    </w:p>
    <w:p w14:paraId="0714D03D">
      <w:pPr>
        <w:pStyle w:val="56"/>
        <w:ind w:firstLine="420"/>
        <w:rPr>
          <w:rFonts w:hint="eastAsia"/>
        </w:rPr>
      </w:pPr>
      <w:r>
        <w:rPr>
          <w:rFonts w:hint="eastAsia"/>
        </w:rPr>
        <w:t>[1] 原国家质量监督检验检疫总局2005年第181号公告</w:t>
      </w:r>
    </w:p>
    <w:p w14:paraId="7CC228AF">
      <w:pPr>
        <w:pStyle w:val="56"/>
        <w:ind w:firstLine="420"/>
        <w:rPr>
          <w:rFonts w:hint="eastAsia"/>
        </w:rPr>
      </w:pPr>
      <w:r>
        <w:rPr>
          <w:rFonts w:hint="eastAsia"/>
        </w:rPr>
        <w:t>[2] 国家知识产权局（2020）第354号  地理标志专用标志使用管理办法（试行）</w:t>
      </w:r>
    </w:p>
    <w:p w14:paraId="7D36DE13">
      <w:pPr>
        <w:pStyle w:val="56"/>
        <w:ind w:firstLine="420"/>
        <w:rPr>
          <w:rFonts w:hint="eastAsia"/>
        </w:rPr>
      </w:pPr>
      <w:r>
        <w:rPr>
          <w:rFonts w:hint="eastAsia"/>
        </w:rPr>
        <w:t>[3] DB44/T 131 果梅生产技术规程</w:t>
      </w:r>
    </w:p>
    <w:bookmarkEnd w:id="45"/>
    <w:p w14:paraId="2B9A3031">
      <w:pPr>
        <w:pStyle w:val="56"/>
        <w:ind w:firstLine="0" w:firstLineChars="0"/>
        <w:jc w:val="center"/>
        <w:rPr>
          <w:rFonts w:hint="eastAsia"/>
        </w:rPr>
      </w:pPr>
      <w:bookmarkStart w:id="46"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6D2A">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E45A">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49C3">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626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514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AC8C">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18BD">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1A47">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D57D">
    <w:pPr>
      <w:pStyle w:val="51"/>
    </w:pPr>
    <w:r>
      <w:fldChar w:fldCharType="begin"/>
    </w:r>
    <w:r>
      <w:instrText xml:space="preserve"> PAGE   \* MERGEFORMAT \* MERGEFORMAT </w:instrText>
    </w:r>
    <w:r>
      <w:fldChar w:fldCharType="separate"/>
    </w:r>
    <w: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5DCB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624D">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AAB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0E043">
    <w:pPr>
      <w:pStyle w:val="61"/>
    </w:pPr>
    <w:r>
      <w:fldChar w:fldCharType="begin"/>
    </w:r>
    <w:r>
      <w:instrText xml:space="preserve"> STYLEREF  标准文件_文件编号  \* MERGEFORMAT </w:instrText>
    </w:r>
    <w:r>
      <w:fldChar w:fldCharType="separate"/>
    </w:r>
    <w:r>
      <w:t>DB 4415/T XXXX—2024</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718">
    <w:pPr>
      <w:pStyle w:val="62"/>
    </w:pPr>
    <w:r>
      <w:fldChar w:fldCharType="begin"/>
    </w:r>
    <w:r>
      <w:instrText xml:space="preserve"> STYLEREF  标准文件_文件编号 \* MERGEFORMAT </w:instrText>
    </w:r>
    <w:r>
      <w:fldChar w:fldCharType="separate"/>
    </w:r>
    <w:r>
      <w:t>DB 4415/T XXXX—2024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8F3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AB9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BBFC">
    <w:pPr>
      <w:pStyle w:val="61"/>
    </w:pPr>
    <w:r>
      <w:fldChar w:fldCharType="begin"/>
    </w:r>
    <w:r>
      <w:instrText xml:space="preserve"> STYLEREF  标准文件_文件编号  \* MERGEFORMAT </w:instrText>
    </w:r>
    <w:r>
      <w:fldChar w:fldCharType="separate"/>
    </w:r>
    <w:r>
      <w:t>DB 4415/T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7F72">
    <w:pPr>
      <w:pStyle w:val="62"/>
    </w:pPr>
    <w:r>
      <w:fldChar w:fldCharType="begin"/>
    </w:r>
    <w:r>
      <w:instrText xml:space="preserve"> STYLEREF  标准文件_文件编号 \* MERGEFORMAT </w:instrText>
    </w:r>
    <w:r>
      <w:fldChar w:fldCharType="separate"/>
    </w:r>
    <w:r>
      <w:t>DB 4415/T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34D7">
    <w:pPr>
      <w:pStyle w:val="61"/>
    </w:pPr>
    <w:r>
      <w:fldChar w:fldCharType="begin"/>
    </w:r>
    <w:r>
      <w:instrText xml:space="preserve"> STYLEREF  标准文件_文件编号  \* MERGEFORMAT </w:instrText>
    </w:r>
    <w:r>
      <w:fldChar w:fldCharType="separate"/>
    </w:r>
    <w:r>
      <w:t>DB 4415/T XXXX—2024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E641">
    <w:pPr>
      <w:pStyle w:val="62"/>
    </w:pPr>
    <w:r>
      <w:fldChar w:fldCharType="begin"/>
    </w:r>
    <w:r>
      <w:instrText xml:space="preserve"> STYLEREF  标准文件_文件编号 \* MERGEFORMAT </w:instrText>
    </w:r>
    <w:r>
      <w:fldChar w:fldCharType="separate"/>
    </w:r>
    <w:r>
      <w:t>DB 4415/T XXXX—2024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686B">
    <w:pPr>
      <w:pStyle w:val="61"/>
    </w:pPr>
    <w:r>
      <w:fldChar w:fldCharType="begin"/>
    </w:r>
    <w:r>
      <w:instrText xml:space="preserve"> STYLEREF  标准文件_文件编号  \* MERGEFORMAT </w:instrText>
    </w:r>
    <w:r>
      <w:fldChar w:fldCharType="separate"/>
    </w:r>
    <w:r>
      <w:t>DB 4415/T XXXX—2024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80B3">
    <w:pPr>
      <w:pStyle w:val="62"/>
    </w:pPr>
    <w:r>
      <w:fldChar w:fldCharType="begin"/>
    </w:r>
    <w:r>
      <w:instrText xml:space="preserve"> STYLEREF  标准文件_文件编号 \* MERGEFORMAT </w:instrText>
    </w:r>
    <w:r>
      <w:fldChar w:fldCharType="separate"/>
    </w:r>
    <w:r>
      <w:t>DB 4415/T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txtVAdnmelpW6DxIFSAfidZ9HIyWGIqKZHH8/tOasM6flwCFSBSj3U1gZmp5+ehUSfEkLeyxGcvYEU+2hP/ZlQ==" w:salt="tOJSHs1AupprruUbsLxIG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yZTIwNGQ1ZDQxMDUxZmQxNWViN2Q3Yzc2NmM0NTcifQ=="/>
  </w:docVars>
  <w:rsids>
    <w:rsidRoot w:val="00270F69"/>
    <w:rsid w:val="0000040A"/>
    <w:rsid w:val="00000A94"/>
    <w:rsid w:val="00001972"/>
    <w:rsid w:val="00001D9A"/>
    <w:rsid w:val="00007B3A"/>
    <w:rsid w:val="000107E0"/>
    <w:rsid w:val="00011FDE"/>
    <w:rsid w:val="00012FFD"/>
    <w:rsid w:val="00014162"/>
    <w:rsid w:val="00014340"/>
    <w:rsid w:val="00016A9C"/>
    <w:rsid w:val="00016E1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77F67"/>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0F69"/>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116"/>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7C0"/>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DB2"/>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F8B"/>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706"/>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AF4"/>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5A2"/>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E30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jpeg"/><Relationship Id="rId28" Type="http://schemas.openxmlformats.org/officeDocument/2006/relationships/image" Target="media/image1.tiff"/><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C1EE3C3D25B47A9885C69CC61E02C20"/>
        <w:style w:val=""/>
        <w:category>
          <w:name w:val="常规"/>
          <w:gallery w:val="placeholder"/>
        </w:category>
        <w:types>
          <w:type w:val="bbPlcHdr"/>
        </w:types>
        <w:behaviors>
          <w:behavior w:val="content"/>
        </w:behaviors>
        <w:description w:val=""/>
        <w:guid w:val="{AE785D20-3034-4976-AB8C-0ECDAD60FDBB}"/>
      </w:docPartPr>
      <w:docPartBody>
        <w:p w14:paraId="41E5B374">
          <w:pPr>
            <w:pStyle w:val="5"/>
          </w:pPr>
          <w:r>
            <w:rPr>
              <w:rStyle w:val="4"/>
              <w:rFonts w:hint="eastAsia"/>
            </w:rPr>
            <w:t>单击或点击此处输入文字。</w:t>
          </w:r>
        </w:p>
      </w:docPartBody>
    </w:docPart>
    <w:docPart>
      <w:docPartPr>
        <w:name w:val="7DA9894EAFFF470E9406B263C86640FD"/>
        <w:style w:val=""/>
        <w:category>
          <w:name w:val="常规"/>
          <w:gallery w:val="placeholder"/>
        </w:category>
        <w:types>
          <w:type w:val="bbPlcHdr"/>
        </w:types>
        <w:behaviors>
          <w:behavior w:val="content"/>
        </w:behaviors>
        <w:description w:val=""/>
        <w:guid w:val="{5875BA41-F6C5-4964-B222-8EDC747E2715}"/>
      </w:docPartPr>
      <w:docPartBody>
        <w:p w14:paraId="13B07349">
          <w:pPr>
            <w:pStyle w:val="6"/>
          </w:pPr>
          <w:r>
            <w:rPr>
              <w:rStyle w:val="4"/>
              <w:rFonts w:hint="eastAsia"/>
            </w:rPr>
            <w:t>选择一项。</w:t>
          </w:r>
        </w:p>
      </w:docPartBody>
    </w:docPart>
    <w:docPart>
      <w:docPartPr>
        <w:name w:val="BEC50A2F8A01487BA4829168D26DA39C"/>
        <w:style w:val=""/>
        <w:category>
          <w:name w:val="常规"/>
          <w:gallery w:val="placeholder"/>
        </w:category>
        <w:types>
          <w:type w:val="bbPlcHdr"/>
        </w:types>
        <w:behaviors>
          <w:behavior w:val="content"/>
        </w:behaviors>
        <w:description w:val=""/>
        <w:guid w:val="{0A1E442C-FB76-4053-B29D-8A096FEAD920}"/>
      </w:docPartPr>
      <w:docPartBody>
        <w:p w14:paraId="4D04EB2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9A"/>
    <w:rsid w:val="00D4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C1EE3C3D25B47A9885C69CC61E02C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A9894EAFFF470E9406B263C86640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EC50A2F8A01487BA4829168D26DA39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215DE-AE29-473E-9F74-E711AB9D6744}">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2487</Words>
  <Characters>2800</Characters>
  <Lines>311</Lines>
  <Paragraphs>279</Paragraphs>
  <TotalTime>26</TotalTime>
  <ScaleCrop>false</ScaleCrop>
  <LinksUpToDate>false</LinksUpToDate>
  <CharactersWithSpaces>2889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2024-09-27T08:07:00Z</dcterms:created>
  <dc:creator>admin</dc:creator>
  <dc:description>&lt;config cover="true" show_menu="true" version="1.0.0" doctype="SDKXY"&gt;_x000d_
&lt;/config&gt;</dc:description>
  <cp:lastModifiedBy>耗子</cp:lastModifiedBy>
  <cp:lastPrinted>2020-08-30T10:00:00Z</cp:lastPrinted>
  <dcterms:modified xsi:type="dcterms:W3CDTF">2024-10-09T02:29:42Z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2052-12.1.0.18276</vt:lpwstr>
  </property>
  <property fmtid="{D5CDD505-2E9C-101B-9397-08002B2CF9AE}" pid="16" name="ICV">
    <vt:lpwstr>04866BB7DF0B47858ED5159C1ED3CF40_12</vt:lpwstr>
  </property>
</Properties>
</file>