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竞技体育奖励办法（试行）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（延期实施征求意见稿）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为充分发挥我市竞技体育各级力量，激发运动员、教练员及相关工作人员提高竞技专业水平，更好地实施国家奥运争光计划，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为国家、省选拔、培养和输送高水平体育后备人才，增强我市竞技体育综合实力和发展后劲，根据《中华人民共和国体育法》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《广东省有关人员参加奥运会奖金奖励办法》《广东省有关人员参加亚运会奖金奖励办法》《广东省有关人员参加全运会奖金奖励办法》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等有关规定，结合我市竞技体育实际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本奖励办法适用于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培养输送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注册运动员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国家队、省队、省体校、省体育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属我市注册的双计分项目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、解放军体工队等优秀专业队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及职业体育俱乐部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的教练员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夏、冬季</w:t>
      </w:r>
      <w:r>
        <w:rPr>
          <w:rFonts w:hint="eastAsia" w:ascii="仿宋_GB2312" w:hAnsi="仿宋_GB2312" w:eastAsia="仿宋_GB2312" w:cs="仿宋_GB2312"/>
          <w:sz w:val="32"/>
          <w:szCs w:val="32"/>
        </w:rPr>
        <w:t>奥林匹克运动会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简称奥运会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世界青年奥林匹克运动会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简称青奥会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、世界锦标赛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简称世锦赛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亚洲运动会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简称亚运会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、亚洲锦标赛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简称亚锦赛)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简称全运会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锦标赛、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全国冠军赛、全国青年运动会、全国青年锦标赛、全国青年冠军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简称省运会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）、广东青少年锦标赛、广东青少年冠军赛（省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U系列赛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等重大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竞技体育赛事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中取得优异成绩的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运动学校、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各级业余体校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其他训练单位（学校、协会、俱乐部、基地等）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训练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的运动员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及我市各注册项目的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教练员和有</w:t>
      </w:r>
      <w:r>
        <w:rPr>
          <w:rFonts w:hint="eastAsia" w:ascii="仿宋_GB2312" w:hAnsi="仿宋_GB2312" w:eastAsia="仿宋_GB2312" w:cs="仿宋_GB2312"/>
          <w:sz w:val="32"/>
          <w:szCs w:val="32"/>
        </w:rPr>
        <w:t>关有功人员(含领队、医疗、科研人员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对运动员、教练员和有关有功人员的奖励，应根据比赛成绩并结合政治思想、道德作风、遵纪守法等方面的情况综合评定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取得优异成绩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运动员、教练员和有关有功人员的具体奖励实施工作。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运动竞赛成绩奖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运动员奖励：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设置及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奖金标准见附表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运动员在一年时间内取得二次以上获奖名次，按所得名次累积计算奖励；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集体项目和团体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接力组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项目的运动员，按所得名次奖金标准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每人一份奖励；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在省运会比赛中获得第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9-12</w:t>
      </w:r>
      <w:r>
        <w:rPr>
          <w:rFonts w:hint="eastAsia" w:ascii="仿宋_GB2312" w:hAnsi="仿宋_GB2312" w:eastAsia="仿宋_GB2312" w:cs="仿宋_GB2312"/>
          <w:sz w:val="32"/>
          <w:szCs w:val="32"/>
        </w:rPr>
        <w:t>名的集体项目的运动员按第八名给予奖励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（二）教练员奖励：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个人项目的教练员按照运动员所得名次奖金标准给予奖励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运动员</w:t>
      </w:r>
      <w:r>
        <w:rPr>
          <w:rFonts w:hint="eastAsia" w:ascii="仿宋_GB2312" w:hAnsi="仿宋_GB2312" w:eastAsia="仿宋_GB2312" w:cs="仿宋_GB2312"/>
          <w:sz w:val="32"/>
          <w:szCs w:val="32"/>
        </w:rPr>
        <w:t>所得名次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累积计算奖励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集体、团体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项目的教练员按照所得名次奖金标准的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倍给予奖励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多名教练员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按照运动员获奖名次只给予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，奖励金由教练员自行协商分配。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经获奖单位申报、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文化广电旅游体育局审核为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运动员取得优异成绩有关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功人员，按照运动员所得名次奖金总额的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教练员输送奖：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仿宋_GB2312" w:cs="黑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输送我市注册运动员到省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级优秀运动队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并转正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每输送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1名运动员，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输送</w:t>
      </w:r>
      <w:r>
        <w:rPr>
          <w:rFonts w:hint="eastAsia" w:ascii="仿宋_GB2312" w:hAnsi="仿宋_GB2312" w:eastAsia="仿宋_GB2312" w:cs="仿宋_GB2312"/>
          <w:sz w:val="32"/>
          <w:szCs w:val="32"/>
        </w:rPr>
        <w:t>教练员1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输送我市注册运动员到广东省体校</w:t>
      </w:r>
      <w:r>
        <w:rPr>
          <w:rFonts w:hint="eastAsia" w:ascii="仿宋_GB2312" w:hAnsi="仿宋_GB2312" w:eastAsia="仿宋_GB2312" w:cs="仿宋_GB2312"/>
          <w:sz w:val="32"/>
          <w:szCs w:val="32"/>
        </w:rPr>
        <w:t>、省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</w:rPr>
        <w:t>范性基地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本办法第二条所列重大比赛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,输送教练原训练时间达一年以上的，奖励输送教练3千元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我市输送的运动员参加全国锦标赛、全运会、亚运会、世锦赛、奥运会等国家级及以上重大赛事获得名次，其输送教练员按照获奖运动员奖金的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50%奖励，最高奖励金额不超过5万元。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奖励申报受理时间为每年第三季度，由获奖单位整理统一汇总后向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进行申报，逾期未申请视为自动放弃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第四季度赛事获奖奖励计入第二年度。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根据所获得成绩进行审核并公示，报市政府审批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同意后，由市文化广电旅游体育局纳入第二年部门专项资金预算，经市人大审议通过后，由市文化广电旅游体育局按规定发放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运动员所取得的成绩必须是国家体育总局、广东省体育局批准的、列入每年年度各项目比赛计划内的赛事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根据国家体育总局和广东省体育局网上公示的年度赛程安排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运动员所获成绩，以国家体育总局、省体育局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的获奖证书、成绩册为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运动员、教练员以及有关有功人员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政治思想、道德作风、遵纪守法等方面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存在不良表现或受到处分的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在报市政府审批时一并提出处理意见，酌情减发奖金数额，直至取消奖励。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省运会群众组纳入团体总分计算范围的比赛项目，参赛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运动员、教练员和有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人员的奖励，参照本办法执行。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残疾人运动员、教练员和有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人员的奖励，参照本办法执行。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奖励标准和金额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视省体育局奖金基数和市经济发展水平定期修订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凡因弄虚作假等原因取得的比赛成绩，不予奖励，已发放的奖金由申报单位全额追回。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负责解释，自发布之日起施行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，有效期三年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tabs>
          <w:tab w:val="left" w:pos="1191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9C8996-A1D6-499E-8769-F3DE9B092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C538AB-0DE4-4DFE-B3F2-393B3FEFB7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59C13E-DAAE-4ADC-9388-6565BAC906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3125A8D-1DE2-44E4-816B-88E3937701E3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715DE4E-416E-49FB-AF23-1B7C988D2A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ZiMWNmMTA0MDFjOGNlMjBmZDU0NDExYWM0YzRkZDMifQ=="/>
  </w:docVars>
  <w:rsids>
    <w:rsidRoot w:val="004341B7"/>
    <w:rsid w:val="000C035E"/>
    <w:rsid w:val="0014722B"/>
    <w:rsid w:val="001D21EE"/>
    <w:rsid w:val="001F225E"/>
    <w:rsid w:val="0027728C"/>
    <w:rsid w:val="002A63D9"/>
    <w:rsid w:val="002E2896"/>
    <w:rsid w:val="00375E27"/>
    <w:rsid w:val="004341B7"/>
    <w:rsid w:val="0058216D"/>
    <w:rsid w:val="00602157"/>
    <w:rsid w:val="00655A4D"/>
    <w:rsid w:val="00670467"/>
    <w:rsid w:val="00702448"/>
    <w:rsid w:val="00723498"/>
    <w:rsid w:val="00796C66"/>
    <w:rsid w:val="007F76A1"/>
    <w:rsid w:val="009555D5"/>
    <w:rsid w:val="00A571F8"/>
    <w:rsid w:val="00AB38CB"/>
    <w:rsid w:val="00B741BD"/>
    <w:rsid w:val="00B9480C"/>
    <w:rsid w:val="00CC40C9"/>
    <w:rsid w:val="00DA11A8"/>
    <w:rsid w:val="00DD53D3"/>
    <w:rsid w:val="00F82FF4"/>
    <w:rsid w:val="0154501D"/>
    <w:rsid w:val="01555041"/>
    <w:rsid w:val="02227A53"/>
    <w:rsid w:val="02651C10"/>
    <w:rsid w:val="02F46727"/>
    <w:rsid w:val="031205F8"/>
    <w:rsid w:val="04823F6B"/>
    <w:rsid w:val="06435B91"/>
    <w:rsid w:val="06AB2661"/>
    <w:rsid w:val="07F71004"/>
    <w:rsid w:val="084904FC"/>
    <w:rsid w:val="0B2B5AAA"/>
    <w:rsid w:val="0BAD03F0"/>
    <w:rsid w:val="0BC057C4"/>
    <w:rsid w:val="0C6E2EF8"/>
    <w:rsid w:val="0F460B80"/>
    <w:rsid w:val="0F95300D"/>
    <w:rsid w:val="109923B4"/>
    <w:rsid w:val="125C6282"/>
    <w:rsid w:val="126A4951"/>
    <w:rsid w:val="12D85BAD"/>
    <w:rsid w:val="135E6EEE"/>
    <w:rsid w:val="15941B79"/>
    <w:rsid w:val="15FA4367"/>
    <w:rsid w:val="1604275C"/>
    <w:rsid w:val="16686EFA"/>
    <w:rsid w:val="16EE149F"/>
    <w:rsid w:val="16FE09EA"/>
    <w:rsid w:val="175B2FAF"/>
    <w:rsid w:val="18530F87"/>
    <w:rsid w:val="191F00C3"/>
    <w:rsid w:val="1997460A"/>
    <w:rsid w:val="1ADF7916"/>
    <w:rsid w:val="1DC077A5"/>
    <w:rsid w:val="1E2D5DC3"/>
    <w:rsid w:val="1ECA570E"/>
    <w:rsid w:val="1FBD6A57"/>
    <w:rsid w:val="200D1731"/>
    <w:rsid w:val="205163CA"/>
    <w:rsid w:val="21930CE8"/>
    <w:rsid w:val="21AC457F"/>
    <w:rsid w:val="220B4073"/>
    <w:rsid w:val="224C4D59"/>
    <w:rsid w:val="22BD08AB"/>
    <w:rsid w:val="23602625"/>
    <w:rsid w:val="23767870"/>
    <w:rsid w:val="23C45999"/>
    <w:rsid w:val="24C26B1F"/>
    <w:rsid w:val="24E27006"/>
    <w:rsid w:val="24FC3F8A"/>
    <w:rsid w:val="25817EC3"/>
    <w:rsid w:val="27377749"/>
    <w:rsid w:val="276937EB"/>
    <w:rsid w:val="279747C4"/>
    <w:rsid w:val="27BC7858"/>
    <w:rsid w:val="27D85841"/>
    <w:rsid w:val="27D926E1"/>
    <w:rsid w:val="28231CC3"/>
    <w:rsid w:val="295B7E06"/>
    <w:rsid w:val="29B608CF"/>
    <w:rsid w:val="2B6F62CB"/>
    <w:rsid w:val="2B9617E3"/>
    <w:rsid w:val="2BD46C09"/>
    <w:rsid w:val="2BF3200E"/>
    <w:rsid w:val="2BFD243A"/>
    <w:rsid w:val="2C95329F"/>
    <w:rsid w:val="2EAD50F0"/>
    <w:rsid w:val="2F170586"/>
    <w:rsid w:val="2F290645"/>
    <w:rsid w:val="2F725033"/>
    <w:rsid w:val="30324F1F"/>
    <w:rsid w:val="30AB18D8"/>
    <w:rsid w:val="31060EFE"/>
    <w:rsid w:val="313D4735"/>
    <w:rsid w:val="31B74E64"/>
    <w:rsid w:val="31EB1EA7"/>
    <w:rsid w:val="3250761A"/>
    <w:rsid w:val="32AC406B"/>
    <w:rsid w:val="341B0F96"/>
    <w:rsid w:val="343874C4"/>
    <w:rsid w:val="34610195"/>
    <w:rsid w:val="34614FBD"/>
    <w:rsid w:val="347251F4"/>
    <w:rsid w:val="34A11B48"/>
    <w:rsid w:val="351334AC"/>
    <w:rsid w:val="35B87A66"/>
    <w:rsid w:val="36BB552C"/>
    <w:rsid w:val="36CE6137"/>
    <w:rsid w:val="38840FFE"/>
    <w:rsid w:val="38ED15C7"/>
    <w:rsid w:val="39DB151F"/>
    <w:rsid w:val="3A1B6FF1"/>
    <w:rsid w:val="3A9A40C2"/>
    <w:rsid w:val="3AB55D6C"/>
    <w:rsid w:val="3B116132"/>
    <w:rsid w:val="3B817D86"/>
    <w:rsid w:val="3B8251E4"/>
    <w:rsid w:val="3B9F7166"/>
    <w:rsid w:val="3BB016EB"/>
    <w:rsid w:val="3BB15B2B"/>
    <w:rsid w:val="3D2D10EF"/>
    <w:rsid w:val="3ED838AD"/>
    <w:rsid w:val="3F756E00"/>
    <w:rsid w:val="40403826"/>
    <w:rsid w:val="417B3305"/>
    <w:rsid w:val="430359DE"/>
    <w:rsid w:val="439C2BED"/>
    <w:rsid w:val="44C46165"/>
    <w:rsid w:val="44C94CF6"/>
    <w:rsid w:val="44E167DB"/>
    <w:rsid w:val="452A2D39"/>
    <w:rsid w:val="47B4418C"/>
    <w:rsid w:val="48ED753F"/>
    <w:rsid w:val="4A3A6E5B"/>
    <w:rsid w:val="4A725C41"/>
    <w:rsid w:val="4ACF63D7"/>
    <w:rsid w:val="4D000865"/>
    <w:rsid w:val="4F1B33B5"/>
    <w:rsid w:val="4FA53B03"/>
    <w:rsid w:val="51C0773A"/>
    <w:rsid w:val="523720E9"/>
    <w:rsid w:val="52576B3F"/>
    <w:rsid w:val="543C37EB"/>
    <w:rsid w:val="54C2218C"/>
    <w:rsid w:val="55993B8C"/>
    <w:rsid w:val="55C93B45"/>
    <w:rsid w:val="56B85264"/>
    <w:rsid w:val="574E4828"/>
    <w:rsid w:val="590B695F"/>
    <w:rsid w:val="5979074B"/>
    <w:rsid w:val="59F55A20"/>
    <w:rsid w:val="5DE40530"/>
    <w:rsid w:val="5E1C4151"/>
    <w:rsid w:val="5FB37F01"/>
    <w:rsid w:val="5FF502F5"/>
    <w:rsid w:val="5FFB5110"/>
    <w:rsid w:val="62A356AD"/>
    <w:rsid w:val="62A368BD"/>
    <w:rsid w:val="633024FD"/>
    <w:rsid w:val="6373359C"/>
    <w:rsid w:val="64A44DA6"/>
    <w:rsid w:val="64B11384"/>
    <w:rsid w:val="655E3434"/>
    <w:rsid w:val="65C87892"/>
    <w:rsid w:val="662C624F"/>
    <w:rsid w:val="686B7407"/>
    <w:rsid w:val="699F55CA"/>
    <w:rsid w:val="6B0B4C4A"/>
    <w:rsid w:val="6B751687"/>
    <w:rsid w:val="6E3576C4"/>
    <w:rsid w:val="6E7E59E2"/>
    <w:rsid w:val="6EA62F0E"/>
    <w:rsid w:val="6F081367"/>
    <w:rsid w:val="6F423310"/>
    <w:rsid w:val="6FF2403B"/>
    <w:rsid w:val="72115177"/>
    <w:rsid w:val="7330724A"/>
    <w:rsid w:val="735F2141"/>
    <w:rsid w:val="73913B59"/>
    <w:rsid w:val="73D51E20"/>
    <w:rsid w:val="73E022FF"/>
    <w:rsid w:val="73F6546A"/>
    <w:rsid w:val="74DB2BB4"/>
    <w:rsid w:val="75856ED1"/>
    <w:rsid w:val="759A0059"/>
    <w:rsid w:val="76F402C9"/>
    <w:rsid w:val="77332E92"/>
    <w:rsid w:val="79C47AF1"/>
    <w:rsid w:val="79E027CB"/>
    <w:rsid w:val="7B9F073D"/>
    <w:rsid w:val="7BDD457D"/>
    <w:rsid w:val="7DC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2615</Words>
  <Characters>2983</Characters>
  <Lines>12</Lines>
  <Paragraphs>3</Paragraphs>
  <TotalTime>12</TotalTime>
  <ScaleCrop>false</ScaleCrop>
  <LinksUpToDate>false</LinksUpToDate>
  <CharactersWithSpaces>3002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2020-04-15T01:07:00Z</dcterms:created>
  <dc:creator>swtx01</dc:creator>
  <cp:lastModifiedBy>John</cp:lastModifiedBy>
  <cp:lastPrinted>2024-06-04T07:55:00Z</cp:lastPrinted>
  <dcterms:modified xsi:type="dcterms:W3CDTF">2024-06-19T01:50:52Z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07BCA84B71034394B6421224003BA854_12</vt:lpwstr>
  </property>
</Properties>
</file>