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90" w:beforeAutospacing="0" w:after="90" w:afterAutospacing="0" w:line="460" w:lineRule="exact"/>
        <w:jc w:val="both"/>
        <w:rPr>
          <w:rFonts w:ascii="仿宋" w:hAnsi="仿宋" w:eastAsia="仿宋"/>
          <w:sz w:val="32"/>
          <w:szCs w:val="32"/>
        </w:rPr>
      </w:pPr>
    </w:p>
    <w:p>
      <w:pPr>
        <w:pStyle w:val="7"/>
        <w:keepNext w:val="0"/>
        <w:keepLines w:val="0"/>
        <w:pageBreakBefore w:val="0"/>
        <w:shd w:val="clear" w:color="auto" w:fill="FFFFFF"/>
        <w:kinsoku/>
        <w:wordWrap/>
        <w:overflowPunct/>
        <w:topLinePunct w:val="0"/>
        <w:autoSpaceDE/>
        <w:autoSpaceDN/>
        <w:bidi w:val="0"/>
        <w:adjustRightInd/>
        <w:snapToGrid/>
        <w:spacing w:before="90" w:beforeAutospacing="0" w:after="90" w:afterAutospacing="0" w:line="600" w:lineRule="exact"/>
        <w:ind w:firstLine="220" w:firstLineChars="50"/>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汕尾市202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年度省产业共建财政扶持资金项目入库计划表</w:t>
      </w:r>
    </w:p>
    <w:tbl>
      <w:tblPr>
        <w:tblStyle w:val="5"/>
        <w:tblpPr w:leftFromText="180" w:rightFromText="180" w:vertAnchor="text" w:horzAnchor="page" w:tblpX="1226" w:tblpY="772"/>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7"/>
        <w:gridCol w:w="2416"/>
        <w:gridCol w:w="1560"/>
        <w:gridCol w:w="297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ascii="仿宋" w:hAnsi="仿宋" w:eastAsia="仿宋"/>
                <w:b/>
              </w:rPr>
            </w:pPr>
            <w:r>
              <w:rPr>
                <w:rFonts w:hint="eastAsia" w:ascii="仿宋" w:hAnsi="仿宋" w:eastAsia="仿宋"/>
                <w:b/>
              </w:rPr>
              <w:t>序号</w:t>
            </w:r>
          </w:p>
        </w:tc>
        <w:tc>
          <w:tcPr>
            <w:tcW w:w="2416" w:type="dxa"/>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ascii="仿宋" w:hAnsi="仿宋" w:eastAsia="仿宋"/>
                <w:b/>
              </w:rPr>
            </w:pPr>
            <w:r>
              <w:rPr>
                <w:rFonts w:hint="eastAsia" w:ascii="仿宋" w:hAnsi="仿宋" w:eastAsia="仿宋"/>
                <w:b/>
              </w:rPr>
              <w:t>企业名称</w:t>
            </w:r>
          </w:p>
        </w:tc>
        <w:tc>
          <w:tcPr>
            <w:tcW w:w="1560" w:type="dxa"/>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ascii="仿宋" w:hAnsi="仿宋" w:eastAsia="仿宋"/>
                <w:b/>
              </w:rPr>
            </w:pPr>
            <w:r>
              <w:rPr>
                <w:rFonts w:hint="eastAsia" w:ascii="仿宋" w:hAnsi="仿宋" w:eastAsia="仿宋"/>
                <w:b/>
              </w:rPr>
              <w:t>所在地</w:t>
            </w:r>
          </w:p>
        </w:tc>
        <w:tc>
          <w:tcPr>
            <w:tcW w:w="2976" w:type="dxa"/>
            <w:tcBorders>
              <w:lef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ascii="仿宋" w:hAnsi="仿宋" w:eastAsia="仿宋"/>
                <w:b/>
              </w:rPr>
            </w:pPr>
            <w:r>
              <w:rPr>
                <w:rFonts w:hint="eastAsia" w:ascii="仿宋" w:hAnsi="仿宋" w:eastAsia="仿宋"/>
                <w:b/>
              </w:rPr>
              <w:t>奖补类型和             奖补条件</w:t>
            </w:r>
          </w:p>
        </w:tc>
        <w:tc>
          <w:tcPr>
            <w:tcW w:w="2268" w:type="dxa"/>
            <w:tcBorders>
              <w:left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ascii="仿宋" w:hAnsi="仿宋" w:eastAsia="仿宋"/>
                <w:b/>
              </w:rPr>
            </w:pPr>
            <w:r>
              <w:rPr>
                <w:rFonts w:hint="eastAsia" w:ascii="仿宋" w:hAnsi="仿宋" w:eastAsia="仿宋"/>
                <w:b/>
              </w:rPr>
              <w:t>拟安排                      奖补资金额（万元）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ascii="仿宋" w:hAnsi="仿宋" w:eastAsia="仿宋"/>
              </w:rPr>
            </w:pPr>
            <w:r>
              <w:rPr>
                <w:rFonts w:hint="eastAsia" w:ascii="仿宋" w:hAnsi="仿宋" w:eastAsia="仿宋"/>
              </w:rPr>
              <w:t>1</w:t>
            </w:r>
          </w:p>
        </w:tc>
        <w:tc>
          <w:tcPr>
            <w:tcW w:w="2416" w:type="dxa"/>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汕尾天贸新能源科技有限公司</w:t>
            </w:r>
          </w:p>
        </w:tc>
        <w:tc>
          <w:tcPr>
            <w:tcW w:w="1560" w:type="dxa"/>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汕尾市汕尾新区产业转移集聚地</w:t>
            </w:r>
          </w:p>
        </w:tc>
        <w:tc>
          <w:tcPr>
            <w:tcW w:w="297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普惠性奖补：珠三角地区的规模以上工业企业在汕尾市地区的省产业园设立的分厂或独立核算生产线等增资扩产项目</w:t>
            </w:r>
          </w:p>
        </w:tc>
        <w:tc>
          <w:tcPr>
            <w:tcW w:w="2268" w:type="dxa"/>
            <w:tcBorders>
              <w:left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9" w:type="dxa"/>
            <w:gridSpan w:val="4"/>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合计</w:t>
            </w:r>
          </w:p>
        </w:tc>
        <w:tc>
          <w:tcPr>
            <w:tcW w:w="2268" w:type="dxa"/>
            <w:tcBorders>
              <w:left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101.91</w:t>
            </w:r>
          </w:p>
        </w:tc>
      </w:tr>
    </w:tbl>
    <w:p>
      <w:pPr>
        <w:pStyle w:val="7"/>
        <w:keepNext w:val="0"/>
        <w:keepLines w:val="0"/>
        <w:pageBreakBefore w:val="0"/>
        <w:shd w:val="clear" w:color="auto" w:fill="FFFFFF"/>
        <w:kinsoku/>
        <w:wordWrap/>
        <w:overflowPunct/>
        <w:topLinePunct w:val="0"/>
        <w:autoSpaceDE/>
        <w:autoSpaceDN/>
        <w:bidi w:val="0"/>
        <w:adjustRightInd/>
        <w:snapToGrid/>
        <w:spacing w:before="90" w:beforeAutospacing="0" w:after="90" w:afterAutospacing="0" w:line="600" w:lineRule="exact"/>
        <w:ind w:firstLine="120" w:firstLineChars="50"/>
        <w:jc w:val="center"/>
        <w:textAlignment w:val="auto"/>
      </w:pPr>
    </w:p>
    <w:p>
      <w:pPr>
        <w:pStyle w:val="7"/>
        <w:shd w:val="clear" w:color="auto" w:fill="FFFFFF"/>
        <w:spacing w:before="90" w:beforeAutospacing="0" w:after="90" w:afterAutospacing="0" w:line="460" w:lineRule="exact"/>
        <w:ind w:right="640"/>
        <w:rPr>
          <w:rFonts w:ascii="仿宋" w:hAnsi="仿宋" w:eastAsia="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mNjA3MjA0ZmRlODFhN2IyN2ZlMDVkNDQwNjk3N2IifQ=="/>
  </w:docVars>
  <w:rsids>
    <w:rsidRoot w:val="007F7355"/>
    <w:rsid w:val="00071E83"/>
    <w:rsid w:val="000904FC"/>
    <w:rsid w:val="000E7F96"/>
    <w:rsid w:val="001263B2"/>
    <w:rsid w:val="001A1A9F"/>
    <w:rsid w:val="001E1888"/>
    <w:rsid w:val="001E20B9"/>
    <w:rsid w:val="00235867"/>
    <w:rsid w:val="00272E40"/>
    <w:rsid w:val="002A0C06"/>
    <w:rsid w:val="002A611A"/>
    <w:rsid w:val="0033309C"/>
    <w:rsid w:val="003401E9"/>
    <w:rsid w:val="00417E9D"/>
    <w:rsid w:val="00452577"/>
    <w:rsid w:val="004B1764"/>
    <w:rsid w:val="004D71EE"/>
    <w:rsid w:val="00613CFE"/>
    <w:rsid w:val="006B49CB"/>
    <w:rsid w:val="007135A8"/>
    <w:rsid w:val="007D6BD8"/>
    <w:rsid w:val="007F7355"/>
    <w:rsid w:val="00842355"/>
    <w:rsid w:val="008E00E1"/>
    <w:rsid w:val="009F072D"/>
    <w:rsid w:val="00A378D1"/>
    <w:rsid w:val="00B42A7A"/>
    <w:rsid w:val="00BD69CC"/>
    <w:rsid w:val="00C21C7E"/>
    <w:rsid w:val="00C6244F"/>
    <w:rsid w:val="00C86983"/>
    <w:rsid w:val="00D33B9A"/>
    <w:rsid w:val="00E61538"/>
    <w:rsid w:val="00F34644"/>
    <w:rsid w:val="00F8759A"/>
    <w:rsid w:val="00F92DC6"/>
    <w:rsid w:val="0B154048"/>
    <w:rsid w:val="4A092D57"/>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custom_unionstyle"/>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6"/>
    <w:link w:val="4"/>
    <w:uiPriority w:val="99"/>
    <w:rPr>
      <w:rFonts w:ascii="Calibri" w:hAnsi="Calibri" w:eastAsia="宋体" w:cs="Times New Roman"/>
      <w:sz w:val="18"/>
      <w:szCs w:val="18"/>
    </w:rPr>
  </w:style>
  <w:style w:type="character" w:customStyle="1" w:styleId="9">
    <w:name w:val="页脚 Char"/>
    <w:basedOn w:val="6"/>
    <w:link w:val="3"/>
    <w:uiPriority w:val="99"/>
    <w:rPr>
      <w:rFonts w:ascii="Calibri" w:hAnsi="Calibri" w:eastAsia="宋体" w:cs="Times New Roman"/>
      <w:sz w:val="18"/>
      <w:szCs w:val="18"/>
    </w:rPr>
  </w:style>
  <w:style w:type="character" w:customStyle="1" w:styleId="10">
    <w:name w:val="日期 Char"/>
    <w:basedOn w:val="6"/>
    <w:link w:val="2"/>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1</Pages>
  <Words>347</Words>
  <Characters>379</Characters>
  <Lines>3</Lines>
  <Paragraphs>1</Paragraphs>
  <TotalTime>0</TotalTime>
  <ScaleCrop>false</ScaleCrop>
  <LinksUpToDate>false</LinksUpToDate>
  <CharactersWithSpaces>414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2018-12-21T02:56:00Z</dcterms:created>
  <dc:creator>SkyUser</dc:creator>
  <cp:lastModifiedBy>林楚越</cp:lastModifiedBy>
  <cp:lastPrinted>2022-07-13T07:49:00Z</cp:lastPrinted>
  <dcterms:modified xsi:type="dcterms:W3CDTF">2024-06-03T03:59:23Z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C3AF927FB3324E18BC46B9DAD99D00E2_12</vt:lpwstr>
  </property>
</Properties>
</file>