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shd w:val="clear" w:color="auto" w:fill="FFFFFF"/>
        <w:kinsoku/>
        <w:wordWrap/>
        <w:overflowPunct/>
        <w:topLinePunct w:val="0"/>
        <w:autoSpaceDE/>
        <w:autoSpaceDN/>
        <w:bidi w:val="0"/>
        <w:adjustRightInd/>
        <w:snapToGrid/>
        <w:spacing w:before="90" w:beforeAutospacing="0" w:after="90" w:afterAutospacing="0" w:line="600" w:lineRule="exact"/>
        <w:jc w:val="both"/>
        <w:textAlignment w:val="auto"/>
        <w:rPr>
          <w:rFonts w:ascii="黑体" w:hAnsi="黑体" w:eastAsia="黑体"/>
          <w:sz w:val="32"/>
          <w:szCs w:val="32"/>
        </w:rPr>
      </w:pPr>
      <w:bookmarkStart w:id="0" w:name="_GoBack"/>
      <w:bookmarkEnd w:id="0"/>
      <w:r>
        <w:rPr>
          <w:rFonts w:hint="eastAsia" w:ascii="黑体" w:hAnsi="黑体" w:eastAsia="黑体"/>
          <w:sz w:val="32"/>
          <w:szCs w:val="32"/>
        </w:rPr>
        <w:t>附件</w:t>
      </w:r>
    </w:p>
    <w:p>
      <w:pPr>
        <w:pStyle w:val="7"/>
        <w:keepNext w:val="0"/>
        <w:keepLines w:val="0"/>
        <w:pageBreakBefore w:val="0"/>
        <w:shd w:val="clear" w:color="auto" w:fill="FFFFFF"/>
        <w:kinsoku/>
        <w:wordWrap/>
        <w:overflowPunct/>
        <w:topLinePunct w:val="0"/>
        <w:autoSpaceDE/>
        <w:autoSpaceDN/>
        <w:bidi w:val="0"/>
        <w:adjustRightInd/>
        <w:snapToGrid/>
        <w:spacing w:before="90" w:beforeAutospacing="0" w:after="90" w:afterAutospacing="0" w:line="600" w:lineRule="exact"/>
        <w:ind w:firstLine="220" w:firstLineChars="50"/>
        <w:jc w:val="center"/>
        <w:textAlignment w:val="auto"/>
        <w:rPr>
          <w:rFonts w:ascii="方正小标宋简体" w:hAnsi="仿宋" w:eastAsia="方正小标宋简体"/>
          <w:sz w:val="44"/>
          <w:szCs w:val="44"/>
        </w:rPr>
      </w:pPr>
    </w:p>
    <w:p>
      <w:pPr>
        <w:pStyle w:val="7"/>
        <w:keepNext w:val="0"/>
        <w:keepLines w:val="0"/>
        <w:pageBreakBefore w:val="0"/>
        <w:shd w:val="clear" w:color="auto" w:fill="FFFFFF"/>
        <w:kinsoku/>
        <w:wordWrap/>
        <w:overflowPunct/>
        <w:topLinePunct w:val="0"/>
        <w:autoSpaceDE/>
        <w:autoSpaceDN/>
        <w:bidi w:val="0"/>
        <w:adjustRightInd/>
        <w:snapToGrid/>
        <w:spacing w:before="90" w:beforeAutospacing="0" w:after="90" w:afterAutospacing="0" w:line="600" w:lineRule="exact"/>
        <w:ind w:firstLine="220" w:firstLineChars="50"/>
        <w:jc w:val="center"/>
        <w:textAlignment w:val="auto"/>
        <w:rPr>
          <w:rFonts w:ascii="方正小标宋简体" w:hAnsi="仿宋" w:eastAsia="方正小标宋简体"/>
          <w:sz w:val="44"/>
          <w:szCs w:val="44"/>
        </w:rPr>
      </w:pPr>
      <w:r>
        <w:rPr>
          <w:rFonts w:hint="eastAsia" w:ascii="方正小标宋简体" w:hAnsi="仿宋" w:eastAsia="方正小标宋简体"/>
          <w:sz w:val="44"/>
          <w:szCs w:val="44"/>
        </w:rPr>
        <w:t>汕尾市202</w:t>
      </w:r>
      <w:r>
        <w:rPr>
          <w:rFonts w:hint="eastAsia" w:ascii="方正小标宋简体" w:hAnsi="仿宋" w:eastAsia="方正小标宋简体"/>
          <w:sz w:val="44"/>
          <w:szCs w:val="44"/>
          <w:lang w:val="en-US" w:eastAsia="zh-CN"/>
        </w:rPr>
        <w:t>5</w:t>
      </w:r>
      <w:r>
        <w:rPr>
          <w:rFonts w:hint="eastAsia" w:ascii="方正小标宋简体" w:hAnsi="仿宋" w:eastAsia="方正小标宋简体"/>
          <w:sz w:val="44"/>
          <w:szCs w:val="44"/>
        </w:rPr>
        <w:t>年度省产业共建财政扶持资金项目入库计划表</w:t>
      </w:r>
    </w:p>
    <w:tbl>
      <w:tblPr>
        <w:tblStyle w:val="5"/>
        <w:tblpPr w:leftFromText="180" w:rightFromText="180" w:vertAnchor="text" w:horzAnchor="page" w:tblpX="1226" w:tblpY="772"/>
        <w:tblW w:w="97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27"/>
        <w:gridCol w:w="2416"/>
        <w:gridCol w:w="1560"/>
        <w:gridCol w:w="2976"/>
        <w:gridCol w:w="2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7" w:type="dxa"/>
            <w:vAlign w:val="center"/>
          </w:tcPr>
          <w:p>
            <w:pPr>
              <w:pStyle w:val="7"/>
              <w:keepNext w:val="0"/>
              <w:keepLines w:val="0"/>
              <w:pageBreakBefore w:val="0"/>
              <w:kinsoku/>
              <w:wordWrap/>
              <w:overflowPunct/>
              <w:topLinePunct w:val="0"/>
              <w:autoSpaceDE/>
              <w:autoSpaceDN/>
              <w:bidi w:val="0"/>
              <w:adjustRightInd/>
              <w:snapToGrid/>
              <w:spacing w:before="90" w:beforeAutospacing="0" w:after="90" w:afterAutospacing="0" w:line="600" w:lineRule="exact"/>
              <w:jc w:val="center"/>
              <w:textAlignment w:val="auto"/>
              <w:rPr>
                <w:rFonts w:ascii="仿宋" w:hAnsi="仿宋" w:eastAsia="仿宋"/>
                <w:b/>
              </w:rPr>
            </w:pPr>
            <w:r>
              <w:rPr>
                <w:rFonts w:hint="eastAsia" w:ascii="仿宋" w:hAnsi="仿宋" w:eastAsia="仿宋"/>
                <w:b/>
              </w:rPr>
              <w:t>序号</w:t>
            </w:r>
          </w:p>
        </w:tc>
        <w:tc>
          <w:tcPr>
            <w:tcW w:w="2416" w:type="dxa"/>
            <w:vAlign w:val="center"/>
          </w:tcPr>
          <w:p>
            <w:pPr>
              <w:pStyle w:val="7"/>
              <w:keepNext w:val="0"/>
              <w:keepLines w:val="0"/>
              <w:pageBreakBefore w:val="0"/>
              <w:kinsoku/>
              <w:wordWrap/>
              <w:overflowPunct/>
              <w:topLinePunct w:val="0"/>
              <w:autoSpaceDE/>
              <w:autoSpaceDN/>
              <w:bidi w:val="0"/>
              <w:adjustRightInd/>
              <w:snapToGrid/>
              <w:spacing w:before="90" w:beforeAutospacing="0" w:after="90" w:afterAutospacing="0" w:line="600" w:lineRule="exact"/>
              <w:jc w:val="center"/>
              <w:textAlignment w:val="auto"/>
              <w:rPr>
                <w:rFonts w:ascii="仿宋" w:hAnsi="仿宋" w:eastAsia="仿宋"/>
                <w:b/>
              </w:rPr>
            </w:pPr>
            <w:r>
              <w:rPr>
                <w:rFonts w:hint="eastAsia" w:ascii="仿宋" w:hAnsi="仿宋" w:eastAsia="仿宋"/>
                <w:b/>
              </w:rPr>
              <w:t>企业名称</w:t>
            </w:r>
          </w:p>
        </w:tc>
        <w:tc>
          <w:tcPr>
            <w:tcW w:w="1560" w:type="dxa"/>
            <w:vAlign w:val="center"/>
          </w:tcPr>
          <w:p>
            <w:pPr>
              <w:pStyle w:val="7"/>
              <w:keepNext w:val="0"/>
              <w:keepLines w:val="0"/>
              <w:pageBreakBefore w:val="0"/>
              <w:kinsoku/>
              <w:wordWrap/>
              <w:overflowPunct/>
              <w:topLinePunct w:val="0"/>
              <w:autoSpaceDE/>
              <w:autoSpaceDN/>
              <w:bidi w:val="0"/>
              <w:adjustRightInd/>
              <w:snapToGrid/>
              <w:spacing w:before="90" w:beforeAutospacing="0" w:after="90" w:afterAutospacing="0" w:line="600" w:lineRule="exact"/>
              <w:jc w:val="center"/>
              <w:textAlignment w:val="auto"/>
              <w:rPr>
                <w:rFonts w:ascii="仿宋" w:hAnsi="仿宋" w:eastAsia="仿宋"/>
                <w:b/>
              </w:rPr>
            </w:pPr>
            <w:r>
              <w:rPr>
                <w:rFonts w:hint="eastAsia" w:ascii="仿宋" w:hAnsi="仿宋" w:eastAsia="仿宋"/>
                <w:b/>
              </w:rPr>
              <w:t>所在地</w:t>
            </w:r>
          </w:p>
        </w:tc>
        <w:tc>
          <w:tcPr>
            <w:tcW w:w="2976" w:type="dxa"/>
            <w:tcBorders>
              <w:lef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before="90" w:beforeAutospacing="0" w:after="90" w:afterAutospacing="0" w:line="600" w:lineRule="exact"/>
              <w:jc w:val="center"/>
              <w:textAlignment w:val="auto"/>
              <w:rPr>
                <w:rFonts w:ascii="仿宋" w:hAnsi="仿宋" w:eastAsia="仿宋"/>
                <w:b/>
              </w:rPr>
            </w:pPr>
            <w:r>
              <w:rPr>
                <w:rFonts w:hint="eastAsia" w:ascii="仿宋" w:hAnsi="仿宋" w:eastAsia="仿宋"/>
                <w:b/>
              </w:rPr>
              <w:t>奖补类型和             奖补条件</w:t>
            </w:r>
          </w:p>
        </w:tc>
        <w:tc>
          <w:tcPr>
            <w:tcW w:w="2268" w:type="dxa"/>
            <w:tcBorders>
              <w:left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before="90" w:beforeAutospacing="0" w:after="90" w:afterAutospacing="0" w:line="600" w:lineRule="exact"/>
              <w:jc w:val="center"/>
              <w:textAlignment w:val="auto"/>
              <w:rPr>
                <w:rFonts w:ascii="仿宋" w:hAnsi="仿宋" w:eastAsia="仿宋"/>
                <w:b/>
              </w:rPr>
            </w:pPr>
            <w:r>
              <w:rPr>
                <w:rFonts w:hint="eastAsia" w:ascii="仿宋" w:hAnsi="仿宋" w:eastAsia="仿宋"/>
                <w:b/>
              </w:rPr>
              <w:t>拟安排                      奖补资金额（万元）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7" w:type="dxa"/>
            <w:vAlign w:val="center"/>
          </w:tcPr>
          <w:p>
            <w:pPr>
              <w:pStyle w:val="7"/>
              <w:keepNext w:val="0"/>
              <w:keepLines w:val="0"/>
              <w:pageBreakBefore w:val="0"/>
              <w:kinsoku/>
              <w:wordWrap/>
              <w:overflowPunct/>
              <w:topLinePunct w:val="0"/>
              <w:autoSpaceDE/>
              <w:autoSpaceDN/>
              <w:bidi w:val="0"/>
              <w:adjustRightInd/>
              <w:snapToGrid/>
              <w:spacing w:before="90" w:beforeAutospacing="0" w:after="90" w:afterAutospacing="0" w:line="600" w:lineRule="exact"/>
              <w:jc w:val="center"/>
              <w:textAlignment w:val="auto"/>
              <w:rPr>
                <w:rFonts w:ascii="仿宋" w:hAnsi="仿宋" w:eastAsia="仿宋"/>
              </w:rPr>
            </w:pPr>
            <w:r>
              <w:rPr>
                <w:rFonts w:hint="eastAsia" w:ascii="仿宋" w:hAnsi="仿宋" w:eastAsia="仿宋"/>
              </w:rPr>
              <w:t>1</w:t>
            </w:r>
          </w:p>
        </w:tc>
        <w:tc>
          <w:tcPr>
            <w:tcW w:w="2416" w:type="dxa"/>
            <w:vAlign w:val="center"/>
          </w:tcPr>
          <w:p>
            <w:pPr>
              <w:pStyle w:val="7"/>
              <w:keepNext w:val="0"/>
              <w:keepLines w:val="0"/>
              <w:pageBreakBefore w:val="0"/>
              <w:kinsoku/>
              <w:wordWrap/>
              <w:overflowPunct/>
              <w:topLinePunct w:val="0"/>
              <w:autoSpaceDE/>
              <w:autoSpaceDN/>
              <w:bidi w:val="0"/>
              <w:adjustRightInd/>
              <w:snapToGrid/>
              <w:spacing w:before="90" w:beforeAutospacing="0" w:after="90" w:afterAutospacing="0" w:line="6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汕尾天贸新能源科技有限公司</w:t>
            </w:r>
          </w:p>
        </w:tc>
        <w:tc>
          <w:tcPr>
            <w:tcW w:w="1560" w:type="dxa"/>
            <w:vAlign w:val="center"/>
          </w:tcPr>
          <w:p>
            <w:pPr>
              <w:pStyle w:val="7"/>
              <w:keepNext w:val="0"/>
              <w:keepLines w:val="0"/>
              <w:pageBreakBefore w:val="0"/>
              <w:kinsoku/>
              <w:wordWrap/>
              <w:overflowPunct/>
              <w:topLinePunct w:val="0"/>
              <w:autoSpaceDE/>
              <w:autoSpaceDN/>
              <w:bidi w:val="0"/>
              <w:adjustRightInd/>
              <w:snapToGrid/>
              <w:spacing w:before="90" w:beforeAutospacing="0" w:after="90" w:afterAutospacing="0" w:line="60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汕尾市汕尾新区产业转移集聚地</w:t>
            </w:r>
          </w:p>
        </w:tc>
        <w:tc>
          <w:tcPr>
            <w:tcW w:w="2976"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普惠性奖补：珠三角地区的规模以上工业企业在汕尾市地区的省产业园设立的分厂或独立核算生产线等增资扩产项目</w:t>
            </w:r>
          </w:p>
        </w:tc>
        <w:tc>
          <w:tcPr>
            <w:tcW w:w="2268" w:type="dxa"/>
            <w:tcBorders>
              <w:left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before="90" w:beforeAutospacing="0" w:after="90" w:afterAutospacing="0" w:line="6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101.91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79" w:type="dxa"/>
            <w:gridSpan w:val="4"/>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合计</w:t>
            </w:r>
          </w:p>
        </w:tc>
        <w:tc>
          <w:tcPr>
            <w:tcW w:w="2268" w:type="dxa"/>
            <w:tcBorders>
              <w:left w:val="single" w:color="auto" w:sz="4" w:space="0"/>
              <w:right w:val="single" w:color="auto" w:sz="4" w:space="0"/>
            </w:tcBorders>
            <w:vAlign w:val="center"/>
          </w:tcPr>
          <w:p>
            <w:pPr>
              <w:pStyle w:val="7"/>
              <w:keepNext w:val="0"/>
              <w:keepLines w:val="0"/>
              <w:pageBreakBefore w:val="0"/>
              <w:kinsoku/>
              <w:wordWrap/>
              <w:overflowPunct/>
              <w:topLinePunct w:val="0"/>
              <w:autoSpaceDE/>
              <w:autoSpaceDN/>
              <w:bidi w:val="0"/>
              <w:adjustRightInd/>
              <w:snapToGrid/>
              <w:spacing w:before="90" w:beforeAutospacing="0" w:after="90" w:afterAutospacing="0" w:line="6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101.91</w:t>
            </w:r>
          </w:p>
        </w:tc>
      </w:tr>
    </w:tbl>
    <w:p>
      <w:pPr>
        <w:pStyle w:val="7"/>
        <w:keepNext w:val="0"/>
        <w:keepLines w:val="0"/>
        <w:pageBreakBefore w:val="0"/>
        <w:shd w:val="clear" w:color="auto" w:fill="FFFFFF"/>
        <w:kinsoku/>
        <w:wordWrap/>
        <w:overflowPunct/>
        <w:topLinePunct w:val="0"/>
        <w:autoSpaceDE/>
        <w:autoSpaceDN/>
        <w:bidi w:val="0"/>
        <w:adjustRightInd/>
        <w:snapToGrid/>
        <w:spacing w:before="90" w:beforeAutospacing="0" w:after="90" w:afterAutospacing="0" w:line="600" w:lineRule="exact"/>
        <w:ind w:firstLine="120" w:firstLineChars="50"/>
        <w:jc w:val="center"/>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lmNjA3MjA0ZmRlODFhN2IyN2ZlMDVkNDQwNjk3N2IifQ=="/>
  </w:docVars>
  <w:rsids>
    <w:rsidRoot w:val="007F7355"/>
    <w:rsid w:val="00024A07"/>
    <w:rsid w:val="00035EAE"/>
    <w:rsid w:val="00092DED"/>
    <w:rsid w:val="0029751E"/>
    <w:rsid w:val="002B5FF5"/>
    <w:rsid w:val="002B64CB"/>
    <w:rsid w:val="002C5B14"/>
    <w:rsid w:val="0036213B"/>
    <w:rsid w:val="003C3755"/>
    <w:rsid w:val="003D644F"/>
    <w:rsid w:val="00502861"/>
    <w:rsid w:val="005A4C6E"/>
    <w:rsid w:val="0062427A"/>
    <w:rsid w:val="00695C66"/>
    <w:rsid w:val="006B49CB"/>
    <w:rsid w:val="006B4E19"/>
    <w:rsid w:val="006D5CAC"/>
    <w:rsid w:val="006F3DBA"/>
    <w:rsid w:val="007C4A8E"/>
    <w:rsid w:val="007E65A0"/>
    <w:rsid w:val="007F7355"/>
    <w:rsid w:val="008841EC"/>
    <w:rsid w:val="008C0B65"/>
    <w:rsid w:val="00945191"/>
    <w:rsid w:val="00A00D25"/>
    <w:rsid w:val="00A2792E"/>
    <w:rsid w:val="00B552BF"/>
    <w:rsid w:val="00BD69CC"/>
    <w:rsid w:val="00C5203C"/>
    <w:rsid w:val="00C82305"/>
    <w:rsid w:val="00CA7DD7"/>
    <w:rsid w:val="00CF1B71"/>
    <w:rsid w:val="00D81C2A"/>
    <w:rsid w:val="00E376E8"/>
    <w:rsid w:val="00E61538"/>
    <w:rsid w:val="00E7478D"/>
    <w:rsid w:val="00F25012"/>
    <w:rsid w:val="00F66EF3"/>
    <w:rsid w:val="017C6D0A"/>
    <w:rsid w:val="04CB5FDF"/>
    <w:rsid w:val="0F777A59"/>
    <w:rsid w:val="15A22D8C"/>
    <w:rsid w:val="16CA552F"/>
    <w:rsid w:val="209239FD"/>
    <w:rsid w:val="2B7E34FB"/>
    <w:rsid w:val="2BC11EB8"/>
    <w:rsid w:val="2F124686"/>
    <w:rsid w:val="324E3C27"/>
    <w:rsid w:val="39C04158"/>
    <w:rsid w:val="40B51316"/>
    <w:rsid w:val="45E71F71"/>
    <w:rsid w:val="59017396"/>
    <w:rsid w:val="5DCA5FA9"/>
    <w:rsid w:val="68F93BE6"/>
    <w:rsid w:val="6FF45107"/>
    <w:rsid w:val="7A707A80"/>
  </w:rsids>
  <m:mathPr>
    <m:mathFont m:val="Cambria Math"/>
    <m:brkBin m:val="before"/>
    <m:brkBinSub m:val="--"/>
    <m:smallFrac m:val="1"/>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custom_unionstyle"/>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8">
    <w:name w:val="页眉 Char"/>
    <w:basedOn w:val="6"/>
    <w:link w:val="4"/>
    <w:qFormat/>
    <w:uiPriority w:val="99"/>
    <w:rPr>
      <w:rFonts w:ascii="Calibri" w:hAnsi="Calibri" w:eastAsia="宋体" w:cs="Times New Roman"/>
      <w:sz w:val="18"/>
      <w:szCs w:val="18"/>
    </w:rPr>
  </w:style>
  <w:style w:type="character" w:customStyle="1" w:styleId="9">
    <w:name w:val="页脚 Char"/>
    <w:basedOn w:val="6"/>
    <w:link w:val="3"/>
    <w:qFormat/>
    <w:uiPriority w:val="99"/>
    <w:rPr>
      <w:rFonts w:ascii="Calibri" w:hAnsi="Calibri" w:eastAsia="宋体" w:cs="Times New Roman"/>
      <w:sz w:val="18"/>
      <w:szCs w:val="18"/>
    </w:rPr>
  </w:style>
  <w:style w:type="character" w:customStyle="1" w:styleId="10">
    <w:name w:val="日期 Char"/>
    <w:basedOn w:val="6"/>
    <w:link w:val="2"/>
    <w:semiHidden/>
    <w:qFormat/>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ITSK.com</Company>
  <Pages>1</Pages>
  <Words>385</Words>
  <Characters>434</Characters>
  <Lines>3</Lines>
  <Paragraphs>1</Paragraphs>
  <TotalTime>1</TotalTime>
  <ScaleCrop>false</ScaleCrop>
  <LinksUpToDate>false</LinksUpToDate>
  <CharactersWithSpaces>472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2018-12-21T02:56:00Z</dcterms:created>
  <dc:creator>SkyUser</dc:creator>
  <cp:lastModifiedBy>林楚越</cp:lastModifiedBy>
  <cp:lastPrinted>2020-06-22T01:53:00Z</cp:lastPrinted>
  <dcterms:modified xsi:type="dcterms:W3CDTF">2024-05-28T03:06:32Z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2FC0465ACEB740B9A7D0EA4E27661ECE_12</vt:lpwstr>
  </property>
</Properties>
</file>