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wordWrap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  <w:t>附件2</w:t>
      </w:r>
    </w:p>
    <w:p>
      <w:pPr>
        <w:spacing w:line="560" w:lineRule="exact"/>
        <w:jc w:val="center"/>
        <w:rPr>
          <w:rFonts w:hint="eastAsia" w:ascii="宋体" w:hAnsi="宋体" w:eastAsia="宋体" w:cs="宋体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highlight w:val="none"/>
          <w:lang w:eastAsia="zh-CN"/>
        </w:rPr>
        <w:t>广东电网输配电</w:t>
      </w:r>
      <w:bookmarkStart w:id="0" w:name="_GoBack"/>
      <w:bookmarkEnd w:id="0"/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highlight w:val="none"/>
          <w:lang w:eastAsia="zh-CN"/>
        </w:rPr>
        <w:t>价表</w:t>
      </w:r>
    </w:p>
    <w:p>
      <w:pPr>
        <w:rPr>
          <w:rFonts w:ascii="宋体" w:hAnsi="宋体" w:eastAsia="宋体" w:cs="宋体"/>
          <w:sz w:val="24"/>
          <w:szCs w:val="24"/>
        </w:rPr>
      </w:pPr>
    </w:p>
    <w:tbl>
      <w:tblPr>
        <w:tblStyle w:val="2"/>
        <w:tblW w:w="145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0"/>
        <w:gridCol w:w="1260"/>
        <w:gridCol w:w="1297"/>
        <w:gridCol w:w="1208"/>
        <w:gridCol w:w="1132"/>
        <w:gridCol w:w="1305"/>
        <w:gridCol w:w="1193"/>
        <w:gridCol w:w="1087"/>
        <w:gridCol w:w="1131"/>
        <w:gridCol w:w="1268"/>
        <w:gridCol w:w="1043"/>
        <w:gridCol w:w="13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2510" w:type="dxa"/>
            <w:gridSpan w:val="2"/>
            <w:vMerge w:val="restart"/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eastAsia="zh-CN"/>
              </w:rPr>
              <w:t>用电分类</w:t>
            </w:r>
          </w:p>
        </w:tc>
        <w:tc>
          <w:tcPr>
            <w:tcW w:w="4942" w:type="dxa"/>
            <w:gridSpan w:val="4"/>
            <w:vMerge w:val="restart"/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电量电价(元/千瓦时)</w:t>
            </w:r>
          </w:p>
        </w:tc>
        <w:tc>
          <w:tcPr>
            <w:tcW w:w="7089" w:type="dxa"/>
            <w:gridSpan w:val="6"/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容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需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eastAsia="zh-CN"/>
              </w:rPr>
              <w:t>）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量电价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2510" w:type="dxa"/>
            <w:gridSpan w:val="2"/>
            <w:vMerge w:val="continue"/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4942" w:type="dxa"/>
            <w:gridSpan w:val="4"/>
            <w:vMerge w:val="continue"/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3411" w:type="dxa"/>
            <w:gridSpan w:val="3"/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需量电价(元/千瓦·月)</w:t>
            </w:r>
          </w:p>
        </w:tc>
        <w:tc>
          <w:tcPr>
            <w:tcW w:w="3678" w:type="dxa"/>
            <w:gridSpan w:val="3"/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容量电价(元/千伏安·月)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2510" w:type="dxa"/>
            <w:gridSpan w:val="2"/>
            <w:vMerge w:val="continue"/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297" w:type="dxa"/>
            <w:vAlign w:val="center"/>
          </w:tcPr>
          <w:p>
            <w:pPr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不满1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千伏</w:t>
            </w:r>
          </w:p>
        </w:tc>
        <w:tc>
          <w:tcPr>
            <w:tcW w:w="1208" w:type="dxa"/>
            <w:vAlign w:val="center"/>
          </w:tcPr>
          <w:p>
            <w:pPr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1-10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(20)千伏</w:t>
            </w:r>
          </w:p>
        </w:tc>
        <w:tc>
          <w:tcPr>
            <w:tcW w:w="1132" w:type="dxa"/>
            <w:vAlign w:val="center"/>
          </w:tcPr>
          <w:p>
            <w:pPr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5-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110千伏</w:t>
            </w:r>
          </w:p>
        </w:tc>
        <w:tc>
          <w:tcPr>
            <w:tcW w:w="1305" w:type="dxa"/>
            <w:vAlign w:val="center"/>
          </w:tcPr>
          <w:p>
            <w:pPr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220千伏及以上</w:t>
            </w:r>
          </w:p>
        </w:tc>
        <w:tc>
          <w:tcPr>
            <w:tcW w:w="1193" w:type="dxa"/>
            <w:vAlign w:val="center"/>
          </w:tcPr>
          <w:p>
            <w:pPr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-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10(20)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千伏</w:t>
            </w:r>
          </w:p>
        </w:tc>
        <w:tc>
          <w:tcPr>
            <w:tcW w:w="1087" w:type="dxa"/>
            <w:vAlign w:val="center"/>
          </w:tcPr>
          <w:p>
            <w:pPr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-110千伏</w:t>
            </w:r>
          </w:p>
        </w:tc>
        <w:tc>
          <w:tcPr>
            <w:tcW w:w="1131" w:type="dxa"/>
            <w:vAlign w:val="center"/>
          </w:tcPr>
          <w:p>
            <w:pPr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220千伏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及以上</w:t>
            </w:r>
          </w:p>
        </w:tc>
        <w:tc>
          <w:tcPr>
            <w:tcW w:w="1268" w:type="dxa"/>
            <w:vAlign w:val="center"/>
          </w:tcPr>
          <w:p>
            <w:pPr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1-10(20)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千伏</w:t>
            </w:r>
          </w:p>
        </w:tc>
        <w:tc>
          <w:tcPr>
            <w:tcW w:w="1043" w:type="dxa"/>
            <w:vAlign w:val="center"/>
          </w:tcPr>
          <w:p>
            <w:pPr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-110千伏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br w:type="textWrapping"/>
            </w:r>
          </w:p>
        </w:tc>
        <w:tc>
          <w:tcPr>
            <w:tcW w:w="1367" w:type="dxa"/>
            <w:vAlign w:val="center"/>
          </w:tcPr>
          <w:p>
            <w:pPr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220千伏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250" w:type="dxa"/>
            <w:vMerge w:val="restart"/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eastAsia="zh-CN"/>
              </w:rPr>
              <w:t>工商业用电</w:t>
            </w:r>
          </w:p>
        </w:tc>
        <w:tc>
          <w:tcPr>
            <w:tcW w:w="1260" w:type="dxa"/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eastAsia="zh-CN"/>
              </w:rPr>
              <w:t>单一制</w:t>
            </w:r>
          </w:p>
        </w:tc>
        <w:tc>
          <w:tcPr>
            <w:tcW w:w="1297" w:type="dxa"/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0.1965</w:t>
            </w:r>
          </w:p>
        </w:tc>
        <w:tc>
          <w:tcPr>
            <w:tcW w:w="1208" w:type="dxa"/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0.1719</w:t>
            </w:r>
          </w:p>
        </w:tc>
        <w:tc>
          <w:tcPr>
            <w:tcW w:w="1132" w:type="dxa"/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0.1296</w:t>
            </w:r>
          </w:p>
        </w:tc>
        <w:tc>
          <w:tcPr>
            <w:tcW w:w="1305" w:type="dxa"/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193" w:type="dxa"/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087" w:type="dxa"/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131" w:type="dxa"/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268" w:type="dxa"/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367" w:type="dxa"/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250" w:type="dxa"/>
            <w:vMerge w:val="continue"/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eastAsia="zh-CN"/>
              </w:rPr>
              <w:t>两部制</w:t>
            </w:r>
          </w:p>
        </w:tc>
        <w:tc>
          <w:tcPr>
            <w:tcW w:w="1297" w:type="dxa"/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208" w:type="dxa"/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0.0985</w:t>
            </w:r>
          </w:p>
        </w:tc>
        <w:tc>
          <w:tcPr>
            <w:tcW w:w="1132" w:type="dxa"/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0.0734</w:t>
            </w:r>
          </w:p>
        </w:tc>
        <w:tc>
          <w:tcPr>
            <w:tcW w:w="1305" w:type="dxa"/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0.0457</w:t>
            </w:r>
          </w:p>
        </w:tc>
        <w:tc>
          <w:tcPr>
            <w:tcW w:w="1193" w:type="dxa"/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36.1</w:t>
            </w:r>
          </w:p>
        </w:tc>
        <w:tc>
          <w:tcPr>
            <w:tcW w:w="1087" w:type="dxa"/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31.0</w:t>
            </w:r>
          </w:p>
        </w:tc>
        <w:tc>
          <w:tcPr>
            <w:tcW w:w="1131" w:type="dxa"/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26.1</w:t>
            </w:r>
          </w:p>
        </w:tc>
        <w:tc>
          <w:tcPr>
            <w:tcW w:w="1268" w:type="dxa"/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22.6</w:t>
            </w:r>
          </w:p>
        </w:tc>
        <w:tc>
          <w:tcPr>
            <w:tcW w:w="1043" w:type="dxa"/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19.4</w:t>
            </w:r>
          </w:p>
        </w:tc>
        <w:tc>
          <w:tcPr>
            <w:tcW w:w="1367" w:type="dxa"/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16.3</w:t>
            </w:r>
          </w:p>
        </w:tc>
      </w:tr>
    </w:tbl>
    <w:p>
      <w:pPr>
        <w:widowControl w:val="0"/>
        <w:wordWrap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>
      <w:pPr>
        <w:widowControl w:val="0"/>
        <w:wordWrap/>
        <w:adjustRightInd/>
        <w:snapToGrid/>
        <w:spacing w:line="400" w:lineRule="exact"/>
        <w:textAlignment w:val="auto"/>
        <w:rPr>
          <w:rFonts w:hint="default" w:ascii="Times New Roman" w:hAnsi="Times New Roman" w:eastAsia="方正仿宋简体" w:cs="Times New Roman"/>
          <w:sz w:val="28"/>
          <w:szCs w:val="28"/>
        </w:rPr>
      </w:pPr>
      <w:r>
        <w:rPr>
          <w:rFonts w:hint="default" w:ascii="Times New Roman" w:hAnsi="Times New Roman" w:eastAsia="方正仿宋简体" w:cs="Times New Roman"/>
          <w:sz w:val="28"/>
          <w:szCs w:val="28"/>
        </w:rPr>
        <w:t>注：1．表中为广东电网（不含深圳）的平均输配电价，含增值税、闽粤联网工程容量电费、对居民和农业用户的基期交叉补贴，不含政府性基金及附加、上网环节线损费用、抽水蓄能容量电费。</w:t>
      </w:r>
    </w:p>
    <w:p>
      <w:pPr>
        <w:widowControl w:val="0"/>
        <w:wordWrap/>
        <w:adjustRightInd/>
        <w:snapToGrid/>
        <w:spacing w:line="400" w:lineRule="exact"/>
        <w:ind w:firstLine="560" w:firstLineChars="200"/>
        <w:textAlignment w:val="auto"/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  <w:t>2.广东电网（不含深圳）工商业用户输配电价水平在执行上表价格的基础上，还需加（减）承担（即加）或享受（即减）的广东省价区交叉补贴。珠三角5市（包括广州、珠海、佛山、中山、东莞市）工商业用电的单一制和两部制（下同）电量电价在上表价格的基础上均加0.0275元/千瓦时，惠州市电量电价在上表价格的基础上均加0.0011元/千瓦时，江门市（不含恩平市、台山市、开平市）电量电价在上表价格的基础上均加0.0237元/千瓦时，东西两翼地区（包括汕头、潮州、揭阳、汕尾、阳江、湛江、茂名、肇庆市和江门恩平市、台山市、开平市）电量电价在上表价格的基础上均减0.0580元/千瓦时，粤北山区（包括云浮、河源、梅州、韶关、清远市）电量电价在上表价格的基础上均减0.1069元/千瓦时。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line="400" w:lineRule="exact"/>
        <w:ind w:firstLine="560" w:firstLineChars="200"/>
        <w:textAlignment w:val="auto"/>
        <w:rPr>
          <w:rFonts w:hint="default" w:ascii="Times New Roman" w:hAnsi="Times New Roman" w:eastAsia="方正仿宋简体" w:cs="Times New Roman"/>
          <w:sz w:val="28"/>
          <w:szCs w:val="28"/>
        </w:rPr>
      </w:pPr>
      <w:r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  <w:t>3.</w:t>
      </w:r>
      <w:r>
        <w:rPr>
          <w:rFonts w:hint="default" w:ascii="Times New Roman" w:hAnsi="Times New Roman" w:eastAsia="方正仿宋简体" w:cs="Times New Roman"/>
          <w:sz w:val="28"/>
          <w:szCs w:val="28"/>
        </w:rPr>
        <w:t>原包含在输配电价内的上网环节线损费用在输配电价外单列，上网环节综合线损率为3.31%。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line="400" w:lineRule="exact"/>
        <w:ind w:firstLine="560" w:firstLineChars="200"/>
        <w:textAlignment w:val="auto"/>
        <w:rPr>
          <w:rFonts w:hint="default" w:ascii="Times New Roman" w:hAnsi="Times New Roman" w:eastAsia="方正仿宋简体" w:cs="Times New Roman"/>
          <w:sz w:val="28"/>
          <w:szCs w:val="28"/>
        </w:rPr>
      </w:pPr>
      <w:r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  <w:t>4.</w:t>
      </w:r>
      <w:r>
        <w:rPr>
          <w:rFonts w:hint="default" w:ascii="Times New Roman" w:hAnsi="Times New Roman" w:eastAsia="方正仿宋简体" w:cs="Times New Roman"/>
          <w:sz w:val="28"/>
          <w:szCs w:val="28"/>
        </w:rPr>
        <w:t>原包含在输配电价内的抽水蓄能容量电费在输配电价外单列，第三监管周期广东省各年度容量电费分别为39.20亿元、39.20亿元和39.20亿元（含税）。</w:t>
      </w:r>
    </w:p>
    <w:p>
      <w:pPr>
        <w:widowControl w:val="0"/>
        <w:wordWrap/>
        <w:adjustRightInd/>
        <w:snapToGrid/>
        <w:spacing w:line="400" w:lineRule="exact"/>
        <w:ind w:firstLine="560" w:firstLineChars="200"/>
        <w:textAlignment w:val="auto"/>
        <w:rPr>
          <w:rFonts w:hint="default" w:ascii="Times New Roman" w:hAnsi="Times New Roman" w:eastAsia="方正仿宋简体" w:cs="Times New Roman"/>
          <w:sz w:val="28"/>
          <w:szCs w:val="28"/>
        </w:rPr>
      </w:pPr>
      <w:r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  <w:t>5.</w:t>
      </w:r>
      <w:r>
        <w:rPr>
          <w:rFonts w:hint="default" w:ascii="Times New Roman" w:hAnsi="Times New Roman" w:eastAsia="方正仿宋简体" w:cs="Times New Roman"/>
          <w:sz w:val="28"/>
          <w:szCs w:val="28"/>
        </w:rPr>
        <w:t>工商业用户执行上述输配电价，居民生活、农业生产用电继续执行现行目录销售电价政策。</w:t>
      </w:r>
    </w:p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5NjEwYTg1ODM4ZGQ2NjI1NTRlOTIxMWM5ZjJkMzIifQ=="/>
  </w:docVars>
  <w:rsids>
    <w:rsidRoot w:val="525827C6"/>
    <w:rsid w:val="52582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Office_11.1.0.14177_F1E327BC-269C-435d-A152-05C5408002CA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2023-05-25T05:09:00Z</dcterms:created>
  <dc:creator>冯彩玲</dc:creator>
  <cp:lastModifiedBy>冯彩玲</cp:lastModifiedBy>
  <dcterms:modified xsi:type="dcterms:W3CDTF">2023-05-25T05:09:51Z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2052-11.1.0.14177</vt:lpwstr>
  </property>
  <property fmtid="{D5CDD505-2E9C-101B-9397-08002B2CF9AE}" pid="3" name="ICV">
    <vt:lpwstr>8B07F102A9494A9CA14C88CF8236201C_11</vt:lpwstr>
  </property>
</Properties>
</file>