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default" w:hAnsi="仿宋_GB2312" w:cs="仿宋_GB2312"/>
          <w:b w:val="0"/>
          <w:bCs w:val="0"/>
          <w:color w:val="000000" w:themeColor="text1"/>
          <w:sz w:val="32"/>
          <w:szCs w:val="32"/>
          <w:lang w:val="en-US" w:eastAsia="zh-CN"/>
          <w14:textFill>
            <w14:solidFill>
              <w14:schemeClr w14:val="tx1"/>
            </w14:solidFill>
          </w14:textFill>
        </w:rPr>
      </w:pPr>
      <w:r>
        <w:rPr>
          <w:rFonts w:hint="eastAsia" w:hAnsi="仿宋_GB2312" w:cs="仿宋_GB2312"/>
          <w:b w:val="0"/>
          <w:bCs w:val="0"/>
          <w:color w:val="000000" w:themeColor="text1"/>
          <w:sz w:val="32"/>
          <w:szCs w:val="32"/>
          <w:lang w:val="en-US" w:eastAsia="zh-CN"/>
          <w14:textFill>
            <w14:solidFill>
              <w14:schemeClr w14:val="tx1"/>
            </w14:solidFill>
          </w14:textFill>
        </w:rPr>
        <w:t xml:space="preserve">                  </w:t>
      </w:r>
    </w:p>
    <w:p>
      <w:pPr>
        <w:spacing w:line="600" w:lineRule="exact"/>
        <w:jc w:val="both"/>
        <w:rPr>
          <w:rFonts w:hint="default" w:ascii="黑体" w:hAnsi="黑体" w:eastAsia="黑体" w:cs="黑体"/>
          <w:b/>
          <w:bCs/>
          <w:color w:val="000000" w:themeColor="text1"/>
          <w:sz w:val="36"/>
          <w:szCs w:val="36"/>
          <w:lang w:val="en-US" w:eastAsia="zh-CN"/>
          <w14:textFill>
            <w14:solidFill>
              <w14:schemeClr w14:val="tx1"/>
            </w14:solidFill>
          </w14:textFill>
        </w:rPr>
      </w:pPr>
      <w:r>
        <w:rPr>
          <w:rFonts w:hint="eastAsia" w:ascii="黑体" w:hAnsi="黑体" w:eastAsia="黑体" w:cs="黑体"/>
          <w:b/>
          <w:bCs/>
          <w:color w:val="000000" w:themeColor="text1"/>
          <w:sz w:val="36"/>
          <w:szCs w:val="36"/>
          <w:lang w:eastAsia="zh-CN"/>
          <w14:textFill>
            <w14:solidFill>
              <w14:schemeClr w14:val="tx1"/>
            </w14:solidFill>
          </w14:textFill>
        </w:rPr>
        <w:t>附件</w:t>
      </w:r>
    </w:p>
    <w:p>
      <w:pPr>
        <w:spacing w:line="600" w:lineRule="exact"/>
        <w:jc w:val="center"/>
        <w:rPr>
          <w:rFonts w:hint="eastAsia" w:ascii="黑体" w:hAnsi="黑体" w:eastAsia="黑体" w:cs="黑体"/>
          <w:b/>
          <w:bCs/>
          <w:color w:val="000000" w:themeColor="text1"/>
          <w:sz w:val="36"/>
          <w:szCs w:val="36"/>
          <w14:textFill>
            <w14:solidFill>
              <w14:schemeClr w14:val="tx1"/>
            </w14:solidFill>
          </w14:textFill>
        </w:rPr>
      </w:pPr>
      <w:bookmarkStart w:id="0" w:name="_GoBack"/>
      <w:r>
        <w:rPr>
          <w:rFonts w:hint="eastAsia" w:ascii="黑体" w:hAnsi="黑体" w:eastAsia="黑体" w:cs="黑体"/>
          <w:b/>
          <w:bCs/>
          <w:color w:val="000000" w:themeColor="text1"/>
          <w:sz w:val="36"/>
          <w:szCs w:val="36"/>
          <w:lang w:eastAsia="zh-CN"/>
          <w14:textFill>
            <w14:solidFill>
              <w14:schemeClr w14:val="tx1"/>
            </w14:solidFill>
          </w14:textFill>
        </w:rPr>
        <w:t>汕尾</w:t>
      </w:r>
      <w:r>
        <w:rPr>
          <w:rFonts w:hint="eastAsia" w:ascii="黑体" w:hAnsi="黑体" w:eastAsia="黑体" w:cs="黑体"/>
          <w:b/>
          <w:bCs/>
          <w:color w:val="000000" w:themeColor="text1"/>
          <w:sz w:val="36"/>
          <w:szCs w:val="36"/>
          <w14:textFill>
            <w14:solidFill>
              <w14:schemeClr w14:val="tx1"/>
            </w14:solidFill>
          </w14:textFill>
        </w:rPr>
        <w:t>市职业技能竞赛管理办法</w:t>
      </w:r>
    </w:p>
    <w:p>
      <w:pPr>
        <w:spacing w:line="600" w:lineRule="exact"/>
        <w:jc w:val="center"/>
        <w:rPr>
          <w:rFonts w:hint="eastAsia" w:ascii="黑体" w:hAnsi="黑体" w:eastAsia="黑体" w:cs="黑体"/>
          <w:b/>
          <w:bCs/>
          <w:color w:val="000000" w:themeColor="text1"/>
          <w:sz w:val="36"/>
          <w:szCs w:val="36"/>
          <w14:textFill>
            <w14:solidFill>
              <w14:schemeClr w14:val="tx1"/>
            </w14:solidFill>
          </w14:textFill>
        </w:rPr>
      </w:pPr>
      <w:r>
        <w:rPr>
          <w:rFonts w:hint="eastAsia" w:ascii="黑体" w:hAnsi="黑体" w:eastAsia="黑体" w:cs="黑体"/>
          <w:b/>
          <w:bCs/>
          <w:color w:val="000000" w:themeColor="text1"/>
          <w:sz w:val="36"/>
          <w:szCs w:val="36"/>
          <w14:textFill>
            <w14:solidFill>
              <w14:schemeClr w14:val="tx1"/>
            </w14:solidFill>
          </w14:textFill>
        </w:rPr>
        <w:t>（征求意见稿）</w:t>
      </w:r>
    </w:p>
    <w:bookmarkEnd w:id="0"/>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b/>
          <w:bCs/>
          <w:color w:val="000000" w:themeColor="text1"/>
          <w:sz w:val="32"/>
          <w:szCs w:val="32"/>
          <w14:textFill>
            <w14:solidFill>
              <w14:schemeClr w14:val="tx1"/>
            </w14:solidFill>
          </w14:textFill>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第一章  总   则</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left"/>
        <w:textAlignment w:val="auto"/>
        <w:rPr>
          <w:rFonts w:hint="eastAsia" w:ascii="仿宋" w:hAnsi="仿宋" w:eastAsia="仿宋" w:cs="仿宋"/>
          <w:color w:val="000000" w:themeColor="text1"/>
          <w:kern w:val="0"/>
          <w:sz w:val="32"/>
          <w:szCs w:val="32"/>
          <w:lang w:val="en-US" w:eastAsia="zh-CN" w:bidi="ar"/>
          <w14:textFill>
            <w14:solidFill>
              <w14:schemeClr w14:val="tx1"/>
            </w14:solidFill>
          </w14:textFill>
        </w:rPr>
      </w:pPr>
      <w:r>
        <w:rPr>
          <w:rStyle w:val="10"/>
          <w:rFonts w:hint="eastAsia" w:ascii="仿宋" w:hAnsi="仿宋" w:eastAsia="仿宋" w:cs="仿宋"/>
          <w:color w:val="000000" w:themeColor="text1"/>
          <w:kern w:val="0"/>
          <w:sz w:val="32"/>
          <w:szCs w:val="32"/>
          <w:lang w:val="en-US" w:eastAsia="zh-CN" w:bidi="ar"/>
          <w14:textFill>
            <w14:solidFill>
              <w14:schemeClr w14:val="tx1"/>
            </w14:solidFill>
          </w14:textFill>
        </w:rPr>
        <w:t xml:space="preserve">第一条   </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为深入贯彻习近平总书记关于技能人才工作的重要指示精神，</w:t>
      </w:r>
      <w:r>
        <w:rPr>
          <w:rFonts w:hint="eastAsia" w:ascii="仿宋" w:hAnsi="仿宋" w:eastAsia="仿宋" w:cs="仿宋"/>
          <w:color w:val="000000" w:themeColor="text1"/>
          <w:kern w:val="0"/>
          <w:sz w:val="32"/>
          <w:szCs w:val="32"/>
          <w:lang w:val="en-US" w:eastAsia="zh-CN" w:bidi="ar"/>
          <w14:textFill>
            <w14:solidFill>
              <w14:schemeClr w14:val="tx1"/>
            </w14:solidFill>
          </w14:textFill>
        </w:rPr>
        <w:t>规范全市职业技能竞赛活动，建立健全我市职业技能竞赛体系，完善高技能人才培养选拔机制，</w:t>
      </w:r>
      <w:r>
        <w:rPr>
          <w:rFonts w:ascii="Times New Roman" w:hAnsi="Times New Roman" w:cs="Times New Roman"/>
        </w:rPr>
        <w:t>提高劳动者职业技能水平，</w:t>
      </w:r>
      <w:r>
        <w:rPr>
          <w:rFonts w:hint="eastAsia" w:ascii="仿宋" w:hAnsi="仿宋" w:eastAsia="仿宋" w:cs="仿宋"/>
          <w:color w:val="000000" w:themeColor="text1"/>
          <w:kern w:val="0"/>
          <w:sz w:val="32"/>
          <w:szCs w:val="32"/>
          <w:lang w:val="en-US" w:eastAsia="zh-CN" w:bidi="ar"/>
          <w14:textFill>
            <w14:solidFill>
              <w14:schemeClr w14:val="tx1"/>
            </w14:solidFill>
          </w14:textFill>
        </w:rPr>
        <w:t>加强高技能人才队伍建设，根据《中华人民共和国职业教育法》、</w:t>
      </w:r>
      <w:r>
        <w:rPr>
          <w:rFonts w:ascii="Times New Roman" w:hAnsi="Times New Roman" w:cs="Times New Roman"/>
        </w:rPr>
        <w:t>国务院《关于加强职业培训促进就业的意见》（国发〔2010〕36 号）</w:t>
      </w:r>
      <w:r>
        <w:rPr>
          <w:rFonts w:hint="eastAsia" w:ascii="仿宋" w:hAnsi="仿宋" w:eastAsia="仿宋" w:cs="仿宋"/>
          <w:color w:val="000000" w:themeColor="text1"/>
          <w:kern w:val="0"/>
          <w:sz w:val="32"/>
          <w:szCs w:val="32"/>
          <w:lang w:val="en-US" w:eastAsia="zh-CN" w:bidi="ar"/>
          <w14:textFill>
            <w14:solidFill>
              <w14:schemeClr w14:val="tx1"/>
            </w14:solidFill>
          </w14:textFill>
        </w:rPr>
        <w:t>以及《广东省职业技能竞赛管理办法》等规定，</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结合我市实际，</w:t>
      </w:r>
      <w:r>
        <w:rPr>
          <w:rFonts w:hint="eastAsia" w:ascii="仿宋" w:hAnsi="仿宋" w:eastAsia="仿宋" w:cs="仿宋"/>
          <w:color w:val="000000" w:themeColor="text1"/>
          <w:kern w:val="0"/>
          <w:sz w:val="32"/>
          <w:szCs w:val="32"/>
          <w:lang w:val="en-US" w:eastAsia="zh-CN" w:bidi="ar"/>
          <w14:textFill>
            <w14:solidFill>
              <w14:schemeClr w14:val="tx1"/>
            </w14:solidFill>
          </w14:textFill>
        </w:rPr>
        <w:t>制定本办法。</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left"/>
        <w:textAlignment w:val="auto"/>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t>第二条</w:t>
      </w:r>
      <w:r>
        <w:rPr>
          <w:rFonts w:hint="eastAsia" w:ascii="仿宋" w:hAnsi="仿宋" w:eastAsia="仿宋" w:cs="仿宋"/>
          <w:b/>
          <w:bCs/>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本办法所称职业技能竞赛是指依据国家职业技能标准、行业企业评价规范</w:t>
      </w:r>
      <w:r>
        <w:rPr>
          <w:rFonts w:hint="eastAsia" w:ascii="仿宋" w:hAnsi="仿宋" w:eastAsia="仿宋" w:cs="仿宋"/>
          <w:color w:val="000000" w:themeColor="text1"/>
          <w:kern w:val="0"/>
          <w:sz w:val="32"/>
          <w:szCs w:val="32"/>
          <w:lang w:val="en-US" w:eastAsia="zh-CN" w:bidi="ar"/>
          <w14:textFill>
            <w14:solidFill>
              <w14:schemeClr w14:val="tx1"/>
            </w14:solidFill>
          </w14:textFill>
        </w:rPr>
        <w:t>或特定职业（工种）技能要求，</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根据社会经济对高技能人才的需求，结合生产和服务工作实际，有组织开展的以考核操作技能为主要内容的群众性同场竞技比赛活动。</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left"/>
        <w:textAlignment w:val="auto"/>
        <w:rPr>
          <w:rFonts w:hint="eastAsia" w:ascii="仿宋" w:hAnsi="仿宋" w:eastAsia="仿宋" w:cs="仿宋"/>
          <w:color w:val="000000" w:themeColor="text1"/>
          <w:kern w:val="0"/>
          <w:sz w:val="32"/>
          <w:szCs w:val="32"/>
          <w:lang w:val="en-US" w:eastAsia="zh-CN" w:bidi="ar"/>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shd w:val="clear" w:fill="FFFFFF"/>
          <w:lang w:eastAsia="zh-CN"/>
          <w14:textFill>
            <w14:solidFill>
              <w14:schemeClr w14:val="tx1"/>
            </w14:solidFill>
          </w14:textFill>
        </w:rPr>
        <w:t>第</w:t>
      </w:r>
      <w:r>
        <w:rPr>
          <w:rStyle w:val="10"/>
          <w:rFonts w:hint="eastAsia" w:ascii="仿宋" w:hAnsi="仿宋" w:eastAsia="仿宋" w:cs="仿宋"/>
          <w:b/>
          <w:bCs/>
          <w:color w:val="000000" w:themeColor="text1"/>
          <w:kern w:val="0"/>
          <w:sz w:val="32"/>
          <w:szCs w:val="32"/>
          <w:lang w:val="en-US" w:eastAsia="zh-CN" w:bidi="ar"/>
          <w14:textFill>
            <w14:solidFill>
              <w14:schemeClr w14:val="tx1"/>
            </w14:solidFill>
          </w14:textFill>
        </w:rPr>
        <w:t xml:space="preserve">三条   </w:t>
      </w:r>
      <w:r>
        <w:rPr>
          <w:rFonts w:hint="eastAsia" w:ascii="仿宋" w:hAnsi="仿宋" w:eastAsia="仿宋" w:cs="仿宋"/>
          <w:color w:val="000000" w:themeColor="text1"/>
          <w:kern w:val="0"/>
          <w:sz w:val="32"/>
          <w:szCs w:val="32"/>
          <w:lang w:val="en-US" w:eastAsia="zh-CN" w:bidi="ar"/>
          <w14:textFill>
            <w14:solidFill>
              <w14:schemeClr w14:val="tx1"/>
            </w14:solidFill>
          </w14:textFill>
        </w:rPr>
        <w:t>本办法适用于本市行政区域内人力资源社会保障部门</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（包括行政部门、竞赛业务指导部门，下同）</w:t>
      </w:r>
      <w:r>
        <w:rPr>
          <w:rFonts w:hint="eastAsia" w:ascii="仿宋" w:hAnsi="仿宋" w:eastAsia="仿宋" w:cs="仿宋"/>
          <w:color w:val="000000" w:themeColor="text1"/>
          <w:kern w:val="0"/>
          <w:sz w:val="32"/>
          <w:szCs w:val="32"/>
          <w:lang w:val="en-US" w:eastAsia="zh-CN" w:bidi="ar"/>
          <w14:textFill>
            <w14:solidFill>
              <w14:schemeClr w14:val="tx1"/>
            </w14:solidFill>
          </w14:textFill>
        </w:rPr>
        <w:t>主办、参与主办及统筹管理的各级各类职业技能竞赛。</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left"/>
        <w:textAlignment w:val="auto"/>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pPr>
      <w:r>
        <w:rPr>
          <w:rStyle w:val="10"/>
          <w:rFonts w:hint="eastAsia" w:ascii="仿宋" w:hAnsi="仿宋" w:eastAsia="仿宋" w:cs="仿宋"/>
          <w:color w:val="000000" w:themeColor="text1"/>
          <w:kern w:val="0"/>
          <w:sz w:val="32"/>
          <w:szCs w:val="32"/>
          <w:lang w:val="en-US" w:eastAsia="zh-CN" w:bidi="ar"/>
          <w14:textFill>
            <w14:solidFill>
              <w14:schemeClr w14:val="tx1"/>
            </w14:solidFill>
          </w14:textFill>
        </w:rPr>
        <w:t xml:space="preserve">第四条   </w:t>
      </w:r>
      <w:r>
        <w:rPr>
          <w:rFonts w:hint="eastAsia" w:ascii="仿宋" w:hAnsi="仿宋" w:eastAsia="仿宋" w:cs="仿宋"/>
          <w:color w:val="000000" w:themeColor="text1"/>
          <w:kern w:val="0"/>
          <w:sz w:val="32"/>
          <w:szCs w:val="32"/>
          <w:lang w:val="en-US" w:eastAsia="zh-CN" w:bidi="ar"/>
          <w14:textFill>
            <w14:solidFill>
              <w14:schemeClr w14:val="tx1"/>
            </w14:solidFill>
          </w14:textFill>
        </w:rPr>
        <w:t>市人力资源社会保障部门统筹建立以世界技能大赛为引领，</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国家级、省级职业技能大赛为龙头，市级职业技能竞赛为主体</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县级职业技能竞赛</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 w:hAnsi="仿宋" w:eastAsia="仿宋" w:cs="仿宋"/>
          <w:color w:val="000000" w:themeColor="text1"/>
          <w:kern w:val="0"/>
          <w:sz w:val="32"/>
          <w:szCs w:val="32"/>
          <w:lang w:val="en-US" w:eastAsia="zh-CN" w:bidi="ar"/>
          <w14:textFill>
            <w14:solidFill>
              <w14:schemeClr w14:val="tx1"/>
            </w14:solidFill>
          </w14:textFill>
        </w:rPr>
        <w:t>行业企业及院校职业技能竞赛为基础的全市职业技能竞赛体系，搭建展示技能、切磋技艺的平台</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，为优秀高技能人才脱颖而出创造条件。</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left"/>
        <w:textAlignment w:val="auto"/>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pPr>
      <w:r>
        <w:rPr>
          <w:rStyle w:val="10"/>
          <w:rFonts w:hint="eastAsia" w:ascii="仿宋" w:hAnsi="仿宋" w:eastAsia="仿宋" w:cs="仿宋"/>
          <w:color w:val="000000" w:themeColor="text1"/>
          <w:kern w:val="0"/>
          <w:sz w:val="32"/>
          <w:szCs w:val="32"/>
          <w:lang w:val="en-US" w:eastAsia="zh-CN" w:bidi="ar"/>
          <w14:textFill>
            <w14:solidFill>
              <w14:schemeClr w14:val="tx1"/>
            </w14:solidFill>
          </w14:textFill>
        </w:rPr>
        <w:t>第五条</w:t>
      </w:r>
      <w:r>
        <w:rPr>
          <w:rFonts w:hint="eastAsia" w:ascii="仿宋" w:hAnsi="仿宋" w:eastAsia="仿宋" w:cs="仿宋"/>
          <w:color w:val="000000" w:themeColor="text1"/>
          <w:kern w:val="0"/>
          <w:sz w:val="32"/>
          <w:szCs w:val="32"/>
          <w:lang w:val="en-US" w:eastAsia="zh-CN" w:bidi="ar"/>
          <w14:textFill>
            <w14:solidFill>
              <w14:schemeClr w14:val="tx1"/>
            </w14:solidFill>
          </w14:textFill>
        </w:rPr>
        <w:t>   职业技能竞赛要大力弘扬劳模精神、劳动精神、工匠精神，以赛促学、以赛促培、以赛促训，突出职业技能水平比拼，推动技能人才队伍建设，</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促进广大技能劳动者在理论与实践相结合中提高专业素养、提升实操能力，推动技能人才队伍建设。</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left"/>
        <w:textAlignment w:val="auto"/>
        <w:rPr>
          <w:rFonts w:hint="eastAsia" w:ascii="仿宋" w:hAnsi="仿宋" w:eastAsia="仿宋" w:cs="仿宋"/>
          <w:color w:val="000000" w:themeColor="text1"/>
          <w:kern w:val="0"/>
          <w:sz w:val="32"/>
          <w:szCs w:val="32"/>
          <w:lang w:val="en-US" w:eastAsia="zh-CN" w:bidi="ar"/>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t>第六条</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职业技能竞赛要坚持公开、公平、公正的原则，积极对标全国、全省职业技能大赛，借鉴吸收先进理念和经验做法，提高办赛水平和质量，提升竞赛科学化、规范化、专业化水平</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 w:hAnsi="仿宋" w:eastAsia="仿宋" w:cs="仿宋"/>
          <w:color w:val="000000" w:themeColor="text1"/>
          <w:kern w:val="0"/>
          <w:sz w:val="32"/>
          <w:szCs w:val="32"/>
          <w:lang w:val="en-US" w:eastAsia="zh-CN" w:bidi="ar"/>
          <w14:textFill>
            <w14:solidFill>
              <w14:schemeClr w14:val="tx1"/>
            </w14:solidFill>
          </w14:textFill>
        </w:rPr>
        <w:t>完善竞赛人才专业化培养和发展机制，培养更多高素质技能人才，为汕尾市高质量发展提供技能人才支撑。</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80" w:lineRule="exact"/>
        <w:ind w:firstLine="643" w:firstLineChars="200"/>
        <w:jc w:val="left"/>
        <w:textAlignment w:val="auto"/>
        <w:rPr>
          <w:rFonts w:hint="eastAsia" w:ascii="仿宋" w:hAnsi="仿宋" w:eastAsia="仿宋" w:cs="仿宋"/>
          <w:b w:val="0"/>
          <w:bCs w:val="0"/>
          <w:sz w:val="32"/>
          <w:szCs w:val="32"/>
          <w:lang w:eastAsia="zh-CN"/>
        </w:rPr>
      </w:pPr>
      <w:r>
        <w:rPr>
          <w:rStyle w:val="10"/>
          <w:rFonts w:hint="eastAsia" w:ascii="仿宋" w:hAnsi="仿宋" w:eastAsia="仿宋" w:cs="仿宋"/>
          <w:color w:val="000000" w:themeColor="text1"/>
          <w:kern w:val="0"/>
          <w:sz w:val="32"/>
          <w:szCs w:val="32"/>
          <w:lang w:val="en-US" w:eastAsia="zh-CN" w:bidi="ar"/>
          <w14:textFill>
            <w14:solidFill>
              <w14:schemeClr w14:val="tx1"/>
            </w14:solidFill>
          </w14:textFill>
        </w:rPr>
        <w:t xml:space="preserve"> </w:t>
      </w:r>
      <w:r>
        <w:rPr>
          <w:rFonts w:hint="eastAsia" w:ascii="仿宋" w:hAnsi="仿宋" w:eastAsia="仿宋" w:cs="仿宋"/>
          <w:b/>
          <w:bCs/>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 w:hAnsi="仿宋" w:eastAsia="仿宋" w:cs="仿宋"/>
          <w:b w:val="0"/>
          <w:bCs w:val="0"/>
          <w:i w:val="0"/>
          <w:iCs w:val="0"/>
          <w:caps w:val="0"/>
          <w:color w:val="000000" w:themeColor="text1"/>
          <w:spacing w:val="0"/>
          <w:sz w:val="32"/>
          <w:szCs w:val="32"/>
          <w:shd w:val="clear" w:fill="FFFFFF"/>
          <w14:textFill>
            <w14:solidFill>
              <w14:schemeClr w14:val="tx1"/>
            </w14:solidFill>
          </w14:textFill>
        </w:rPr>
        <w:t>各级人力资源社会保障行政部门为职业技能竞赛主管部门</w:t>
      </w:r>
      <w:r>
        <w:rPr>
          <w:rFonts w:hint="eastAsia" w:ascii="仿宋" w:hAnsi="仿宋" w:eastAsia="仿宋" w:cs="仿宋"/>
          <w:b w:val="0"/>
          <w:bCs w:val="0"/>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 w:hAnsi="仿宋" w:eastAsia="仿宋" w:cs="仿宋"/>
          <w:b w:val="0"/>
          <w:bCs w:val="0"/>
          <w:color w:val="000000"/>
          <w:kern w:val="0"/>
          <w:sz w:val="32"/>
          <w:szCs w:val="32"/>
          <w:lang w:val="en-US" w:eastAsia="zh-CN" w:bidi="ar"/>
        </w:rPr>
        <w:t>负责竞赛政策制定、统筹指导和监督管理等工作</w:t>
      </w:r>
      <w:r>
        <w:rPr>
          <w:rFonts w:hint="eastAsia" w:ascii="仿宋" w:hAnsi="仿宋" w:eastAsia="仿宋" w:cs="仿宋"/>
          <w:b w:val="0"/>
          <w:bCs w:val="0"/>
          <w:i w:val="0"/>
          <w:iCs w:val="0"/>
          <w:caps w:val="0"/>
          <w:color w:val="000000" w:themeColor="text1"/>
          <w:spacing w:val="0"/>
          <w:sz w:val="32"/>
          <w:szCs w:val="32"/>
          <w:shd w:val="clear" w:fill="FFFFFF"/>
          <w14:textFill>
            <w14:solidFill>
              <w14:schemeClr w14:val="tx1"/>
            </w14:solidFill>
          </w14:textFill>
        </w:rPr>
        <w:t>。</w:t>
      </w:r>
      <w:r>
        <w:rPr>
          <w:rFonts w:hint="eastAsia" w:ascii="仿宋" w:hAnsi="仿宋" w:eastAsia="仿宋" w:cs="仿宋"/>
          <w:b w:val="0"/>
          <w:bCs w:val="0"/>
          <w:color w:val="000000"/>
          <w:kern w:val="0"/>
          <w:sz w:val="32"/>
          <w:szCs w:val="32"/>
          <w:lang w:val="en-US" w:eastAsia="zh-CN" w:bidi="ar"/>
        </w:rPr>
        <w:t>各职能部门与相关单位根据各自职能、分工事项负责与竞赛相关的服务保障工作。</w:t>
      </w:r>
      <w:r>
        <w:rPr>
          <w:rFonts w:hint="eastAsia" w:ascii="仿宋" w:hAnsi="仿宋" w:eastAsia="仿宋" w:cs="仿宋"/>
          <w:b w:val="0"/>
          <w:bCs w:val="0"/>
          <w:i w:val="0"/>
          <w:iCs w:val="0"/>
          <w:caps w:val="0"/>
          <w:color w:val="000000" w:themeColor="text1"/>
          <w:spacing w:val="0"/>
          <w:sz w:val="32"/>
          <w:szCs w:val="32"/>
          <w:shd w:val="clear" w:fill="FFFFFF"/>
          <w14:textFill>
            <w14:solidFill>
              <w14:schemeClr w14:val="tx1"/>
            </w14:solidFill>
          </w14:textFill>
        </w:rPr>
        <w:t>各级职业技能鉴定中心负责职业技能竞赛</w:t>
      </w:r>
      <w:r>
        <w:rPr>
          <w:rFonts w:hint="eastAsia" w:ascii="仿宋" w:hAnsi="仿宋" w:eastAsia="仿宋" w:cs="仿宋"/>
          <w:b w:val="0"/>
          <w:bCs w:val="0"/>
          <w:sz w:val="32"/>
          <w:szCs w:val="32"/>
        </w:rPr>
        <w:t>规划、</w:t>
      </w:r>
      <w:r>
        <w:rPr>
          <w:rFonts w:hint="eastAsia" w:ascii="仿宋" w:hAnsi="仿宋" w:eastAsia="仿宋" w:cs="仿宋"/>
          <w:b w:val="0"/>
          <w:bCs w:val="0"/>
          <w:color w:val="000000"/>
          <w:kern w:val="0"/>
          <w:sz w:val="32"/>
          <w:szCs w:val="32"/>
          <w:lang w:val="en-US" w:eastAsia="zh-CN" w:bidi="ar"/>
        </w:rPr>
        <w:t>具体业务指导和技术支持等工作</w:t>
      </w:r>
      <w:r>
        <w:rPr>
          <w:rFonts w:hint="eastAsia" w:ascii="仿宋" w:hAnsi="仿宋" w:eastAsia="仿宋" w:cs="仿宋"/>
          <w:b w:val="0"/>
          <w:bCs w:val="0"/>
          <w:sz w:val="32"/>
          <w:szCs w:val="32"/>
          <w:lang w:eastAsia="zh-CN"/>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jc w:val="center"/>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第二章  竞赛分类</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firstLine="643" w:firstLineChars="200"/>
        <w:jc w:val="left"/>
        <w:textAlignment w:val="auto"/>
        <w:rPr>
          <w:rFonts w:hint="default" w:ascii="仿宋" w:hAnsi="仿宋" w:eastAsia="仿宋" w:cs="仿宋"/>
          <w:b w:val="0"/>
          <w:bCs w:val="0"/>
          <w:sz w:val="32"/>
          <w:szCs w:val="32"/>
          <w:lang w:val="en-US" w:eastAsia="zh-CN"/>
        </w:rPr>
      </w:pPr>
      <w:r>
        <w:rPr>
          <w:rStyle w:val="10"/>
          <w:rFonts w:hint="eastAsia" w:ascii="仿宋" w:hAnsi="仿宋" w:eastAsia="仿宋" w:cs="仿宋"/>
          <w:color w:val="000000" w:themeColor="text1"/>
          <w:kern w:val="0"/>
          <w:sz w:val="32"/>
          <w:szCs w:val="32"/>
          <w:lang w:val="en-US" w:eastAsia="zh-CN" w:bidi="ar"/>
          <w14:textFill>
            <w14:solidFill>
              <w14:schemeClr w14:val="tx1"/>
            </w14:solidFill>
          </w14:textFill>
        </w:rPr>
        <w:t>第八条</w:t>
      </w:r>
      <w:r>
        <w:rPr>
          <w:rFonts w:hint="eastAsia" w:ascii="仿宋" w:hAnsi="仿宋" w:eastAsia="仿宋" w:cs="仿宋"/>
          <w:b w:val="0"/>
          <w:bCs w:val="0"/>
          <w:sz w:val="32"/>
          <w:szCs w:val="32"/>
          <w:lang w:val="en-US" w:eastAsia="zh-CN"/>
        </w:rPr>
        <w:t xml:space="preserve">   职业技能竞赛实行分级分类管理，分为省级以上竞赛、市级竞赛、县（市、区）级竞赛三个层级。</w:t>
      </w:r>
    </w:p>
    <w:p>
      <w:pPr>
        <w:keepNext w:val="0"/>
        <w:keepLines w:val="0"/>
        <w:pageBreakBefore w:val="0"/>
        <w:kinsoku/>
        <w:wordWrap/>
        <w:overflowPunct/>
        <w:topLinePunct w:val="0"/>
        <w:autoSpaceDE/>
        <w:autoSpaceDN/>
        <w:bidi w:val="0"/>
        <w:adjustRightInd/>
        <w:snapToGrid/>
        <w:spacing w:line="580" w:lineRule="exact"/>
        <w:ind w:firstLine="643" w:firstLineChars="200"/>
        <w:jc w:val="left"/>
        <w:textAlignment w:val="auto"/>
        <w:rPr>
          <w:rFonts w:hint="eastAsia" w:ascii="仿宋" w:hAnsi="仿宋" w:eastAsia="仿宋" w:cs="仿宋"/>
          <w:color w:val="000000" w:themeColor="text1"/>
          <w:kern w:val="0"/>
          <w:sz w:val="32"/>
          <w:szCs w:val="32"/>
          <w:lang w:val="en-US" w:eastAsia="zh-CN" w:bidi="ar"/>
          <w14:textFill>
            <w14:solidFill>
              <w14:schemeClr w14:val="tx1"/>
            </w14:solidFill>
          </w14:textFill>
        </w:rPr>
      </w:pPr>
      <w:r>
        <w:rPr>
          <w:rFonts w:ascii="Times New Roman" w:hAnsi="Times New Roman" w:cs="Times New Roman"/>
          <w:b/>
          <w:bCs w:val="0"/>
        </w:rPr>
        <w:t>（一）省级以上竞赛。</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指国家或省政府部门</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行业组织等单位主办，被列入国家或省人力资源和社会保障部门公布的年度竞赛计划的竞赛或专项赛，主要包括：世界技能大赛、中华人民共和国职业技能大赛、全国行业职业技能竞赛、广东省职业技能大赛、广东省行业企业职业技能竞赛、粤港澳大湾区“粤菜师傅”技能大赛、广东省“南粤家政”技能大赛、广东省乡村振兴职业技能大赛、广东省新职业技术技能大赛等。</w:t>
      </w:r>
      <w:r>
        <w:rPr>
          <w:rFonts w:hint="eastAsia" w:ascii="仿宋" w:hAnsi="仿宋" w:eastAsia="仿宋" w:cs="仿宋"/>
          <w:color w:val="000000" w:themeColor="text1"/>
          <w:kern w:val="0"/>
          <w:sz w:val="32"/>
          <w:szCs w:val="32"/>
          <w:lang w:val="en-US" w:eastAsia="zh-CN" w:bidi="ar"/>
          <w14:textFill>
            <w14:solidFill>
              <w14:schemeClr w14:val="tx1"/>
            </w14:solidFill>
          </w14:textFill>
        </w:rPr>
        <w:t>国家和省级竞赛的参赛、办赛要求按竞赛主办单位有关文件落实。</w:t>
      </w:r>
    </w:p>
    <w:p>
      <w:pPr>
        <w:keepNext w:val="0"/>
        <w:keepLines w:val="0"/>
        <w:pageBreakBefore w:val="0"/>
        <w:kinsoku/>
        <w:wordWrap/>
        <w:overflowPunct/>
        <w:topLinePunct w:val="0"/>
        <w:autoSpaceDE/>
        <w:autoSpaceDN/>
        <w:bidi w:val="0"/>
        <w:adjustRightInd/>
        <w:snapToGrid/>
        <w:spacing w:line="580" w:lineRule="exact"/>
        <w:ind w:firstLine="643" w:firstLineChars="200"/>
        <w:jc w:val="left"/>
        <w:textAlignment w:val="auto"/>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pPr>
      <w:r>
        <w:rPr>
          <w:rFonts w:ascii="Times New Roman" w:hAnsi="Times New Roman" w:cs="Times New Roman"/>
          <w:b/>
          <w:bCs/>
        </w:rPr>
        <w:t>（二）市级竞赛。</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市级竞赛分为市级一类竞赛</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（即</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全市职业技能大赛</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和市级二类竞赛</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（即</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全市行业企业职业技能竞赛</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两个类别。原则上每年举办一次，可冠以“××年</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汕尾</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市（××行业或系统）××职业技能竞赛”等活动名称。</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1.市级一类职业技能竞赛是指跨行业（系统）、跨地区通用职业（工种）的全市性重要综合性赛事，由市级人力资源社会保障部门举办或联合市直有关部门（单位）共同举办。</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2.市级二类职业技能竞赛是指单一行业（系统）特有职业（工种）或通用职业（工种）的竞赛，由市级行业（系统）主管部门、企事业单位、行业协会或职业技能培训机构等牵头组织。</w:t>
      </w:r>
    </w:p>
    <w:p>
      <w:pPr>
        <w:keepNext w:val="0"/>
        <w:keepLines w:val="0"/>
        <w:pageBreakBefore w:val="0"/>
        <w:kinsoku/>
        <w:wordWrap/>
        <w:overflowPunct/>
        <w:topLinePunct w:val="0"/>
        <w:autoSpaceDE/>
        <w:autoSpaceDN/>
        <w:bidi w:val="0"/>
        <w:adjustRightInd/>
        <w:snapToGrid/>
        <w:spacing w:line="580" w:lineRule="exact"/>
        <w:ind w:firstLine="643" w:firstLineChars="200"/>
        <w:jc w:val="left"/>
        <w:textAlignment w:val="auto"/>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pPr>
      <w:r>
        <w:rPr>
          <w:rFonts w:hint="eastAsia" w:ascii="Times New Roman" w:hAnsi="Times New Roman" w:cs="Times New Roman"/>
          <w:b/>
          <w:bCs/>
        </w:rPr>
        <w:t>（三）县（市、区）级竞赛。</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指我市县（市、区）行政区域内的职业技能竞赛活动，竞赛周期和组织实施由各县（市、区）自行确定。各县（市、区）应当积极建立完善本地职业技能竞赛体系。</w:t>
      </w:r>
    </w:p>
    <w:p>
      <w:pPr>
        <w:keepNext w:val="0"/>
        <w:keepLines w:val="0"/>
        <w:pageBreakBefore w:val="0"/>
        <w:kinsoku/>
        <w:wordWrap/>
        <w:overflowPunct/>
        <w:topLinePunct w:val="0"/>
        <w:autoSpaceDE/>
        <w:autoSpaceDN/>
        <w:bidi w:val="0"/>
        <w:adjustRightInd/>
        <w:snapToGrid/>
        <w:spacing w:line="580" w:lineRule="exact"/>
        <w:ind w:firstLine="643" w:firstLineChars="200"/>
        <w:jc w:val="left"/>
        <w:textAlignment w:val="auto"/>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pPr>
      <w:r>
        <w:rPr>
          <w:rStyle w:val="10"/>
          <w:rFonts w:hint="eastAsia" w:ascii="仿宋" w:hAnsi="仿宋" w:eastAsia="仿宋" w:cs="仿宋"/>
          <w:color w:val="000000" w:themeColor="text1"/>
          <w:kern w:val="0"/>
          <w:sz w:val="32"/>
          <w:szCs w:val="32"/>
          <w:lang w:val="en-US" w:eastAsia="zh-CN" w:bidi="ar"/>
          <w14:textFill>
            <w14:solidFill>
              <w14:schemeClr w14:val="tx1"/>
            </w14:solidFill>
          </w14:textFill>
        </w:rPr>
        <w:t xml:space="preserve">第九条 </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xml:space="preserve">  企业自办竞赛、岗位练兵是开展职业技能竞赛的基础和重要组成部分。鼓励广大企业积极组织开展更加广泛深入、形式各异的竞赛和岗位练兵、技术比武等活动，以赛练兵、以赛选才。</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t>第三章  </w:t>
      </w:r>
      <w:r>
        <w:rPr>
          <w:rFonts w:hint="eastAsia" w:ascii="仿宋" w:hAnsi="仿宋" w:eastAsia="仿宋" w:cs="仿宋"/>
          <w:b/>
          <w:bCs/>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 w:hAnsi="仿宋" w:eastAsia="仿宋" w:cs="仿宋"/>
          <w:b/>
          <w:bCs/>
          <w:sz w:val="32"/>
          <w:szCs w:val="32"/>
        </w:rPr>
        <w:t xml:space="preserve"> 竞赛计划</w:t>
      </w:r>
    </w:p>
    <w:p>
      <w:pPr>
        <w:keepNext w:val="0"/>
        <w:keepLines w:val="0"/>
        <w:pageBreakBefore w:val="0"/>
        <w:kinsoku/>
        <w:wordWrap/>
        <w:overflowPunct/>
        <w:topLinePunct w:val="0"/>
        <w:autoSpaceDE/>
        <w:autoSpaceDN/>
        <w:bidi w:val="0"/>
        <w:adjustRightInd/>
        <w:snapToGrid/>
        <w:spacing w:line="580" w:lineRule="exact"/>
        <w:ind w:firstLine="643" w:firstLineChars="200"/>
        <w:jc w:val="both"/>
        <w:textAlignment w:val="auto"/>
        <w:rPr>
          <w:rFonts w:hint="eastAsia" w:ascii="仿宋" w:hAnsi="仿宋" w:eastAsia="仿宋" w:cs="仿宋"/>
          <w:b w:val="0"/>
          <w:bCs w:val="0"/>
          <w:sz w:val="32"/>
          <w:szCs w:val="32"/>
        </w:rPr>
      </w:pPr>
      <w:r>
        <w:rPr>
          <w:rStyle w:val="10"/>
          <w:rFonts w:hint="eastAsia" w:ascii="仿宋" w:hAnsi="仿宋" w:eastAsia="仿宋" w:cs="仿宋"/>
          <w:color w:val="000000" w:themeColor="text1"/>
          <w:kern w:val="0"/>
          <w:sz w:val="32"/>
          <w:szCs w:val="32"/>
          <w:lang w:val="en-US" w:eastAsia="zh-CN" w:bidi="ar"/>
          <w14:textFill>
            <w14:solidFill>
              <w14:schemeClr w14:val="tx1"/>
            </w14:solidFill>
          </w14:textFill>
        </w:rPr>
        <w:t>第十条</w:t>
      </w:r>
      <w:r>
        <w:rPr>
          <w:rFonts w:hint="eastAsia" w:ascii="仿宋" w:hAnsi="仿宋" w:eastAsia="仿宋" w:cs="仿宋"/>
          <w:b w:val="0"/>
          <w:bCs w:val="0"/>
          <w:sz w:val="32"/>
          <w:szCs w:val="32"/>
        </w:rPr>
        <w:t xml:space="preserve">   全市职业技能竞赛实行年度计划制度。市人力资源社会保障部门统筹遴选赛事安排和项目设置，公布职业技能竞赛年度计划。竞赛主办单位要落实办赛主体责任，纳入年度计划的竞赛原则上应在当年举办，逾期自动失效；要控制竞赛频次，同一机构举办的行业竞赛相同职业（工种）的项目原则上隔年举办一次。</w:t>
      </w:r>
    </w:p>
    <w:p>
      <w:pPr>
        <w:keepNext w:val="0"/>
        <w:keepLines w:val="0"/>
        <w:pageBreakBefore w:val="0"/>
        <w:kinsoku/>
        <w:wordWrap/>
        <w:overflowPunct/>
        <w:topLinePunct w:val="0"/>
        <w:autoSpaceDE/>
        <w:autoSpaceDN/>
        <w:bidi w:val="0"/>
        <w:adjustRightInd/>
        <w:snapToGrid/>
        <w:spacing w:line="580" w:lineRule="exact"/>
        <w:ind w:firstLine="643" w:firstLineChars="200"/>
        <w:jc w:val="both"/>
        <w:textAlignment w:val="auto"/>
        <w:rPr>
          <w:rFonts w:hint="eastAsia" w:ascii="仿宋" w:hAnsi="仿宋" w:eastAsia="仿宋" w:cs="仿宋"/>
          <w:b w:val="0"/>
          <w:bCs w:val="0"/>
          <w:sz w:val="32"/>
          <w:szCs w:val="32"/>
        </w:rPr>
      </w:pPr>
      <w:r>
        <w:rPr>
          <w:rStyle w:val="10"/>
          <w:rFonts w:hint="eastAsia" w:ascii="仿宋" w:hAnsi="仿宋" w:eastAsia="仿宋" w:cs="仿宋"/>
          <w:color w:val="000000" w:themeColor="text1"/>
          <w:kern w:val="0"/>
          <w:sz w:val="32"/>
          <w:szCs w:val="32"/>
          <w:lang w:val="en-US" w:eastAsia="zh-CN" w:bidi="ar"/>
          <w14:textFill>
            <w14:solidFill>
              <w14:schemeClr w14:val="tx1"/>
            </w14:solidFill>
          </w14:textFill>
        </w:rPr>
        <w:t xml:space="preserve">第十一条 </w:t>
      </w:r>
      <w:r>
        <w:rPr>
          <w:rFonts w:hint="eastAsia" w:ascii="仿宋" w:hAnsi="仿宋" w:eastAsia="仿宋" w:cs="仿宋"/>
          <w:b w:val="0"/>
          <w:bCs w:val="0"/>
          <w:sz w:val="32"/>
          <w:szCs w:val="32"/>
        </w:rPr>
        <w:t xml:space="preserve"> 年度计划</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一）计划申报。市级一类二类职业技能竞赛原则上由市直有关部门、中央驻汕有关单位、市属企事业单位、行业协会等社团组织和职业技能培训机构于每年年底向市级人力资源社会保障部门提交下年度竞赛计划申请（附表1），县（市、区）级职业技能竞赛竞赛由县（市、区）级人力资源和社会保障部门于每年年底向市级人力资源社会保障部门提交下年度竞赛计划申请，竞赛计划申请明确竞赛职业（工种）、竞赛标准、规模及举办时间、联系信息等事项。</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（二）计划发布。市人力资源社会保障部门根据申报情况，统筹遴选赛事安排和项目设置，公布职业技能竞赛年度计划。</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（三）赛前报备。竞赛主办单位须于竞赛启动前1个月向市人力资源社会保障部门提交技术备案表、技术工作文件、竞赛组织工作方案等有关文件。</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（四）有关要求。竞赛主办单位要落实办赛主体责任，除市直部门联合举办的竞赛外，每项赛事的主办单位原则上不多于一个。</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02" w:firstLineChars="200"/>
        <w:jc w:val="left"/>
        <w:textAlignment w:val="auto"/>
        <w:rPr>
          <w:rFonts w:hint="eastAsia" w:ascii="仿宋" w:hAnsi="仿宋" w:eastAsia="仿宋" w:cs="仿宋"/>
          <w:color w:val="000000" w:themeColor="text1"/>
          <w:kern w:val="0"/>
          <w:sz w:val="30"/>
          <w:szCs w:val="30"/>
          <w:lang w:val="en-US" w:eastAsia="zh-CN" w:bidi="ar"/>
          <w14:textFill>
            <w14:solidFill>
              <w14:schemeClr w14:val="tx1"/>
            </w14:solidFill>
          </w14:textFill>
        </w:rPr>
      </w:pPr>
      <w:r>
        <w:rPr>
          <w:rStyle w:val="10"/>
          <w:rFonts w:hint="eastAsia" w:ascii="仿宋" w:hAnsi="仿宋" w:eastAsia="仿宋" w:cs="仿宋"/>
          <w:color w:val="000000" w:themeColor="text1"/>
          <w:kern w:val="0"/>
          <w:sz w:val="30"/>
          <w:szCs w:val="30"/>
          <w:lang w:val="en-US" w:eastAsia="zh-CN" w:bidi="ar"/>
          <w14:textFill>
            <w14:solidFill>
              <w14:schemeClr w14:val="tx1"/>
            </w14:solidFill>
          </w14:textFill>
        </w:rPr>
        <w:t>第十二条</w:t>
      </w:r>
      <w:r>
        <w:rPr>
          <w:rFonts w:hint="eastAsia" w:ascii="仿宋" w:hAnsi="仿宋" w:eastAsia="仿宋" w:cs="仿宋"/>
          <w:color w:val="000000" w:themeColor="text1"/>
          <w:kern w:val="0"/>
          <w:sz w:val="30"/>
          <w:szCs w:val="30"/>
          <w:lang w:val="en-US" w:eastAsia="zh-CN" w:bidi="ar"/>
          <w14:textFill>
            <w14:solidFill>
              <w14:schemeClr w14:val="tx1"/>
            </w14:solidFill>
          </w14:textFill>
        </w:rPr>
        <w:t>   申请举办职业技能竞赛的主办单位或承办单位，应具备下列基本条件：</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00" w:firstLineChars="200"/>
        <w:jc w:val="left"/>
        <w:textAlignment w:val="auto"/>
        <w:rPr>
          <w:rFonts w:hint="eastAsia" w:ascii="仿宋" w:hAnsi="仿宋" w:eastAsia="仿宋" w:cs="仿宋"/>
          <w:color w:val="000000" w:themeColor="text1"/>
          <w:kern w:val="0"/>
          <w:sz w:val="30"/>
          <w:szCs w:val="30"/>
          <w:lang w:val="en-US" w:eastAsia="zh-CN" w:bidi="ar"/>
          <w14:textFill>
            <w14:solidFill>
              <w14:schemeClr w14:val="tx1"/>
            </w14:solidFill>
          </w14:textFill>
        </w:rPr>
      </w:pPr>
      <w:r>
        <w:rPr>
          <w:rFonts w:hint="eastAsia" w:ascii="仿宋" w:hAnsi="仿宋" w:eastAsia="仿宋" w:cs="仿宋"/>
          <w:color w:val="000000" w:themeColor="text1"/>
          <w:kern w:val="0"/>
          <w:sz w:val="30"/>
          <w:szCs w:val="30"/>
          <w:lang w:val="en-US" w:eastAsia="zh-CN" w:bidi="ar"/>
          <w14:textFill>
            <w14:solidFill>
              <w14:schemeClr w14:val="tx1"/>
            </w14:solidFill>
          </w14:textFill>
        </w:rPr>
        <w:t>（一）能够独立承担民事责任；</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00" w:firstLineChars="200"/>
        <w:jc w:val="left"/>
        <w:textAlignment w:val="auto"/>
        <w:rPr>
          <w:rFonts w:hint="eastAsia" w:ascii="仿宋" w:hAnsi="仿宋" w:eastAsia="仿宋" w:cs="仿宋"/>
          <w:color w:val="000000" w:themeColor="text1"/>
          <w:kern w:val="0"/>
          <w:sz w:val="30"/>
          <w:szCs w:val="30"/>
          <w:lang w:val="en-US" w:eastAsia="zh-CN" w:bidi="ar"/>
          <w14:textFill>
            <w14:solidFill>
              <w14:schemeClr w14:val="tx1"/>
            </w14:solidFill>
          </w14:textFill>
        </w:rPr>
      </w:pPr>
      <w:r>
        <w:rPr>
          <w:rFonts w:hint="eastAsia" w:ascii="仿宋" w:hAnsi="仿宋" w:eastAsia="仿宋" w:cs="仿宋"/>
          <w:color w:val="000000" w:themeColor="text1"/>
          <w:kern w:val="0"/>
          <w:sz w:val="30"/>
          <w:szCs w:val="30"/>
          <w:lang w:val="en-US" w:eastAsia="zh-CN" w:bidi="ar"/>
          <w14:textFill>
            <w14:solidFill>
              <w14:schemeClr w14:val="tx1"/>
            </w14:solidFill>
          </w14:textFill>
        </w:rPr>
        <w:t>（二）具备相应的组织机构，具备组织管理能力；</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00" w:firstLineChars="200"/>
        <w:jc w:val="left"/>
        <w:textAlignment w:val="auto"/>
        <w:rPr>
          <w:rFonts w:hint="eastAsia" w:ascii="仿宋" w:hAnsi="仿宋" w:eastAsia="仿宋" w:cs="仿宋"/>
          <w:color w:val="000000" w:themeColor="text1"/>
          <w:kern w:val="0"/>
          <w:sz w:val="30"/>
          <w:szCs w:val="30"/>
          <w:lang w:val="en-US" w:eastAsia="zh-CN" w:bidi="ar"/>
          <w14:textFill>
            <w14:solidFill>
              <w14:schemeClr w14:val="tx1"/>
            </w14:solidFill>
          </w14:textFill>
        </w:rPr>
      </w:pPr>
      <w:r>
        <w:rPr>
          <w:rFonts w:hint="eastAsia" w:ascii="仿宋" w:hAnsi="仿宋" w:eastAsia="仿宋" w:cs="仿宋"/>
          <w:color w:val="000000" w:themeColor="text1"/>
          <w:kern w:val="0"/>
          <w:sz w:val="30"/>
          <w:szCs w:val="30"/>
          <w:lang w:val="en-US" w:eastAsia="zh-CN" w:bidi="ar"/>
          <w14:textFill>
            <w14:solidFill>
              <w14:schemeClr w14:val="tx1"/>
            </w14:solidFill>
          </w14:textFill>
        </w:rPr>
        <w:t>（三）具备办赛必要的经费、设施设备、场地和评定成绩所需的检测手段；</w:t>
      </w:r>
    </w:p>
    <w:p>
      <w:pPr>
        <w:keepNext w:val="0"/>
        <w:keepLines w:val="0"/>
        <w:pageBreakBefore w:val="0"/>
        <w:widowControl/>
        <w:suppressLineNumbers w:val="0"/>
        <w:kinsoku/>
        <w:wordWrap/>
        <w:overflowPunct/>
        <w:topLinePunct w:val="0"/>
        <w:autoSpaceDE/>
        <w:autoSpaceDN/>
        <w:bidi w:val="0"/>
        <w:adjustRightInd/>
        <w:snapToGrid/>
        <w:spacing w:line="580" w:lineRule="exact"/>
        <w:ind w:left="595" w:leftChars="186" w:firstLine="0" w:firstLineChars="0"/>
        <w:jc w:val="left"/>
        <w:textAlignment w:val="auto"/>
        <w:rPr>
          <w:rFonts w:hint="eastAsia" w:ascii="仿宋" w:hAnsi="仿宋" w:eastAsia="仿宋" w:cs="仿宋"/>
          <w:color w:val="000000" w:themeColor="text1"/>
          <w:kern w:val="0"/>
          <w:sz w:val="30"/>
          <w:szCs w:val="30"/>
          <w:lang w:val="en-US" w:eastAsia="zh-CN" w:bidi="ar"/>
          <w14:textFill>
            <w14:solidFill>
              <w14:schemeClr w14:val="tx1"/>
            </w14:solidFill>
          </w14:textFill>
        </w:rPr>
      </w:pPr>
      <w:r>
        <w:rPr>
          <w:rFonts w:hint="eastAsia" w:ascii="仿宋" w:hAnsi="仿宋" w:eastAsia="仿宋" w:cs="仿宋"/>
          <w:color w:val="000000" w:themeColor="text1"/>
          <w:kern w:val="0"/>
          <w:sz w:val="30"/>
          <w:szCs w:val="30"/>
          <w:lang w:val="en-US" w:eastAsia="zh-CN" w:bidi="ar"/>
          <w14:textFill>
            <w14:solidFill>
              <w14:schemeClr w14:val="tx1"/>
            </w14:solidFill>
          </w14:textFill>
        </w:rPr>
        <w:t>（四）有完善的竞赛组织实施方案、竞赛规则、技术规程；</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00" w:firstLineChars="200"/>
        <w:jc w:val="left"/>
        <w:textAlignment w:val="auto"/>
        <w:rPr>
          <w:rFonts w:hint="eastAsia" w:ascii="仿宋" w:hAnsi="仿宋" w:eastAsia="仿宋" w:cs="仿宋"/>
          <w:color w:val="000000" w:themeColor="text1"/>
          <w:kern w:val="0"/>
          <w:sz w:val="30"/>
          <w:szCs w:val="30"/>
          <w:lang w:val="en-US" w:eastAsia="zh-CN" w:bidi="ar"/>
          <w14:textFill>
            <w14:solidFill>
              <w14:schemeClr w14:val="tx1"/>
            </w14:solidFill>
          </w14:textFill>
        </w:rPr>
      </w:pPr>
      <w:r>
        <w:rPr>
          <w:rFonts w:hint="eastAsia" w:ascii="仿宋" w:hAnsi="仿宋" w:eastAsia="仿宋" w:cs="仿宋"/>
          <w:color w:val="000000" w:themeColor="text1"/>
          <w:kern w:val="0"/>
          <w:sz w:val="30"/>
          <w:szCs w:val="30"/>
          <w:lang w:val="en-US" w:eastAsia="zh-CN" w:bidi="ar"/>
          <w14:textFill>
            <w14:solidFill>
              <w14:schemeClr w14:val="tx1"/>
            </w14:solidFill>
          </w14:textFill>
        </w:rPr>
        <w:t>（五）配备熟悉技能竞赛职业（工种）的管理人员和符合相关要求的专家队伍及专业技术技能人员；</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580" w:lineRule="exact"/>
        <w:ind w:left="595" w:leftChars="186" w:firstLine="0" w:firstLineChars="0"/>
        <w:jc w:val="left"/>
        <w:textAlignment w:val="auto"/>
        <w:rPr>
          <w:rFonts w:hint="eastAsia" w:ascii="仿宋" w:hAnsi="仿宋" w:eastAsia="仿宋" w:cs="仿宋"/>
          <w:i w:val="0"/>
          <w:iCs w:val="0"/>
          <w:caps w:val="0"/>
          <w:color w:val="000000" w:themeColor="text1"/>
          <w:spacing w:val="0"/>
          <w:sz w:val="30"/>
          <w:szCs w:val="30"/>
          <w:shd w:val="clear" w:fill="FFFFFF"/>
          <w14:textFill>
            <w14:solidFill>
              <w14:schemeClr w14:val="tx1"/>
            </w14:solidFill>
          </w14:textFill>
        </w:rPr>
      </w:pPr>
      <w:r>
        <w:rPr>
          <w:rFonts w:hint="eastAsia" w:ascii="仿宋" w:hAnsi="仿宋" w:eastAsia="仿宋" w:cs="仿宋"/>
          <w:color w:val="000000" w:themeColor="text1"/>
          <w:kern w:val="0"/>
          <w:sz w:val="30"/>
          <w:szCs w:val="30"/>
          <w:lang w:val="en-US" w:eastAsia="zh-CN" w:bidi="ar"/>
          <w14:textFill>
            <w14:solidFill>
              <w14:schemeClr w14:val="tx1"/>
            </w14:solidFill>
          </w14:textFill>
        </w:rPr>
        <w:t>有完善的赛务、安全、环保、卫生、防疫等保障措施。</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firstLine="602" w:firstLineChars="200"/>
        <w:jc w:val="left"/>
        <w:textAlignment w:val="auto"/>
        <w:rPr>
          <w:rFonts w:hint="eastAsia" w:ascii="仿宋" w:hAnsi="仿宋" w:eastAsia="仿宋" w:cs="仿宋"/>
          <w:color w:val="000000" w:themeColor="text1"/>
          <w:kern w:val="0"/>
          <w:sz w:val="30"/>
          <w:szCs w:val="30"/>
          <w:lang w:val="en-US" w:eastAsia="zh-CN" w:bidi="ar"/>
          <w14:textFill>
            <w14:solidFill>
              <w14:schemeClr w14:val="tx1"/>
            </w14:solidFill>
          </w14:textFill>
        </w:rPr>
      </w:pPr>
      <w:r>
        <w:rPr>
          <w:rFonts w:hint="eastAsia" w:ascii="仿宋" w:hAnsi="仿宋" w:eastAsia="仿宋" w:cs="仿宋"/>
          <w:b/>
          <w:bCs/>
          <w:i w:val="0"/>
          <w:iCs w:val="0"/>
          <w:caps w:val="0"/>
          <w:color w:val="000000" w:themeColor="text1"/>
          <w:spacing w:val="0"/>
          <w:sz w:val="30"/>
          <w:szCs w:val="30"/>
          <w:shd w:val="clear" w:fill="FFFFFF"/>
          <w14:textFill>
            <w14:solidFill>
              <w14:schemeClr w14:val="tx1"/>
            </w14:solidFill>
          </w14:textFill>
        </w:rPr>
        <w:t>第十</w:t>
      </w:r>
      <w:r>
        <w:rPr>
          <w:rFonts w:hint="eastAsia" w:ascii="仿宋" w:hAnsi="仿宋" w:eastAsia="仿宋" w:cs="仿宋"/>
          <w:b/>
          <w:bCs/>
          <w:i w:val="0"/>
          <w:iCs w:val="0"/>
          <w:caps w:val="0"/>
          <w:color w:val="000000" w:themeColor="text1"/>
          <w:spacing w:val="0"/>
          <w:sz w:val="30"/>
          <w:szCs w:val="30"/>
          <w:shd w:val="clear" w:fill="FFFFFF"/>
          <w:lang w:eastAsia="zh-CN"/>
          <w14:textFill>
            <w14:solidFill>
              <w14:schemeClr w14:val="tx1"/>
            </w14:solidFill>
          </w14:textFill>
        </w:rPr>
        <w:t>三</w:t>
      </w:r>
      <w:r>
        <w:rPr>
          <w:rFonts w:hint="eastAsia" w:ascii="仿宋" w:hAnsi="仿宋" w:eastAsia="仿宋" w:cs="仿宋"/>
          <w:b/>
          <w:bCs/>
          <w:i w:val="0"/>
          <w:iCs w:val="0"/>
          <w:caps w:val="0"/>
          <w:color w:val="000000" w:themeColor="text1"/>
          <w:spacing w:val="0"/>
          <w:sz w:val="30"/>
          <w:szCs w:val="30"/>
          <w:shd w:val="clear" w:fill="FFFFFF"/>
          <w14:textFill>
            <w14:solidFill>
              <w14:schemeClr w14:val="tx1"/>
            </w14:solidFill>
          </w14:textFill>
        </w:rPr>
        <w:t>条</w:t>
      </w:r>
      <w:r>
        <w:rPr>
          <w:rFonts w:hint="eastAsia" w:ascii="仿宋" w:hAnsi="仿宋" w:eastAsia="仿宋" w:cs="仿宋"/>
          <w:i w:val="0"/>
          <w:iCs w:val="0"/>
          <w:caps w:val="0"/>
          <w:color w:val="000000" w:themeColor="text1"/>
          <w:spacing w:val="0"/>
          <w:sz w:val="30"/>
          <w:szCs w:val="30"/>
          <w:shd w:val="clear" w:fill="FFFFFF"/>
          <w14:textFill>
            <w14:solidFill>
              <w14:schemeClr w14:val="tx1"/>
            </w14:solidFill>
          </w14:textFill>
        </w:rPr>
        <w:t xml:space="preserve">  </w:t>
      </w:r>
      <w:r>
        <w:rPr>
          <w:rFonts w:hint="eastAsia" w:ascii="仿宋" w:hAnsi="仿宋" w:eastAsia="仿宋" w:cs="仿宋"/>
          <w:i w:val="0"/>
          <w:iCs w:val="0"/>
          <w:caps w:val="0"/>
          <w:color w:val="000000" w:themeColor="text1"/>
          <w:spacing w:val="0"/>
          <w:sz w:val="30"/>
          <w:szCs w:val="30"/>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30"/>
          <w:szCs w:val="30"/>
          <w:shd w:val="clear" w:fill="FFFFFF"/>
          <w14:textFill>
            <w14:solidFill>
              <w14:schemeClr w14:val="tx1"/>
            </w14:solidFill>
          </w14:textFill>
        </w:rPr>
        <w:t>市级职业技能竞赛要面向全市公开接受报名，确保竞赛规模和参赛面。</w:t>
      </w:r>
      <w:r>
        <w:rPr>
          <w:rFonts w:hint="eastAsia" w:ascii="仿宋" w:hAnsi="仿宋" w:eastAsia="仿宋" w:cs="仿宋"/>
          <w:color w:val="000000" w:themeColor="text1"/>
          <w:kern w:val="0"/>
          <w:sz w:val="30"/>
          <w:szCs w:val="30"/>
          <w:lang w:val="en-US" w:eastAsia="zh-CN" w:bidi="ar"/>
          <w14:textFill>
            <w14:solidFill>
              <w14:schemeClr w14:val="tx1"/>
            </w14:solidFill>
          </w14:textFill>
        </w:rPr>
        <w:t>未按要求面向全市公开举办并接受报名的，其优胜者不列入“汕尾市技术能手”称号审核范围。</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firstLine="602" w:firstLineChars="200"/>
        <w:jc w:val="left"/>
        <w:textAlignment w:val="auto"/>
        <w:rPr>
          <w:rFonts w:hint="eastAsia" w:ascii="仿宋" w:hAnsi="仿宋" w:eastAsia="仿宋" w:cs="仿宋"/>
          <w:i w:val="0"/>
          <w:iCs w:val="0"/>
          <w:caps w:val="0"/>
          <w:color w:val="000000" w:themeColor="text1"/>
          <w:spacing w:val="0"/>
          <w:sz w:val="30"/>
          <w:szCs w:val="30"/>
          <w:shd w:val="clear" w:fill="FFFFFF"/>
          <w14:textFill>
            <w14:solidFill>
              <w14:schemeClr w14:val="tx1"/>
            </w14:solidFill>
          </w14:textFill>
        </w:rPr>
      </w:pPr>
      <w:r>
        <w:rPr>
          <w:rStyle w:val="10"/>
          <w:rFonts w:hint="eastAsia" w:ascii="仿宋" w:hAnsi="仿宋" w:eastAsia="仿宋" w:cs="仿宋"/>
          <w:color w:val="000000" w:themeColor="text1"/>
          <w:kern w:val="0"/>
          <w:sz w:val="30"/>
          <w:szCs w:val="30"/>
          <w:lang w:val="en-US" w:eastAsia="zh-CN" w:bidi="ar"/>
          <w14:textFill>
            <w14:solidFill>
              <w14:schemeClr w14:val="tx1"/>
            </w14:solidFill>
          </w14:textFill>
        </w:rPr>
        <w:t>第十四条</w:t>
      </w:r>
      <w:r>
        <w:rPr>
          <w:rFonts w:hint="eastAsia" w:ascii="仿宋" w:hAnsi="仿宋" w:eastAsia="仿宋" w:cs="仿宋"/>
          <w:color w:val="000000" w:themeColor="text1"/>
          <w:kern w:val="0"/>
          <w:sz w:val="30"/>
          <w:szCs w:val="30"/>
          <w:lang w:val="en-US" w:eastAsia="zh-CN" w:bidi="ar"/>
          <w14:textFill>
            <w14:solidFill>
              <w14:schemeClr w14:val="tx1"/>
            </w14:solidFill>
          </w14:textFill>
        </w:rPr>
        <w:t>   职业技能竞赛年度计划公布后，主办单位不得随意取消、变更职业技能竞赛活动。如遇不可抗力因素取消、变更竞赛活动，主办单位</w:t>
      </w:r>
      <w:r>
        <w:rPr>
          <w:rFonts w:hint="eastAsia" w:ascii="仿宋" w:hAnsi="仿宋" w:eastAsia="仿宋" w:cs="仿宋"/>
          <w:i w:val="0"/>
          <w:iCs w:val="0"/>
          <w:caps w:val="0"/>
          <w:color w:val="000000" w:themeColor="text1"/>
          <w:spacing w:val="0"/>
          <w:sz w:val="30"/>
          <w:szCs w:val="30"/>
          <w:shd w:val="clear" w:fill="FFFFFF"/>
          <w14:textFill>
            <w14:solidFill>
              <w14:schemeClr w14:val="tx1"/>
            </w14:solidFill>
          </w14:textFill>
        </w:rPr>
        <w:t>应提前向人力资源社会保障部门报备并经同意，同时做好善后处置工作。</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580" w:lineRule="exact"/>
        <w:ind w:firstLine="3313" w:firstLineChars="1100"/>
        <w:jc w:val="left"/>
        <w:textAlignment w:val="auto"/>
        <w:rPr>
          <w:rFonts w:hint="eastAsia" w:ascii="仿宋" w:hAnsi="仿宋" w:eastAsia="仿宋" w:cs="仿宋"/>
          <w:b/>
          <w:bCs/>
          <w:i w:val="0"/>
          <w:iCs w:val="0"/>
          <w:caps w:val="0"/>
          <w:color w:val="000000" w:themeColor="text1"/>
          <w:spacing w:val="0"/>
          <w:sz w:val="30"/>
          <w:szCs w:val="30"/>
          <w:shd w:val="clear" w:fill="FFFFFF"/>
          <w14:textFill>
            <w14:solidFill>
              <w14:schemeClr w14:val="tx1"/>
            </w14:solidFill>
          </w14:textFill>
        </w:rPr>
      </w:pPr>
      <w:r>
        <w:rPr>
          <w:rFonts w:hint="eastAsia" w:ascii="仿宋" w:hAnsi="仿宋" w:eastAsia="仿宋" w:cs="仿宋"/>
          <w:b/>
          <w:bCs/>
          <w:i w:val="0"/>
          <w:iCs w:val="0"/>
          <w:caps w:val="0"/>
          <w:color w:val="000000" w:themeColor="text1"/>
          <w:spacing w:val="0"/>
          <w:sz w:val="30"/>
          <w:szCs w:val="30"/>
          <w:shd w:val="clear" w:fill="FFFFFF"/>
          <w14:textFill>
            <w14:solidFill>
              <w14:schemeClr w14:val="tx1"/>
            </w14:solidFill>
          </w14:textFill>
        </w:rPr>
        <w:t> 组织实施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firstLine="643" w:firstLineChars="200"/>
        <w:jc w:val="left"/>
        <w:textAlignment w:val="auto"/>
        <w:rPr>
          <w:rFonts w:hint="eastAsia" w:ascii="仿宋" w:hAnsi="仿宋" w:eastAsia="仿宋" w:cs="仿宋"/>
          <w:b w:val="0"/>
          <w:bCs w:val="0"/>
          <w:i w:val="0"/>
          <w:iCs w:val="0"/>
          <w:caps w:val="0"/>
          <w:color w:val="000000" w:themeColor="text1"/>
          <w:spacing w:val="0"/>
          <w:sz w:val="30"/>
          <w:szCs w:val="30"/>
          <w:shd w:val="clear" w:fill="FFFFFF"/>
          <w14:textFill>
            <w14:solidFill>
              <w14:schemeClr w14:val="tx1"/>
            </w14:solidFill>
          </w14:textFill>
        </w:rPr>
      </w:pPr>
      <w:r>
        <w:rPr>
          <w:rStyle w:val="10"/>
          <w:rFonts w:hint="eastAsia" w:ascii="仿宋" w:hAnsi="仿宋" w:eastAsia="仿宋" w:cs="仿宋"/>
          <w:color w:val="000000" w:themeColor="text1"/>
          <w:kern w:val="0"/>
          <w:sz w:val="32"/>
          <w:szCs w:val="32"/>
          <w:lang w:val="en-US" w:eastAsia="zh-CN" w:bidi="ar"/>
          <w14:textFill>
            <w14:solidFill>
              <w14:schemeClr w14:val="tx1"/>
            </w14:solidFill>
          </w14:textFill>
        </w:rPr>
        <w:t xml:space="preserve">第十五条 </w:t>
      </w:r>
      <w:r>
        <w:rPr>
          <w:rFonts w:hint="eastAsia" w:ascii="仿宋" w:hAnsi="仿宋" w:eastAsia="仿宋" w:cs="仿宋"/>
          <w:b w:val="0"/>
          <w:bCs w:val="0"/>
          <w:i w:val="0"/>
          <w:iCs w:val="0"/>
          <w:caps w:val="0"/>
          <w:color w:val="000000" w:themeColor="text1"/>
          <w:spacing w:val="0"/>
          <w:sz w:val="30"/>
          <w:szCs w:val="30"/>
          <w:shd w:val="clear" w:fill="FFFFFF"/>
          <w14:textFill>
            <w14:solidFill>
              <w14:schemeClr w14:val="tx1"/>
            </w14:solidFill>
          </w14:textFill>
        </w:rPr>
        <w:t xml:space="preserve">  职业技能竞赛活动实行主办单位负责制。主办单位对竞赛全过程履行主体责任，可根据实际遴选承办单位和协办单位。承办单位负责赛事筹备、实施及各项保障工作。协办单位为职业技能竞赛提供场地、技术、物资、人员等支持。</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jc w:val="left"/>
        <w:textAlignment w:val="auto"/>
        <w:rPr>
          <w:rFonts w:hint="eastAsia" w:ascii="仿宋" w:hAnsi="仿宋" w:eastAsia="仿宋" w:cs="仿宋"/>
          <w:b w:val="0"/>
          <w:bCs w:val="0"/>
          <w:i w:val="0"/>
          <w:iCs w:val="0"/>
          <w:caps w:val="0"/>
          <w:color w:val="000000" w:themeColor="text1"/>
          <w:spacing w:val="0"/>
          <w:sz w:val="30"/>
          <w:szCs w:val="30"/>
          <w:shd w:val="clear"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0"/>
          <w:szCs w:val="30"/>
          <w:shd w:val="clear" w:fill="FFFFFF"/>
          <w14:textFill>
            <w14:solidFill>
              <w14:schemeClr w14:val="tx1"/>
            </w14:solidFill>
          </w14:textFill>
        </w:rPr>
        <w:t>　</w:t>
      </w:r>
      <w:r>
        <w:rPr>
          <w:rStyle w:val="10"/>
          <w:rFonts w:hint="eastAsia" w:ascii="仿宋" w:hAnsi="仿宋" w:eastAsia="仿宋" w:cs="仿宋"/>
          <w:color w:val="000000" w:themeColor="text1"/>
          <w:kern w:val="0"/>
          <w:sz w:val="32"/>
          <w:szCs w:val="32"/>
          <w:lang w:val="en-US" w:eastAsia="zh-CN" w:bidi="ar"/>
          <w14:textFill>
            <w14:solidFill>
              <w14:schemeClr w14:val="tx1"/>
            </w14:solidFill>
          </w14:textFill>
        </w:rPr>
        <w:t xml:space="preserve">　第十六条 </w:t>
      </w:r>
      <w:r>
        <w:rPr>
          <w:rFonts w:hint="eastAsia" w:ascii="仿宋" w:hAnsi="仿宋" w:eastAsia="仿宋" w:cs="仿宋"/>
          <w:b w:val="0"/>
          <w:bCs w:val="0"/>
          <w:i w:val="0"/>
          <w:iCs w:val="0"/>
          <w:caps w:val="0"/>
          <w:color w:val="000000" w:themeColor="text1"/>
          <w:spacing w:val="0"/>
          <w:sz w:val="30"/>
          <w:szCs w:val="30"/>
          <w:shd w:val="clear" w:fill="FFFFFF"/>
          <w14:textFill>
            <w14:solidFill>
              <w14:schemeClr w14:val="tx1"/>
            </w14:solidFill>
          </w14:textFill>
        </w:rPr>
        <w:t>  职业技能竞赛主办单位应牵头成立赛事组织委员会，根据需要可设置综合协调、技术、赛务、活动、宣传、监督、仲裁、赞助、安全和卫生防疫等工作的专门机构，明确职责分工、协同合作。承办单位应牵头成立赛事执行委员会，负责竞赛的具体组织实施。大赛结束后，赛事组织委员会、执行委员会职能自行终止。</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00"/>
        <w:jc w:val="left"/>
        <w:textAlignment w:val="auto"/>
        <w:rPr>
          <w:rFonts w:hint="eastAsia" w:ascii="仿宋" w:hAnsi="仿宋" w:eastAsia="仿宋" w:cs="仿宋"/>
          <w:color w:val="000000" w:themeColor="text1"/>
          <w:kern w:val="0"/>
          <w:sz w:val="32"/>
          <w:szCs w:val="32"/>
          <w:lang w:val="en-US" w:eastAsia="zh-CN" w:bidi="ar"/>
          <w14:textFill>
            <w14:solidFill>
              <w14:schemeClr w14:val="tx1"/>
            </w14:solidFill>
          </w14:textFill>
        </w:rPr>
      </w:pPr>
      <w:r>
        <w:rPr>
          <w:rStyle w:val="10"/>
          <w:rFonts w:hint="eastAsia" w:ascii="仿宋" w:hAnsi="仿宋" w:eastAsia="仿宋" w:cs="仿宋"/>
          <w:color w:val="000000" w:themeColor="text1"/>
          <w:kern w:val="0"/>
          <w:sz w:val="32"/>
          <w:szCs w:val="32"/>
          <w:lang w:val="en-US" w:eastAsia="zh-CN" w:bidi="ar"/>
          <w14:textFill>
            <w14:solidFill>
              <w14:schemeClr w14:val="tx1"/>
            </w14:solidFill>
          </w14:textFill>
        </w:rPr>
        <w:t xml:space="preserve">第十七条  </w:t>
      </w:r>
      <w:r>
        <w:rPr>
          <w:rFonts w:hint="eastAsia" w:ascii="仿宋" w:hAnsi="仿宋" w:eastAsia="仿宋" w:cs="仿宋"/>
          <w:color w:val="000000" w:themeColor="text1"/>
          <w:kern w:val="0"/>
          <w:sz w:val="32"/>
          <w:szCs w:val="32"/>
          <w:lang w:val="en-US" w:eastAsia="zh-CN" w:bidi="ar"/>
          <w14:textFill>
            <w14:solidFill>
              <w14:schemeClr w14:val="tx1"/>
            </w14:solidFill>
          </w14:textFill>
        </w:rPr>
        <w:t>竞赛主办单位、承办单位和协办单位应当根据赛事需要做好以下筹备工作：</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00"/>
        <w:jc w:val="left"/>
        <w:textAlignment w:val="auto"/>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（一）制定竞赛组织工作方案，印发职业技能竞赛通知，部署推动竞赛整体工作；</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00"/>
        <w:jc w:val="left"/>
        <w:textAlignment w:val="auto"/>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二）编制技术工作文件、命制试题；</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00"/>
        <w:jc w:val="left"/>
        <w:textAlignment w:val="auto"/>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（三）配备竞赛场地、设施设备、工具材料等；</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00"/>
        <w:jc w:val="left"/>
        <w:textAlignment w:val="auto"/>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（四）配备裁判人员、技术人员和赛务保障人员等；</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0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（五）落实医疗、卫生、食宿、交通、安保等相关措施。</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00"/>
        <w:jc w:val="left"/>
        <w:textAlignment w:val="auto"/>
        <w:rPr>
          <w:rFonts w:hint="eastAsia" w:ascii="仿宋" w:hAnsi="仿宋" w:eastAsia="仿宋" w:cs="仿宋"/>
          <w:color w:val="000000" w:themeColor="text1"/>
          <w:kern w:val="0"/>
          <w:sz w:val="32"/>
          <w:szCs w:val="32"/>
          <w:lang w:val="en-US" w:eastAsia="zh-CN" w:bidi="ar"/>
          <w14:textFill>
            <w14:solidFill>
              <w14:schemeClr w14:val="tx1"/>
            </w14:solidFill>
          </w14:textFill>
        </w:rPr>
      </w:pPr>
      <w:r>
        <w:rPr>
          <w:rStyle w:val="10"/>
          <w:rFonts w:hint="eastAsia" w:ascii="仿宋" w:hAnsi="仿宋" w:eastAsia="仿宋" w:cs="仿宋"/>
          <w:color w:val="000000" w:themeColor="text1"/>
          <w:kern w:val="0"/>
          <w:sz w:val="32"/>
          <w:szCs w:val="32"/>
          <w:lang w:val="en-US" w:eastAsia="zh-CN" w:bidi="ar"/>
          <w14:textFill>
            <w14:solidFill>
              <w14:schemeClr w14:val="tx1"/>
            </w14:solidFill>
          </w14:textFill>
        </w:rPr>
        <w:t xml:space="preserve">第十八条   </w:t>
      </w:r>
      <w:r>
        <w:rPr>
          <w:rFonts w:hint="eastAsia" w:ascii="仿宋" w:hAnsi="仿宋" w:eastAsia="仿宋" w:cs="仿宋"/>
          <w:color w:val="000000" w:themeColor="text1"/>
          <w:kern w:val="0"/>
          <w:sz w:val="32"/>
          <w:szCs w:val="32"/>
          <w:lang w:val="en-US" w:eastAsia="zh-CN" w:bidi="ar"/>
          <w14:textFill>
            <w14:solidFill>
              <w14:schemeClr w14:val="tx1"/>
            </w14:solidFill>
          </w14:textFill>
        </w:rPr>
        <w:t>竞赛主办单位应根据赛事特点，明确参赛选手报名条件，不得限制报名人数；可根据竞赛项目的竞赛标准和设备、设施以及组织实施特点，通过初赛、复赛等形式，选拔产生参加决赛阶段的选手。</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00"/>
        <w:jc w:val="left"/>
        <w:textAlignment w:val="auto"/>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t>第</w:t>
      </w:r>
      <w:r>
        <w:rPr>
          <w:rFonts w:hint="eastAsia" w:ascii="仿宋" w:hAnsi="仿宋" w:eastAsia="仿宋" w:cs="仿宋"/>
          <w:b/>
          <w:bCs/>
          <w:i w:val="0"/>
          <w:iCs w:val="0"/>
          <w:caps w:val="0"/>
          <w:color w:val="000000" w:themeColor="text1"/>
          <w:spacing w:val="0"/>
          <w:sz w:val="32"/>
          <w:szCs w:val="32"/>
          <w:shd w:val="clear" w:fill="FFFFFF"/>
          <w:lang w:eastAsia="zh-CN"/>
          <w14:textFill>
            <w14:solidFill>
              <w14:schemeClr w14:val="tx1"/>
            </w14:solidFill>
          </w14:textFill>
        </w:rPr>
        <w:t>十九</w:t>
      </w:r>
      <w:r>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t>条</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xml:space="preserve">  </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职业技能竞赛的组织实施流程包括开闭幕会、竞赛实施、宣传等工作环节。开闭幕会应节俭、精简，突出大赛主题特点。鼓励大赛同期开展技能展示、绝技展演、论坛研讨等配套活动；鼓励有条件的单位通过互联网平台安排赛事直播、云端观赛，拓宽社会公众参与渠道。</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00"/>
        <w:jc w:val="left"/>
        <w:textAlignment w:val="auto"/>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t>第</w:t>
      </w:r>
      <w:r>
        <w:rPr>
          <w:rFonts w:hint="eastAsia" w:ascii="仿宋" w:hAnsi="仿宋" w:eastAsia="仿宋" w:cs="仿宋"/>
          <w:b/>
          <w:bCs/>
          <w:i w:val="0"/>
          <w:iCs w:val="0"/>
          <w:caps w:val="0"/>
          <w:color w:val="000000" w:themeColor="text1"/>
          <w:spacing w:val="0"/>
          <w:sz w:val="32"/>
          <w:szCs w:val="32"/>
          <w:shd w:val="clear" w:fill="FFFFFF"/>
          <w:lang w:eastAsia="zh-CN"/>
          <w14:textFill>
            <w14:solidFill>
              <w14:schemeClr w14:val="tx1"/>
            </w14:solidFill>
          </w14:textFill>
        </w:rPr>
        <w:t>二十</w:t>
      </w:r>
      <w:r>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t>条</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竞赛开始前，承办单位应当至少提前 1 个月将竞赛技术备案表、技术工作文件、竞赛组织工作方案报市人力资源和社会保障部门备案。</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00"/>
        <w:jc w:val="left"/>
        <w:textAlignment w:val="auto"/>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t>第二十</w:t>
      </w:r>
      <w:r>
        <w:rPr>
          <w:rFonts w:hint="eastAsia" w:ascii="仿宋" w:hAnsi="仿宋" w:eastAsia="仿宋" w:cs="仿宋"/>
          <w:b/>
          <w:bCs/>
          <w:i w:val="0"/>
          <w:iCs w:val="0"/>
          <w:caps w:val="0"/>
          <w:color w:val="000000" w:themeColor="text1"/>
          <w:spacing w:val="0"/>
          <w:sz w:val="32"/>
          <w:szCs w:val="32"/>
          <w:shd w:val="clear" w:fill="FFFFFF"/>
          <w:lang w:eastAsia="zh-CN"/>
          <w14:textFill>
            <w14:solidFill>
              <w14:schemeClr w14:val="tx1"/>
            </w14:solidFill>
          </w14:textFill>
        </w:rPr>
        <w:t>一</w:t>
      </w:r>
      <w:r>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t>条</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xml:space="preserve">  </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竞赛工种</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应</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为已列入《中华人民共和国职业分类大典》以及之后由国家公布的新职业（工种）。鼓励主办单位围绕世界技能大赛和国家技能大赛，紧贴我市产业发展需求的关键技术技能岗位，选择技术含量高、从业人员多、影响面较大、发展较迅速的职业（工种）或在本行业具有代表前沿技术的</w:t>
      </w:r>
      <w:r>
        <w:rPr>
          <w:rFonts w:hint="eastAsia" w:ascii="仿宋" w:hAnsi="仿宋" w:eastAsia="仿宋" w:cs="仿宋"/>
          <w:i w:val="0"/>
          <w:iCs w:val="0"/>
          <w:caps w:val="0"/>
          <w:color w:val="auto"/>
          <w:spacing w:val="0"/>
          <w:sz w:val="32"/>
          <w:szCs w:val="32"/>
          <w:shd w:val="clear" w:fill="FFFFFF"/>
        </w:rPr>
        <w:t>标志性</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职业（工种）设置比赛项目。</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00"/>
        <w:jc w:val="left"/>
        <w:textAlignment w:val="auto"/>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t>第二十</w:t>
      </w:r>
      <w:r>
        <w:rPr>
          <w:rFonts w:hint="eastAsia" w:ascii="仿宋" w:hAnsi="仿宋" w:eastAsia="仿宋" w:cs="仿宋"/>
          <w:b/>
          <w:bCs/>
          <w:i w:val="0"/>
          <w:iCs w:val="0"/>
          <w:caps w:val="0"/>
          <w:color w:val="000000" w:themeColor="text1"/>
          <w:spacing w:val="0"/>
          <w:sz w:val="32"/>
          <w:szCs w:val="32"/>
          <w:shd w:val="clear" w:fill="FFFFFF"/>
          <w:lang w:eastAsia="zh-CN"/>
          <w14:textFill>
            <w14:solidFill>
              <w14:schemeClr w14:val="tx1"/>
            </w14:solidFill>
          </w14:textFill>
        </w:rPr>
        <w:t>二</w:t>
      </w:r>
      <w:r>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t>条</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xml:space="preserve">  </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竞赛原则上</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由市人力资源社会保障部门</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按照国家职业（技能）标准组织命题，并适当增加新知识、新技术、新工艺和新技能等方面的内容。无对应国家职业技能标准的竞赛项目，需参照行业企业评价规范确定竞赛标准</w:t>
      </w:r>
      <w:r>
        <w:rPr>
          <w:rFonts w:hint="eastAsia" w:ascii="仿宋" w:hAnsi="仿宋" w:eastAsia="仿宋" w:cs="仿宋"/>
          <w:i w:val="0"/>
          <w:iCs w:val="0"/>
          <w:caps w:val="0"/>
          <w:color w:val="auto"/>
          <w:spacing w:val="0"/>
          <w:sz w:val="32"/>
          <w:szCs w:val="32"/>
          <w:shd w:val="clear" w:fill="FFFFFF"/>
        </w:rPr>
        <w:t>。</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市级竞赛按照国家职业技能标准编制技术工作文件和命制试题时，原则上应按照三级/高级工相关要求。县</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（市、区）</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级竞赛按照国家职业技能标准编制技术工作文件和命制试题时，原则上应按照四级/中级工相关要求。</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00"/>
        <w:jc w:val="left"/>
        <w:textAlignment w:val="auto"/>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t>第二十</w:t>
      </w:r>
      <w:r>
        <w:rPr>
          <w:rFonts w:hint="eastAsia" w:ascii="仿宋" w:hAnsi="仿宋" w:eastAsia="仿宋" w:cs="仿宋"/>
          <w:b/>
          <w:bCs/>
          <w:i w:val="0"/>
          <w:iCs w:val="0"/>
          <w:caps w:val="0"/>
          <w:color w:val="000000" w:themeColor="text1"/>
          <w:spacing w:val="0"/>
          <w:sz w:val="32"/>
          <w:szCs w:val="32"/>
          <w:shd w:val="clear" w:fill="FFFFFF"/>
          <w:lang w:eastAsia="zh-CN"/>
          <w14:textFill>
            <w14:solidFill>
              <w14:schemeClr w14:val="tx1"/>
            </w14:solidFill>
          </w14:textFill>
        </w:rPr>
        <w:t>三</w:t>
      </w:r>
      <w:r>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t>条</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xml:space="preserve">  </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竞赛内容</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由理论</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和技能操作</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两</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部分</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构成</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一般情况下，理论成绩占总成绩20%至30%，实操成绩占总成绩70%至80%。作为创新型竞赛职业（工种）的技能竞赛 ，竞赛时可以只进行实操项目的比拼，实操成绩即为总成绩。</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省级以上竞赛市选拔赛按照有关要求执行。</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00"/>
        <w:jc w:val="left"/>
        <w:textAlignment w:val="auto"/>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t>第二十四条</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xml:space="preserve">  </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报名参加市内各级各类竞赛的人员，应当在我市工作、学习或居住满一年以上，年龄满16周岁以上、法定退休年龄以内。已获得“中华技能大奖”“全国技术能手”“南粤技术能手”“广东省技术能手”等荣誉人员不以选手身份参赛，已获得“</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汕尾</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市技术能手”的选手，不以选手身份参加同一项目同一组别或更低等级的比赛。国家、省赛另有规定的除外。</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00"/>
        <w:jc w:val="left"/>
        <w:textAlignment w:val="auto"/>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t>第二十五条 </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xml:space="preserve">  竞赛各单位要根据国家和省、市生产安全、卫生防疫以及赛项职业安全等要求，严格做好赛事实施、安保、疫情防控等各项工作，确保竞赛工作安全顺利进行。</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00"/>
        <w:jc w:val="left"/>
        <w:textAlignment w:val="auto"/>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t xml:space="preserve">第二十六条 </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市级、县（市、区）级职业技能竞赛结束后，主办单位应将竞赛成绩公示5个工作日，并在公示无异议后10个工作日内将竞赛工作总结、职业技能竞赛情况表（附表2）、竞赛获奖选手情况表（附表3）和经裁判签名确认的竞赛成绩总表报至市人力资源社会保障部门。</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00"/>
        <w:jc w:val="left"/>
        <w:textAlignment w:val="auto"/>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t>第二十七条</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倡导建立和完善竞赛资源及成果的总结、转化、推广机制。竞赛资源及成果转化应符合相关行业生产、职业技术发展、个人技能提升等方面的要求，反映先进竞赛理念，推动竞赛成果在相关领域的应用和转化。</w:t>
      </w:r>
    </w:p>
    <w:p>
      <w:pPr>
        <w:keepNext w:val="0"/>
        <w:keepLines w:val="0"/>
        <w:pageBreakBefore w:val="0"/>
        <w:kinsoku/>
        <w:wordWrap/>
        <w:overflowPunct/>
        <w:topLinePunct w:val="0"/>
        <w:autoSpaceDE/>
        <w:autoSpaceDN/>
        <w:bidi w:val="0"/>
        <w:adjustRightInd/>
        <w:snapToGrid/>
        <w:spacing w:line="580" w:lineRule="exact"/>
        <w:ind w:firstLine="643" w:firstLineChars="200"/>
        <w:jc w:val="lef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w:t>
      </w:r>
      <w:r>
        <w:rPr>
          <w:rFonts w:hint="eastAsia" w:ascii="仿宋" w:hAnsi="仿宋" w:eastAsia="仿宋" w:cs="仿宋"/>
          <w:b/>
          <w:bCs/>
          <w:color w:val="000000" w:themeColor="text1"/>
          <w:sz w:val="32"/>
          <w:szCs w:val="32"/>
          <w:lang w:eastAsia="zh-CN"/>
          <w14:textFill>
            <w14:solidFill>
              <w14:schemeClr w14:val="tx1"/>
            </w14:solidFill>
          </w14:textFill>
        </w:rPr>
        <w:t>二十八</w:t>
      </w:r>
      <w:r>
        <w:rPr>
          <w:rFonts w:hint="eastAsia" w:ascii="仿宋" w:hAnsi="仿宋" w:eastAsia="仿宋" w:cs="仿宋"/>
          <w:b/>
          <w:bCs/>
          <w:color w:val="000000" w:themeColor="text1"/>
          <w:sz w:val="32"/>
          <w:szCs w:val="32"/>
          <w14:textFill>
            <w14:solidFill>
              <w14:schemeClr w14:val="tx1"/>
            </w14:solidFill>
          </w14:textFill>
        </w:rPr>
        <w:t>条</w:t>
      </w:r>
      <w:r>
        <w:rPr>
          <w:rFonts w:hint="eastAsia" w:ascii="仿宋" w:hAnsi="仿宋" w:eastAsia="仿宋" w:cs="仿宋"/>
          <w:b w:val="0"/>
          <w:bCs w:val="0"/>
          <w:color w:val="000000" w:themeColor="text1"/>
          <w:sz w:val="32"/>
          <w:szCs w:val="32"/>
          <w14:textFill>
            <w14:solidFill>
              <w14:schemeClr w14:val="tx1"/>
            </w14:solidFill>
          </w14:textFill>
        </w:rPr>
        <w:t xml:space="preserve"> </w:t>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w:t>
      </w:r>
      <w:r>
        <w:rPr>
          <w:rFonts w:hint="eastAsia" w:ascii="仿宋" w:hAnsi="仿宋" w:eastAsia="仿宋" w:cs="仿宋"/>
          <w:b w:val="0"/>
          <w:bCs w:val="0"/>
          <w:color w:val="000000" w:themeColor="text1"/>
          <w:sz w:val="32"/>
          <w:szCs w:val="32"/>
          <w14:textFill>
            <w14:solidFill>
              <w14:schemeClr w14:val="tx1"/>
            </w14:solidFill>
          </w14:textFill>
        </w:rPr>
        <w:t>举办竞赛应聘任具有良好职业道德和技能水平的裁判员和仲裁员，裁判员应在职业技能鉴定考评员或高级考评员中聘任，如竞赛项目暂无具备资格的考评员，也可在高于竞赛等级标准的专业技术或职业资格的人员中聘任。拟聘任的裁判员须报市</w:t>
      </w:r>
      <w:r>
        <w:rPr>
          <w:rFonts w:hint="eastAsia" w:ascii="仿宋" w:hAnsi="仿宋" w:eastAsia="仿宋" w:cs="仿宋"/>
          <w:b w:val="0"/>
          <w:bCs w:val="0"/>
          <w:color w:val="000000" w:themeColor="text1"/>
          <w:sz w:val="32"/>
          <w:szCs w:val="32"/>
          <w:lang w:eastAsia="zh-CN"/>
          <w14:textFill>
            <w14:solidFill>
              <w14:schemeClr w14:val="tx1"/>
            </w14:solidFill>
          </w14:textFill>
        </w:rPr>
        <w:t>人力资源社会保障部门</w:t>
      </w:r>
      <w:r>
        <w:rPr>
          <w:rFonts w:hint="eastAsia" w:ascii="仿宋" w:hAnsi="仿宋" w:eastAsia="仿宋" w:cs="仿宋"/>
          <w:b w:val="0"/>
          <w:bCs w:val="0"/>
          <w:color w:val="000000" w:themeColor="text1"/>
          <w:sz w:val="32"/>
          <w:szCs w:val="32"/>
          <w14:textFill>
            <w14:solidFill>
              <w14:schemeClr w14:val="tx1"/>
            </w14:solidFill>
          </w14:textFill>
        </w:rPr>
        <w:t>审核备案后才能聘任。每个竞赛职业（工种）不少于3名裁判员，每次竞赛应选择来自不同单位的裁判员和仲裁员，并实行裁判员、仲裁员与参赛人员回避制度。</w:t>
      </w:r>
    </w:p>
    <w:p>
      <w:pPr>
        <w:keepNext w:val="0"/>
        <w:keepLines w:val="0"/>
        <w:pageBreakBefore w:val="0"/>
        <w:kinsoku/>
        <w:wordWrap/>
        <w:overflowPunct/>
        <w:topLinePunct w:val="0"/>
        <w:autoSpaceDE/>
        <w:autoSpaceDN/>
        <w:bidi w:val="0"/>
        <w:adjustRightInd/>
        <w:snapToGrid/>
        <w:spacing w:line="580" w:lineRule="exact"/>
        <w:ind w:firstLine="643" w:firstLineChars="200"/>
        <w:jc w:val="lef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w:t>
      </w:r>
      <w:r>
        <w:rPr>
          <w:rFonts w:hint="eastAsia" w:ascii="仿宋" w:hAnsi="仿宋" w:eastAsia="仿宋" w:cs="仿宋"/>
          <w:b/>
          <w:bCs/>
          <w:color w:val="000000" w:themeColor="text1"/>
          <w:sz w:val="32"/>
          <w:szCs w:val="32"/>
          <w:lang w:eastAsia="zh-CN"/>
          <w14:textFill>
            <w14:solidFill>
              <w14:schemeClr w14:val="tx1"/>
            </w14:solidFill>
          </w14:textFill>
        </w:rPr>
        <w:t>二十九</w:t>
      </w:r>
      <w:r>
        <w:rPr>
          <w:rFonts w:hint="eastAsia" w:ascii="仿宋" w:hAnsi="仿宋" w:eastAsia="仿宋" w:cs="仿宋"/>
          <w:b/>
          <w:bCs/>
          <w:color w:val="000000" w:themeColor="text1"/>
          <w:sz w:val="32"/>
          <w:szCs w:val="32"/>
          <w14:textFill>
            <w14:solidFill>
              <w14:schemeClr w14:val="tx1"/>
            </w14:solidFill>
          </w14:textFill>
        </w:rPr>
        <w:t>条</w:t>
      </w:r>
      <w:r>
        <w:rPr>
          <w:rFonts w:hint="eastAsia" w:ascii="仿宋" w:hAnsi="仿宋" w:eastAsia="仿宋" w:cs="仿宋"/>
          <w:b w:val="0"/>
          <w:bCs w:val="0"/>
          <w:color w:val="000000" w:themeColor="text1"/>
          <w:sz w:val="32"/>
          <w:szCs w:val="32"/>
          <w14:textFill>
            <w14:solidFill>
              <w14:schemeClr w14:val="tx1"/>
            </w14:solidFill>
          </w14:textFill>
        </w:rPr>
        <w:t xml:space="preserve"> </w:t>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w:t>
      </w:r>
      <w:r>
        <w:rPr>
          <w:rFonts w:hint="eastAsia" w:ascii="仿宋" w:hAnsi="仿宋" w:eastAsia="仿宋" w:cs="仿宋"/>
          <w:b w:val="0"/>
          <w:bCs w:val="0"/>
          <w:color w:val="000000" w:themeColor="text1"/>
          <w:sz w:val="32"/>
          <w:szCs w:val="32"/>
          <w14:textFill>
            <w14:solidFill>
              <w14:schemeClr w14:val="tx1"/>
            </w14:solidFill>
          </w14:textFill>
        </w:rPr>
        <w:t>竞赛可邀请</w:t>
      </w:r>
      <w:r>
        <w:rPr>
          <w:rFonts w:hint="eastAsia" w:ascii="仿宋" w:hAnsi="仿宋" w:eastAsia="仿宋" w:cs="仿宋"/>
          <w:b w:val="0"/>
          <w:bCs w:val="0"/>
          <w:color w:val="000000" w:themeColor="text1"/>
          <w:sz w:val="32"/>
          <w:szCs w:val="32"/>
          <w:lang w:eastAsia="zh-CN"/>
          <w14:textFill>
            <w14:solidFill>
              <w14:schemeClr w14:val="tx1"/>
            </w14:solidFill>
          </w14:textFill>
        </w:rPr>
        <w:t>纪检监察、</w:t>
      </w:r>
      <w:r>
        <w:rPr>
          <w:rFonts w:hint="eastAsia" w:ascii="仿宋" w:hAnsi="仿宋" w:eastAsia="仿宋" w:cs="仿宋"/>
          <w:b w:val="0"/>
          <w:bCs w:val="0"/>
          <w:color w:val="000000" w:themeColor="text1"/>
          <w:sz w:val="32"/>
          <w:szCs w:val="32"/>
          <w14:textFill>
            <w14:solidFill>
              <w14:schemeClr w14:val="tx1"/>
            </w14:solidFill>
          </w14:textFill>
        </w:rPr>
        <w:t>聘请社会监督员</w:t>
      </w:r>
      <w:r>
        <w:rPr>
          <w:rFonts w:hint="eastAsia" w:ascii="仿宋" w:hAnsi="仿宋" w:eastAsia="仿宋" w:cs="仿宋"/>
          <w:b w:val="0"/>
          <w:bCs w:val="0"/>
          <w:color w:val="000000" w:themeColor="text1"/>
          <w:sz w:val="32"/>
          <w:szCs w:val="32"/>
          <w:lang w:eastAsia="zh-CN"/>
          <w14:textFill>
            <w14:solidFill>
              <w14:schemeClr w14:val="tx1"/>
            </w14:solidFill>
          </w14:textFill>
        </w:rPr>
        <w:t>或</w:t>
      </w:r>
      <w:r>
        <w:rPr>
          <w:rFonts w:hint="eastAsia" w:ascii="仿宋" w:hAnsi="仿宋" w:eastAsia="仿宋" w:cs="仿宋"/>
          <w:b w:val="0"/>
          <w:bCs w:val="0"/>
          <w:color w:val="000000" w:themeColor="text1"/>
          <w:sz w:val="32"/>
          <w:szCs w:val="32"/>
          <w14:textFill>
            <w14:solidFill>
              <w14:schemeClr w14:val="tx1"/>
            </w14:solidFill>
          </w14:textFill>
        </w:rPr>
        <w:t>公证部门对竞赛过程予以监督</w:t>
      </w:r>
      <w:r>
        <w:rPr>
          <w:rFonts w:hint="eastAsia" w:ascii="仿宋" w:hAnsi="仿宋" w:eastAsia="仿宋" w:cs="仿宋"/>
          <w:b w:val="0"/>
          <w:bCs w:val="0"/>
          <w:color w:val="000000" w:themeColor="text1"/>
          <w:sz w:val="32"/>
          <w:szCs w:val="32"/>
          <w:lang w:eastAsia="zh-CN"/>
          <w14:textFill>
            <w14:solidFill>
              <w14:schemeClr w14:val="tx1"/>
            </w14:solidFill>
          </w14:textFill>
        </w:rPr>
        <w:t>或公证</w:t>
      </w:r>
      <w:r>
        <w:rPr>
          <w:rFonts w:hint="eastAsia" w:ascii="仿宋" w:hAnsi="仿宋" w:eastAsia="仿宋" w:cs="仿宋"/>
          <w:b w:val="0"/>
          <w:bCs w:val="0"/>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80" w:lineRule="exact"/>
        <w:ind w:firstLine="643" w:firstLineChars="200"/>
        <w:jc w:val="center"/>
        <w:textAlignment w:val="auto"/>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第五章  表扬激励</w:t>
      </w:r>
    </w:p>
    <w:p>
      <w:pPr>
        <w:keepNext w:val="0"/>
        <w:keepLines w:val="0"/>
        <w:pageBreakBefore w:val="0"/>
        <w:kinsoku/>
        <w:wordWrap/>
        <w:overflowPunct/>
        <w:topLinePunct w:val="0"/>
        <w:autoSpaceDE/>
        <w:autoSpaceDN/>
        <w:bidi w:val="0"/>
        <w:adjustRightInd/>
        <w:snapToGrid/>
        <w:spacing w:line="580" w:lineRule="exact"/>
        <w:ind w:firstLine="643"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w:t>
      </w:r>
      <w:r>
        <w:rPr>
          <w:rFonts w:hint="eastAsia" w:ascii="仿宋" w:hAnsi="仿宋" w:eastAsia="仿宋" w:cs="仿宋"/>
          <w:b/>
          <w:bCs/>
          <w:color w:val="000000" w:themeColor="text1"/>
          <w:sz w:val="32"/>
          <w:szCs w:val="32"/>
          <w:lang w:eastAsia="zh-CN"/>
          <w14:textFill>
            <w14:solidFill>
              <w14:schemeClr w14:val="tx1"/>
            </w14:solidFill>
          </w14:textFill>
        </w:rPr>
        <w:t>三十</w:t>
      </w:r>
      <w:r>
        <w:rPr>
          <w:rFonts w:hint="eastAsia" w:ascii="仿宋" w:hAnsi="仿宋" w:eastAsia="仿宋" w:cs="仿宋"/>
          <w:b/>
          <w:bCs/>
          <w:color w:val="000000" w:themeColor="text1"/>
          <w:sz w:val="32"/>
          <w:szCs w:val="32"/>
          <w14:textFill>
            <w14:solidFill>
              <w14:schemeClr w14:val="tx1"/>
            </w14:solidFill>
          </w14:textFill>
        </w:rPr>
        <w:t>条</w:t>
      </w:r>
      <w:r>
        <w:rPr>
          <w:rFonts w:hint="eastAsia" w:ascii="仿宋" w:hAnsi="仿宋" w:eastAsia="仿宋" w:cs="仿宋"/>
          <w:b/>
          <w:color w:val="000000" w:themeColor="text1"/>
          <w:sz w:val="32"/>
          <w:szCs w:val="32"/>
          <w14:textFill>
            <w14:solidFill>
              <w14:schemeClr w14:val="tx1"/>
            </w14:solidFill>
          </w14:textFill>
        </w:rPr>
        <w:t xml:space="preserve"> </w:t>
      </w:r>
      <w:r>
        <w:rPr>
          <w:rFonts w:hint="eastAsia" w:ascii="仿宋" w:hAnsi="仿宋" w:eastAsia="仿宋" w:cs="仿宋"/>
          <w:b/>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市级竞赛设一、二、三等奖及优秀奖，各奖项按竞赛规模设置奖励名额。对获得优秀奖</w:t>
      </w:r>
      <w:r>
        <w:rPr>
          <w:rFonts w:hint="eastAsia" w:ascii="仿宋" w:hAnsi="仿宋" w:eastAsia="仿宋" w:cs="仿宋"/>
          <w:color w:val="000000" w:themeColor="text1"/>
          <w:sz w:val="32"/>
          <w:szCs w:val="32"/>
          <w:lang w:eastAsia="zh-CN"/>
          <w14:textFill>
            <w14:solidFill>
              <w14:schemeClr w14:val="tx1"/>
            </w14:solidFill>
          </w14:textFill>
        </w:rPr>
        <w:t>以上</w:t>
      </w:r>
      <w:r>
        <w:rPr>
          <w:rFonts w:hint="eastAsia" w:ascii="仿宋" w:hAnsi="仿宋" w:eastAsia="仿宋" w:cs="仿宋"/>
          <w:color w:val="000000" w:themeColor="text1"/>
          <w:sz w:val="32"/>
          <w:szCs w:val="32"/>
          <w14:textFill>
            <w14:solidFill>
              <w14:schemeClr w14:val="tx1"/>
            </w14:solidFill>
          </w14:textFill>
        </w:rPr>
        <w:t>的优胜选手</w:t>
      </w:r>
      <w:r>
        <w:rPr>
          <w:rFonts w:hint="eastAsia" w:ascii="仿宋" w:hAnsi="仿宋" w:eastAsia="仿宋" w:cs="仿宋"/>
          <w:color w:val="000000" w:themeColor="text1"/>
          <w:sz w:val="32"/>
          <w:szCs w:val="32"/>
          <w:lang w:eastAsia="zh-CN"/>
          <w14:textFill>
            <w14:solidFill>
              <w14:schemeClr w14:val="tx1"/>
            </w14:solidFill>
          </w14:textFill>
        </w:rPr>
        <w:t>以及对赛事</w:t>
      </w:r>
      <w:r>
        <w:rPr>
          <w:rFonts w:hint="eastAsia" w:ascii="仿宋" w:hAnsi="仿宋" w:eastAsia="仿宋" w:cs="仿宋"/>
          <w:color w:val="000000" w:themeColor="text1"/>
          <w:sz w:val="32"/>
          <w:szCs w:val="32"/>
          <w14:textFill>
            <w14:solidFill>
              <w14:schemeClr w14:val="tx1"/>
            </w14:solidFill>
          </w14:textFill>
        </w:rPr>
        <w:t>做出突出贡献的专家、裁判员、工作人员、技术支持单位、实施保障单位</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获奖选手指导教师或教练由竞赛主办单位</w:t>
      </w:r>
      <w:r>
        <w:rPr>
          <w:shd w:val="clear" w:fill="FFFFFF"/>
        </w:rPr>
        <w:t>给予适当的奖金或奖品,</w:t>
      </w:r>
      <w:r>
        <w:rPr>
          <w:rFonts w:hint="eastAsia"/>
          <w:shd w:val="clear" w:fill="FFFFFF"/>
          <w:lang w:eastAsia="zh-CN"/>
        </w:rPr>
        <w:t>并</w:t>
      </w:r>
      <w:r>
        <w:rPr>
          <w:rFonts w:hint="eastAsia" w:ascii="仿宋" w:hAnsi="仿宋" w:eastAsia="仿宋" w:cs="仿宋"/>
          <w:color w:val="000000" w:themeColor="text1"/>
          <w:sz w:val="32"/>
          <w:szCs w:val="32"/>
          <w14:textFill>
            <w14:solidFill>
              <w14:schemeClr w14:val="tx1"/>
            </w14:solidFill>
          </w14:textFill>
        </w:rPr>
        <w:t>颁发获奖证书</w:t>
      </w:r>
      <w:r>
        <w:rPr>
          <w:rFonts w:hint="eastAsia" w:ascii="仿宋" w:hAnsi="仿宋" w:eastAsia="仿宋" w:cs="仿宋"/>
          <w:color w:val="000000" w:themeColor="text1"/>
          <w:sz w:val="32"/>
          <w:szCs w:val="32"/>
          <w:lang w:eastAsia="zh-CN"/>
          <w14:textFill>
            <w14:solidFill>
              <w14:schemeClr w14:val="tx1"/>
            </w14:solidFill>
          </w14:textFill>
        </w:rPr>
        <w:t>或</w:t>
      </w:r>
      <w:r>
        <w:rPr>
          <w:rFonts w:hint="eastAsia" w:ascii="仿宋" w:hAnsi="仿宋" w:eastAsia="仿宋" w:cs="仿宋"/>
          <w:color w:val="000000" w:themeColor="text1"/>
          <w:sz w:val="32"/>
          <w:szCs w:val="32"/>
          <w14:textFill>
            <w14:solidFill>
              <w14:schemeClr w14:val="tx1"/>
            </w14:solidFill>
          </w14:textFill>
        </w:rPr>
        <w:t>荣誉证书。</w:t>
      </w:r>
    </w:p>
    <w:p>
      <w:pPr>
        <w:keepNext w:val="0"/>
        <w:keepLines w:val="0"/>
        <w:pageBreakBefore w:val="0"/>
        <w:kinsoku/>
        <w:wordWrap/>
        <w:overflowPunct/>
        <w:topLinePunct w:val="0"/>
        <w:autoSpaceDE/>
        <w:autoSpaceDN/>
        <w:bidi w:val="0"/>
        <w:adjustRightInd/>
        <w:snapToGrid/>
        <w:spacing w:line="580" w:lineRule="exact"/>
        <w:ind w:firstLine="643"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第三十</w:t>
      </w:r>
      <w:r>
        <w:rPr>
          <w:rFonts w:hint="eastAsia" w:ascii="仿宋" w:hAnsi="仿宋" w:eastAsia="仿宋" w:cs="仿宋"/>
          <w:b/>
          <w:bCs/>
          <w:color w:val="000000" w:themeColor="text1"/>
          <w:sz w:val="32"/>
          <w:szCs w:val="32"/>
          <w:lang w:eastAsia="zh-CN"/>
          <w14:textFill>
            <w14:solidFill>
              <w14:schemeClr w14:val="tx1"/>
            </w14:solidFill>
          </w14:textFill>
        </w:rPr>
        <w:t>一</w:t>
      </w:r>
      <w:r>
        <w:rPr>
          <w:rFonts w:hint="eastAsia" w:ascii="仿宋" w:hAnsi="仿宋" w:eastAsia="仿宋" w:cs="仿宋"/>
          <w:b/>
          <w:bCs/>
          <w:color w:val="000000" w:themeColor="text1"/>
          <w:sz w:val="32"/>
          <w:szCs w:val="32"/>
          <w14:textFill>
            <w14:solidFill>
              <w14:schemeClr w14:val="tx1"/>
            </w14:solidFill>
          </w14:textFill>
        </w:rPr>
        <w:t>条</w:t>
      </w:r>
      <w:r>
        <w:rPr>
          <w:rFonts w:hint="eastAsia" w:ascii="仿宋" w:hAnsi="仿宋" w:eastAsia="仿宋" w:cs="仿宋"/>
          <w:color w:val="000000" w:themeColor="text1"/>
          <w:sz w:val="32"/>
          <w:szCs w:val="32"/>
          <w14:textFill>
            <w14:solidFill>
              <w14:schemeClr w14:val="tx1"/>
            </w14:solidFill>
          </w14:textFill>
        </w:rPr>
        <w:t xml:space="preserve">  </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对</w:t>
      </w:r>
      <w:r>
        <w:rPr>
          <w:rFonts w:hint="eastAsia" w:ascii="仿宋" w:hAnsi="仿宋" w:eastAsia="仿宋" w:cs="仿宋"/>
          <w:color w:val="000000" w:themeColor="text1"/>
          <w:sz w:val="32"/>
          <w:szCs w:val="32"/>
          <w:lang w:eastAsia="zh-CN"/>
          <w14:textFill>
            <w14:solidFill>
              <w14:schemeClr w14:val="tx1"/>
            </w14:solidFill>
          </w14:textFill>
        </w:rPr>
        <w:t>参加</w:t>
      </w:r>
      <w:r>
        <w:rPr>
          <w:rFonts w:hint="eastAsia" w:ascii="仿宋" w:hAnsi="仿宋" w:eastAsia="仿宋" w:cs="仿宋"/>
          <w:color w:val="000000" w:themeColor="text1"/>
          <w:sz w:val="32"/>
          <w:szCs w:val="32"/>
          <w14:textFill>
            <w14:solidFill>
              <w14:schemeClr w14:val="tx1"/>
            </w14:solidFill>
          </w14:textFill>
        </w:rPr>
        <w:t>市级竞赛获得以下名次的职工选手，经核准后，由市人力资源和社会保障局授予“</w:t>
      </w:r>
      <w:r>
        <w:rPr>
          <w:rFonts w:hint="eastAsia" w:ascii="仿宋" w:hAnsi="仿宋" w:eastAsia="仿宋" w:cs="仿宋"/>
          <w:color w:val="000000" w:themeColor="text1"/>
          <w:sz w:val="32"/>
          <w:szCs w:val="32"/>
          <w:lang w:eastAsia="zh-CN"/>
          <w14:textFill>
            <w14:solidFill>
              <w14:schemeClr w14:val="tx1"/>
            </w14:solidFill>
          </w14:textFill>
        </w:rPr>
        <w:t>汕尾</w:t>
      </w:r>
      <w:r>
        <w:rPr>
          <w:rFonts w:hint="eastAsia" w:ascii="仿宋" w:hAnsi="仿宋" w:eastAsia="仿宋" w:cs="仿宋"/>
          <w:color w:val="000000" w:themeColor="text1"/>
          <w:sz w:val="32"/>
          <w:szCs w:val="32"/>
          <w14:textFill>
            <w14:solidFill>
              <w14:schemeClr w14:val="tx1"/>
            </w14:solidFill>
          </w14:textFill>
        </w:rPr>
        <w:t>市技术能手”称号，颁发荣誉证书。竞赛标准在国家职业标准四级以下（含四级）和学生组竞赛不颁发“</w:t>
      </w:r>
      <w:r>
        <w:rPr>
          <w:rFonts w:hint="eastAsia" w:ascii="仿宋" w:hAnsi="仿宋" w:eastAsia="仿宋" w:cs="仿宋"/>
          <w:color w:val="000000" w:themeColor="text1"/>
          <w:sz w:val="32"/>
          <w:szCs w:val="32"/>
          <w:lang w:eastAsia="zh-CN"/>
          <w14:textFill>
            <w14:solidFill>
              <w14:schemeClr w14:val="tx1"/>
            </w14:solidFill>
          </w14:textFill>
        </w:rPr>
        <w:t>汕尾</w:t>
      </w:r>
      <w:r>
        <w:rPr>
          <w:rFonts w:hint="eastAsia" w:ascii="仿宋" w:hAnsi="仿宋" w:eastAsia="仿宋" w:cs="仿宋"/>
          <w:color w:val="000000" w:themeColor="text1"/>
          <w:sz w:val="32"/>
          <w:szCs w:val="32"/>
          <w14:textFill>
            <w14:solidFill>
              <w14:schemeClr w14:val="tx1"/>
            </w14:solidFill>
          </w14:textFill>
        </w:rPr>
        <w:t xml:space="preserve">市技术能手”荣誉证书。 </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（一）参加决赛人数（职工选手人数，下同）在60人以上（含60人）的市级一类竞赛前4名（团体赛前2名），二类竞赛（含未纳入市级一类计划的省级以上职业技能竞赛市选拔赛，下同）前2名（团体赛第1名）</w:t>
      </w:r>
      <w:r>
        <w:rPr>
          <w:rFonts w:hint="eastAsia" w:ascii="仿宋" w:hAnsi="仿宋" w:eastAsia="仿宋" w:cs="仿宋"/>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（二）参加决赛人数在40至59人之间的市级一类竞赛前2名（团体赛第1名），二类竞赛第1名</w:t>
      </w:r>
      <w:r>
        <w:rPr>
          <w:rFonts w:hint="eastAsia" w:ascii="仿宋" w:hAnsi="仿宋" w:eastAsia="仿宋" w:cs="仿宋"/>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（三）参加决赛人数在20至39人之间的市级一类、二类竞赛第1名。</w:t>
      </w:r>
    </w:p>
    <w:p>
      <w:pPr>
        <w:keepNext w:val="0"/>
        <w:keepLines w:val="0"/>
        <w:pageBreakBefore w:val="0"/>
        <w:kinsoku/>
        <w:wordWrap/>
        <w:overflowPunct/>
        <w:topLinePunct w:val="0"/>
        <w:autoSpaceDE/>
        <w:autoSpaceDN/>
        <w:bidi w:val="0"/>
        <w:adjustRightInd/>
        <w:snapToGrid/>
        <w:spacing w:line="580" w:lineRule="exact"/>
        <w:ind w:firstLine="643"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w:t>
      </w:r>
      <w:r>
        <w:rPr>
          <w:rFonts w:hint="eastAsia" w:ascii="仿宋" w:hAnsi="仿宋" w:eastAsia="仿宋" w:cs="仿宋"/>
          <w:b/>
          <w:bCs/>
          <w:color w:val="000000" w:themeColor="text1"/>
          <w:sz w:val="32"/>
          <w:szCs w:val="32"/>
          <w:lang w:eastAsia="zh-CN"/>
          <w14:textFill>
            <w14:solidFill>
              <w14:schemeClr w14:val="tx1"/>
            </w14:solidFill>
          </w14:textFill>
        </w:rPr>
        <w:t>三十二</w:t>
      </w:r>
      <w:r>
        <w:rPr>
          <w:rFonts w:hint="eastAsia" w:ascii="仿宋" w:hAnsi="仿宋" w:eastAsia="仿宋" w:cs="仿宋"/>
          <w:b/>
          <w:bCs/>
          <w:color w:val="000000" w:themeColor="text1"/>
          <w:sz w:val="32"/>
          <w:szCs w:val="32"/>
          <w14:textFill>
            <w14:solidFill>
              <w14:schemeClr w14:val="tx1"/>
            </w14:solidFill>
          </w14:textFill>
        </w:rPr>
        <w:t>条</w:t>
      </w:r>
      <w:r>
        <w:rPr>
          <w:rFonts w:hint="eastAsia" w:ascii="仿宋" w:hAnsi="仿宋" w:eastAsia="仿宋" w:cs="仿宋"/>
          <w:color w:val="000000" w:themeColor="text1"/>
          <w:sz w:val="32"/>
          <w:szCs w:val="32"/>
          <w14:textFill>
            <w14:solidFill>
              <w14:schemeClr w14:val="tx1"/>
            </w14:solidFill>
          </w14:textFill>
        </w:rPr>
        <w:t xml:space="preserve"> </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凡经市</w:t>
      </w:r>
      <w:r>
        <w:rPr>
          <w:rFonts w:hint="eastAsia" w:ascii="仿宋" w:hAnsi="仿宋" w:eastAsia="仿宋" w:cs="仿宋"/>
          <w:color w:val="000000" w:themeColor="text1"/>
          <w:sz w:val="32"/>
          <w:szCs w:val="32"/>
          <w:lang w:eastAsia="zh-CN"/>
          <w14:textFill>
            <w14:solidFill>
              <w14:schemeClr w14:val="tx1"/>
            </w14:solidFill>
          </w14:textFill>
        </w:rPr>
        <w:t>人力资源社会保障部门</w:t>
      </w:r>
      <w:r>
        <w:rPr>
          <w:rFonts w:hint="eastAsia" w:ascii="仿宋" w:hAnsi="仿宋" w:eastAsia="仿宋" w:cs="仿宋"/>
          <w:color w:val="000000" w:themeColor="text1"/>
          <w:sz w:val="32"/>
          <w:szCs w:val="32"/>
          <w14:textFill>
            <w14:solidFill>
              <w14:schemeClr w14:val="tx1"/>
            </w14:solidFill>
          </w14:textFill>
        </w:rPr>
        <w:t>备案</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且有对应职业（工种）的资格证书或技能等级证书的</w:t>
      </w:r>
      <w:r>
        <w:rPr>
          <w:rFonts w:hint="eastAsia" w:ascii="仿宋" w:hAnsi="仿宋" w:eastAsia="仿宋" w:cs="仿宋"/>
          <w:color w:val="000000" w:themeColor="text1"/>
          <w:sz w:val="32"/>
          <w:szCs w:val="32"/>
          <w:lang w:eastAsia="zh-CN"/>
          <w14:textFill>
            <w14:solidFill>
              <w14:schemeClr w14:val="tx1"/>
            </w14:solidFill>
          </w14:textFill>
        </w:rPr>
        <w:t>职业技能</w:t>
      </w:r>
      <w:r>
        <w:rPr>
          <w:rFonts w:hint="eastAsia" w:ascii="仿宋" w:hAnsi="仿宋" w:eastAsia="仿宋" w:cs="仿宋"/>
          <w:color w:val="000000" w:themeColor="text1"/>
          <w:sz w:val="32"/>
          <w:szCs w:val="32"/>
          <w14:textFill>
            <w14:solidFill>
              <w14:schemeClr w14:val="tx1"/>
            </w14:solidFill>
          </w14:textFill>
        </w:rPr>
        <w:t>竞赛，理论和实操成绩均合格的选手，由市</w:t>
      </w:r>
      <w:r>
        <w:rPr>
          <w:rFonts w:hint="eastAsia" w:ascii="仿宋" w:hAnsi="仿宋" w:eastAsia="仿宋" w:cs="仿宋"/>
          <w:color w:val="000000" w:themeColor="text1"/>
          <w:sz w:val="32"/>
          <w:szCs w:val="32"/>
          <w:lang w:eastAsia="zh-CN"/>
          <w14:textFill>
            <w14:solidFill>
              <w14:schemeClr w14:val="tx1"/>
            </w14:solidFill>
          </w14:textFill>
        </w:rPr>
        <w:t>人力资源社会保障局</w:t>
      </w:r>
      <w:r>
        <w:rPr>
          <w:rFonts w:hint="eastAsia" w:ascii="仿宋" w:hAnsi="仿宋" w:eastAsia="仿宋" w:cs="仿宋"/>
          <w:color w:val="000000" w:themeColor="text1"/>
          <w:sz w:val="32"/>
          <w:szCs w:val="32"/>
          <w14:textFill>
            <w14:solidFill>
              <w14:schemeClr w14:val="tx1"/>
            </w14:solidFill>
          </w14:textFill>
        </w:rPr>
        <w:t>免费核发相应的职业资格证书</w:t>
      </w:r>
      <w:r>
        <w:rPr>
          <w:rFonts w:hint="eastAsia" w:ascii="仿宋" w:hAnsi="仿宋" w:eastAsia="仿宋" w:cs="仿宋"/>
          <w:color w:val="000000" w:themeColor="text1"/>
          <w:sz w:val="32"/>
          <w:szCs w:val="32"/>
          <w:lang w:eastAsia="zh-CN"/>
          <w14:textFill>
            <w14:solidFill>
              <w14:schemeClr w14:val="tx1"/>
            </w14:solidFill>
          </w14:textFill>
        </w:rPr>
        <w:t>或技能等级证书</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符合享受职业技能补贴条件的，采取“免申即补”给予补贴。</w:t>
      </w:r>
      <w:r>
        <w:rPr>
          <w:rFonts w:hint="eastAsia" w:ascii="仿宋" w:hAnsi="仿宋" w:eastAsia="仿宋" w:cs="仿宋"/>
          <w:color w:val="000000" w:themeColor="text1"/>
          <w:sz w:val="32"/>
          <w:szCs w:val="32"/>
          <w14:textFill>
            <w14:solidFill>
              <w14:schemeClr w14:val="tx1"/>
            </w14:solidFill>
          </w14:textFill>
        </w:rPr>
        <w:t>相同职业（工种）、级别的职业资格证书或职业技能等级证书不重复颁发。</w:t>
      </w:r>
    </w:p>
    <w:p>
      <w:pPr>
        <w:keepNext w:val="0"/>
        <w:keepLines w:val="0"/>
        <w:pageBreakBefore w:val="0"/>
        <w:kinsoku/>
        <w:wordWrap/>
        <w:overflowPunct/>
        <w:topLinePunct w:val="0"/>
        <w:autoSpaceDE/>
        <w:autoSpaceDN/>
        <w:bidi w:val="0"/>
        <w:adjustRightInd/>
        <w:snapToGrid/>
        <w:spacing w:line="580" w:lineRule="exact"/>
        <w:ind w:firstLine="643" w:firstLineChars="200"/>
        <w:jc w:val="left"/>
        <w:textAlignment w:val="auto"/>
        <w:rPr>
          <w:rFonts w:hint="eastAsia" w:ascii="仿宋" w:hAnsi="仿宋" w:eastAsia="仿宋" w:cs="仿宋"/>
          <w:color w:val="000000" w:themeColor="text1"/>
          <w:kern w:val="0"/>
          <w:sz w:val="32"/>
          <w:szCs w:val="32"/>
          <w:lang w:val="en-US" w:eastAsia="zh-CN" w:bidi="ar"/>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第三十</w:t>
      </w:r>
      <w:r>
        <w:rPr>
          <w:rFonts w:hint="eastAsia" w:ascii="仿宋" w:hAnsi="仿宋" w:eastAsia="仿宋" w:cs="仿宋"/>
          <w:b/>
          <w:bCs/>
          <w:color w:val="000000" w:themeColor="text1"/>
          <w:sz w:val="32"/>
          <w:szCs w:val="32"/>
          <w:lang w:eastAsia="zh-CN"/>
          <w14:textFill>
            <w14:solidFill>
              <w14:schemeClr w14:val="tx1"/>
            </w14:solidFill>
          </w14:textFill>
        </w:rPr>
        <w:t>三</w:t>
      </w:r>
      <w:r>
        <w:rPr>
          <w:rFonts w:hint="eastAsia" w:ascii="仿宋" w:hAnsi="仿宋" w:eastAsia="仿宋" w:cs="仿宋"/>
          <w:b/>
          <w:bCs/>
          <w:color w:val="000000" w:themeColor="text1"/>
          <w:sz w:val="32"/>
          <w:szCs w:val="32"/>
          <w14:textFill>
            <w14:solidFill>
              <w14:schemeClr w14:val="tx1"/>
            </w14:solidFill>
          </w14:textFill>
        </w:rPr>
        <w:t>条</w:t>
      </w:r>
      <w:r>
        <w:rPr>
          <w:rFonts w:hint="eastAsia" w:ascii="仿宋" w:hAnsi="仿宋" w:eastAsia="仿宋" w:cs="仿宋"/>
          <w:color w:val="000000" w:themeColor="text1"/>
          <w:sz w:val="32"/>
          <w:szCs w:val="32"/>
          <w14:textFill>
            <w14:solidFill>
              <w14:schemeClr w14:val="tx1"/>
            </w14:solidFill>
          </w14:textFill>
        </w:rPr>
        <w:t>  </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kern w:val="0"/>
          <w:sz w:val="32"/>
          <w:szCs w:val="32"/>
          <w:lang w:val="en-US" w:eastAsia="zh-CN" w:bidi="ar"/>
          <w14:textFill>
            <w14:solidFill>
              <w14:schemeClr w14:val="tx1"/>
            </w14:solidFill>
          </w14:textFill>
        </w:rPr>
        <w:t>对原已取得对应职业（工种）职业资格（职业技能等级）证书，同时因参加竞赛获授予“汕尾市技术能手”称号的选手，可给予职业资格（职业技能等级）晋升。选手在同一年度参加同一级别、同一职业（工种）的竞赛，不能连续晋升职业资格或职业技能等级。</w:t>
      </w:r>
    </w:p>
    <w:p>
      <w:pPr>
        <w:keepNext w:val="0"/>
        <w:keepLines w:val="0"/>
        <w:pageBreakBefore w:val="0"/>
        <w:kinsoku/>
        <w:wordWrap/>
        <w:overflowPunct/>
        <w:topLinePunct w:val="0"/>
        <w:autoSpaceDE/>
        <w:autoSpaceDN/>
        <w:bidi w:val="0"/>
        <w:adjustRightInd/>
        <w:snapToGrid/>
        <w:spacing w:line="580" w:lineRule="exact"/>
        <w:ind w:firstLine="643"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第三十</w:t>
      </w:r>
      <w:r>
        <w:rPr>
          <w:rFonts w:hint="eastAsia" w:ascii="仿宋" w:hAnsi="仿宋" w:eastAsia="仿宋" w:cs="仿宋"/>
          <w:b/>
          <w:bCs/>
          <w:color w:val="000000" w:themeColor="text1"/>
          <w:sz w:val="32"/>
          <w:szCs w:val="32"/>
          <w:lang w:eastAsia="zh-CN"/>
          <w14:textFill>
            <w14:solidFill>
              <w14:schemeClr w14:val="tx1"/>
            </w14:solidFill>
          </w14:textFill>
        </w:rPr>
        <w:t>四</w:t>
      </w:r>
      <w:r>
        <w:rPr>
          <w:rFonts w:hint="eastAsia" w:ascii="仿宋" w:hAnsi="仿宋" w:eastAsia="仿宋" w:cs="仿宋"/>
          <w:b/>
          <w:bCs/>
          <w:color w:val="000000" w:themeColor="text1"/>
          <w:sz w:val="32"/>
          <w:szCs w:val="32"/>
          <w14:textFill>
            <w14:solidFill>
              <w14:schemeClr w14:val="tx1"/>
            </w14:solidFill>
          </w14:textFill>
        </w:rPr>
        <w:t>条</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对以国家职业技能标准四级/中级工为竞赛标准，原已取得四级/中级工职业资格（职业技能等级）并获得竞赛前三名的选手，可晋升为三级/高级工。</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left"/>
        <w:textAlignment w:val="auto"/>
        <w:rPr>
          <w:rFonts w:hint="eastAsia" w:ascii="仿宋" w:hAnsi="仿宋" w:eastAsia="仿宋" w:cs="仿宋"/>
          <w:color w:val="000000" w:themeColor="text1"/>
          <w:kern w:val="0"/>
          <w:sz w:val="32"/>
          <w:szCs w:val="32"/>
          <w:lang w:val="en-US" w:eastAsia="zh-CN" w:bidi="ar"/>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第三十</w:t>
      </w:r>
      <w:r>
        <w:rPr>
          <w:rFonts w:hint="eastAsia" w:ascii="仿宋" w:hAnsi="仿宋" w:eastAsia="仿宋" w:cs="仿宋"/>
          <w:b/>
          <w:bCs/>
          <w:color w:val="000000" w:themeColor="text1"/>
          <w:sz w:val="32"/>
          <w:szCs w:val="32"/>
          <w:lang w:eastAsia="zh-CN"/>
          <w14:textFill>
            <w14:solidFill>
              <w14:schemeClr w14:val="tx1"/>
            </w14:solidFill>
          </w14:textFill>
        </w:rPr>
        <w:t>五</w:t>
      </w:r>
      <w:r>
        <w:rPr>
          <w:rFonts w:hint="eastAsia" w:ascii="仿宋" w:hAnsi="仿宋" w:eastAsia="仿宋" w:cs="仿宋"/>
          <w:b/>
          <w:bCs/>
          <w:color w:val="000000" w:themeColor="text1"/>
          <w:sz w:val="32"/>
          <w:szCs w:val="32"/>
          <w14:textFill>
            <w14:solidFill>
              <w14:schemeClr w14:val="tx1"/>
            </w14:solidFill>
          </w14:textFill>
        </w:rPr>
        <w:t>条</w:t>
      </w:r>
      <w:r>
        <w:rPr>
          <w:rFonts w:hint="eastAsia" w:ascii="仿宋" w:hAnsi="仿宋" w:eastAsia="仿宋" w:cs="仿宋"/>
          <w:color w:val="000000" w:themeColor="text1"/>
          <w:sz w:val="32"/>
          <w:szCs w:val="32"/>
          <w14:textFill>
            <w14:solidFill>
              <w14:schemeClr w14:val="tx1"/>
            </w14:solidFill>
          </w14:textFill>
        </w:rPr>
        <w:t xml:space="preserve">  </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对</w:t>
      </w:r>
      <w:r>
        <w:rPr>
          <w:rFonts w:hint="eastAsia" w:ascii="仿宋" w:hAnsi="仿宋" w:eastAsia="仿宋" w:cs="仿宋"/>
          <w:color w:val="000000" w:themeColor="text1"/>
          <w:sz w:val="32"/>
          <w:szCs w:val="32"/>
          <w:lang w:eastAsia="zh-CN"/>
          <w14:textFill>
            <w14:solidFill>
              <w14:schemeClr w14:val="tx1"/>
            </w14:solidFill>
          </w14:textFill>
        </w:rPr>
        <w:t>参加</w:t>
      </w:r>
      <w:r>
        <w:rPr>
          <w:rFonts w:hint="eastAsia" w:ascii="仿宋" w:hAnsi="仿宋" w:eastAsia="仿宋" w:cs="仿宋"/>
          <w:color w:val="000000" w:themeColor="text1"/>
          <w:sz w:val="32"/>
          <w:szCs w:val="32"/>
          <w14:textFill>
            <w14:solidFill>
              <w14:schemeClr w14:val="tx1"/>
            </w14:solidFill>
          </w14:textFill>
        </w:rPr>
        <w:t>省级以上职业技能大赛</w:t>
      </w:r>
      <w:r>
        <w:rPr>
          <w:rFonts w:hint="eastAsia" w:ascii="仿宋" w:hAnsi="仿宋" w:eastAsia="仿宋" w:cs="仿宋"/>
          <w:color w:val="000000" w:themeColor="text1"/>
          <w:sz w:val="32"/>
          <w:szCs w:val="32"/>
          <w:lang w:eastAsia="zh-CN"/>
          <w14:textFill>
            <w14:solidFill>
              <w14:schemeClr w14:val="tx1"/>
            </w14:solidFill>
          </w14:textFill>
        </w:rPr>
        <w:t>获得</w:t>
      </w:r>
      <w:r>
        <w:rPr>
          <w:rFonts w:hint="eastAsia" w:ascii="仿宋" w:hAnsi="仿宋" w:eastAsia="仿宋" w:cs="仿宋"/>
          <w:color w:val="000000" w:themeColor="text1"/>
          <w:sz w:val="32"/>
          <w:szCs w:val="32"/>
          <w14:textFill>
            <w14:solidFill>
              <w14:schemeClr w14:val="tx1"/>
            </w14:solidFill>
          </w14:textFill>
        </w:rPr>
        <w:t>金牌以上的选手，按相关规定，</w:t>
      </w:r>
      <w:r>
        <w:rPr>
          <w:rFonts w:hint="eastAsia" w:ascii="仿宋" w:hAnsi="仿宋" w:eastAsia="仿宋" w:cs="仿宋"/>
          <w:color w:val="000000" w:themeColor="text1"/>
          <w:kern w:val="0"/>
          <w:sz w:val="32"/>
          <w:szCs w:val="32"/>
          <w:lang w:val="en-US" w:eastAsia="zh-CN" w:bidi="ar"/>
          <w14:textFill>
            <w14:solidFill>
              <w14:schemeClr w14:val="tx1"/>
            </w14:solidFill>
          </w14:textFill>
        </w:rPr>
        <w:t>优先推荐参评“广东省五一劳动奖章”“广东青年五四奖章”“广东省三八红旗手”以及有关市级荣誉称号等各级各类表彰奖励，由相关部门核准后颁发相应证书和奖章。</w:t>
      </w:r>
    </w:p>
    <w:p>
      <w:pPr>
        <w:keepNext w:val="0"/>
        <w:keepLines w:val="0"/>
        <w:pageBreakBefore w:val="0"/>
        <w:kinsoku/>
        <w:wordWrap/>
        <w:overflowPunct/>
        <w:topLinePunct w:val="0"/>
        <w:autoSpaceDE/>
        <w:autoSpaceDN/>
        <w:bidi w:val="0"/>
        <w:adjustRightInd/>
        <w:snapToGrid/>
        <w:spacing w:line="580" w:lineRule="exact"/>
        <w:ind w:firstLine="643"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第三十</w:t>
      </w:r>
      <w:r>
        <w:rPr>
          <w:rFonts w:hint="eastAsia" w:ascii="仿宋" w:hAnsi="仿宋" w:eastAsia="仿宋" w:cs="仿宋"/>
          <w:b/>
          <w:bCs/>
          <w:color w:val="000000" w:themeColor="text1"/>
          <w:sz w:val="32"/>
          <w:szCs w:val="32"/>
          <w:lang w:eastAsia="zh-CN"/>
          <w14:textFill>
            <w14:solidFill>
              <w14:schemeClr w14:val="tx1"/>
            </w14:solidFill>
          </w14:textFill>
        </w:rPr>
        <w:t>六</w:t>
      </w:r>
      <w:r>
        <w:rPr>
          <w:rFonts w:hint="eastAsia" w:ascii="仿宋" w:hAnsi="仿宋" w:eastAsia="仿宋" w:cs="仿宋"/>
          <w:b/>
          <w:bCs/>
          <w:color w:val="000000" w:themeColor="text1"/>
          <w:sz w:val="32"/>
          <w:szCs w:val="32"/>
          <w14:textFill>
            <w14:solidFill>
              <w14:schemeClr w14:val="tx1"/>
            </w14:solidFill>
          </w14:textFill>
        </w:rPr>
        <w:t>条</w:t>
      </w:r>
      <w:r>
        <w:rPr>
          <w:rFonts w:hint="eastAsia" w:ascii="仿宋" w:hAnsi="仿宋" w:eastAsia="仿宋" w:cs="仿宋"/>
          <w:color w:val="000000" w:themeColor="text1"/>
          <w:sz w:val="32"/>
          <w:szCs w:val="32"/>
          <w14:textFill>
            <w14:solidFill>
              <w14:schemeClr w14:val="tx1"/>
            </w14:solidFill>
          </w14:textFill>
        </w:rPr>
        <w:t xml:space="preserve">  </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鼓励各县（市、区）、各单位完善竞赛激励政策，鼓励支持各县（市、区）、各单位建立和完善参与竞赛工作的教练、专家、选手、专职工作人员等人才专业化培养和发展机制，对竞赛获奖选手以及在选手培养、竞赛组织实施中作出突出贡献的单位和个人按照规定给予表扬激励。</w:t>
      </w:r>
    </w:p>
    <w:p>
      <w:pPr>
        <w:keepNext w:val="0"/>
        <w:keepLines w:val="0"/>
        <w:pageBreakBefore w:val="0"/>
        <w:kinsoku/>
        <w:wordWrap/>
        <w:overflowPunct/>
        <w:topLinePunct w:val="0"/>
        <w:autoSpaceDE/>
        <w:autoSpaceDN/>
        <w:bidi w:val="0"/>
        <w:adjustRightInd/>
        <w:snapToGrid/>
        <w:spacing w:line="580" w:lineRule="exact"/>
        <w:ind w:firstLine="643" w:firstLineChars="200"/>
        <w:jc w:val="center"/>
        <w:textAlignment w:val="auto"/>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第六章  经费保障</w:t>
      </w:r>
    </w:p>
    <w:p>
      <w:pPr>
        <w:keepNext w:val="0"/>
        <w:keepLines w:val="0"/>
        <w:pageBreakBefore w:val="0"/>
        <w:kinsoku/>
        <w:wordWrap/>
        <w:overflowPunct/>
        <w:topLinePunct w:val="0"/>
        <w:autoSpaceDE/>
        <w:autoSpaceDN/>
        <w:bidi w:val="0"/>
        <w:adjustRightInd/>
        <w:snapToGrid/>
        <w:spacing w:line="580" w:lineRule="exact"/>
        <w:ind w:firstLine="643"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第三十七条</w:t>
      </w:r>
      <w:r>
        <w:rPr>
          <w:rFonts w:hint="eastAsia" w:ascii="仿宋" w:hAnsi="仿宋" w:eastAsia="仿宋" w:cs="仿宋"/>
          <w:color w:val="000000" w:themeColor="text1"/>
          <w:sz w:val="32"/>
          <w:szCs w:val="32"/>
          <w14:textFill>
            <w14:solidFill>
              <w14:schemeClr w14:val="tx1"/>
            </w14:solidFill>
          </w14:textFill>
        </w:rPr>
        <w:t xml:space="preserve">  举办竞赛应当厉行节约，严格控制活动规模和开支。竞赛经费可从以下途径筹措:</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(一)政府财政支持;</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(二)主办、承办及协办等单位共同出资;</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(三)适当收取参赛单位的报名费、参赛费等;</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(四)引入市场运作机制,如收取冠名费、赞助费等;</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(五)其他途径的社会赞助和资助。</w:t>
      </w:r>
    </w:p>
    <w:p>
      <w:pPr>
        <w:keepNext w:val="0"/>
        <w:keepLines w:val="0"/>
        <w:pageBreakBefore w:val="0"/>
        <w:kinsoku/>
        <w:wordWrap/>
        <w:overflowPunct/>
        <w:topLinePunct w:val="0"/>
        <w:autoSpaceDE/>
        <w:autoSpaceDN/>
        <w:bidi w:val="0"/>
        <w:adjustRightInd/>
        <w:snapToGrid/>
        <w:spacing w:line="580" w:lineRule="exact"/>
        <w:ind w:firstLine="643"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第三十八条</w:t>
      </w:r>
      <w:r>
        <w:rPr>
          <w:rFonts w:hint="eastAsia" w:ascii="仿宋" w:hAnsi="仿宋" w:eastAsia="仿宋" w:cs="仿宋"/>
          <w:color w:val="000000" w:themeColor="text1"/>
          <w:sz w:val="32"/>
          <w:szCs w:val="32"/>
          <w14:textFill>
            <w14:solidFill>
              <w14:schemeClr w14:val="tx1"/>
            </w14:solidFill>
          </w14:textFill>
        </w:rPr>
        <w:t xml:space="preserve">   职业技能竞赛主办、承办及协办单位应按规定列支办赛经费，加强职业技能竞赛经费使用管理，落实绩效评价和专项审计，强化监督管理，提高资金使用绩效。  </w:t>
      </w:r>
    </w:p>
    <w:p>
      <w:pPr>
        <w:keepNext w:val="0"/>
        <w:keepLines w:val="0"/>
        <w:pageBreakBefore w:val="0"/>
        <w:kinsoku/>
        <w:wordWrap/>
        <w:overflowPunct/>
        <w:topLinePunct w:val="0"/>
        <w:autoSpaceDE/>
        <w:autoSpaceDN/>
        <w:bidi w:val="0"/>
        <w:adjustRightInd/>
        <w:snapToGrid/>
        <w:spacing w:line="580" w:lineRule="exact"/>
        <w:ind w:firstLine="643"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第三十九条 </w:t>
      </w:r>
      <w:r>
        <w:rPr>
          <w:rFonts w:hint="eastAsia" w:ascii="仿宋" w:hAnsi="仿宋" w:eastAsia="仿宋" w:cs="仿宋"/>
          <w:color w:val="000000" w:themeColor="text1"/>
          <w:sz w:val="32"/>
          <w:szCs w:val="32"/>
          <w14:textFill>
            <w14:solidFill>
              <w14:schemeClr w14:val="tx1"/>
            </w14:solidFill>
          </w14:textFill>
        </w:rPr>
        <w:t xml:space="preserve">  竞赛经费可按规定用于竞赛所需的设施设备、仪器耗材购置及租赁、竞赛场地租用、专家教练裁判聘请、赛事管理人员工作补贴、教练选手生活补助、集训拉练、赛事组织实施、选手奖励以及与赛事相关的其他开支。同一承办单位承担多个项目选拔、集训的，工作经费可统筹使用，年度内结余部分可用于职业技能竞赛相关工作。</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00"/>
        <w:jc w:val="left"/>
        <w:textAlignment w:val="auto"/>
        <w:rPr>
          <w:rFonts w:hint="eastAsia" w:ascii="仿宋" w:hAnsi="仿宋" w:eastAsia="仿宋" w:cs="仿宋"/>
          <w:color w:val="000000"/>
          <w:spacing w:val="7"/>
          <w:kern w:val="0"/>
          <w:sz w:val="32"/>
          <w:szCs w:val="32"/>
          <w:lang w:val="en-US" w:eastAsia="zh-CN" w:bidi="ar"/>
        </w:rPr>
      </w:pPr>
      <w:r>
        <w:rPr>
          <w:rFonts w:hint="eastAsia" w:ascii="仿宋" w:hAnsi="仿宋" w:eastAsia="仿宋" w:cs="仿宋"/>
          <w:b/>
          <w:bCs/>
          <w:i w:val="0"/>
          <w:iCs w:val="0"/>
          <w:caps w:val="0"/>
          <w:color w:val="000000" w:themeColor="text1"/>
          <w:spacing w:val="0"/>
          <w:sz w:val="32"/>
          <w:szCs w:val="32"/>
          <w:shd w:val="clear" w:fill="FFFFFF"/>
          <w:lang w:eastAsia="zh-CN"/>
          <w14:textFill>
            <w14:solidFill>
              <w14:schemeClr w14:val="tx1"/>
            </w14:solidFill>
          </w14:textFill>
        </w:rPr>
        <w:t>第四十</w:t>
      </w:r>
      <w:r>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t>条</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xml:space="preserve"> </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职业技能竞赛主办、承办及协办单位应按规定列支办赛经费，加强职业技能竞赛经费使用管理，落实绩效评价和专项审计，强化监督管理，提高资金使用绩效。</w:t>
      </w:r>
      <w:r>
        <w:rPr>
          <w:rFonts w:hint="eastAsia" w:ascii="仿宋" w:hAnsi="仿宋" w:eastAsia="仿宋" w:cs="仿宋"/>
          <w:color w:val="000000"/>
          <w:spacing w:val="7"/>
          <w:kern w:val="0"/>
          <w:sz w:val="32"/>
          <w:szCs w:val="32"/>
          <w:lang w:val="en-US" w:eastAsia="zh-CN" w:bidi="ar"/>
        </w:rPr>
        <w:t>各级竞赛不得向选手收取参赛费用。</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00"/>
        <w:jc w:val="center"/>
        <w:textAlignment w:val="auto"/>
        <w:rPr>
          <w:rFonts w:hint="eastAsia" w:ascii="仿宋" w:hAnsi="仿宋" w:eastAsia="仿宋" w:cs="仿宋"/>
          <w:b/>
          <w:bCs/>
          <w:color w:val="000000"/>
          <w:spacing w:val="7"/>
          <w:kern w:val="0"/>
          <w:sz w:val="32"/>
          <w:szCs w:val="32"/>
          <w:lang w:val="en-US" w:eastAsia="zh-CN" w:bidi="ar"/>
        </w:rPr>
      </w:pPr>
      <w:r>
        <w:rPr>
          <w:rFonts w:hint="eastAsia" w:ascii="仿宋" w:hAnsi="仿宋" w:eastAsia="仿宋" w:cs="仿宋"/>
          <w:b/>
          <w:bCs/>
          <w:color w:val="000000"/>
          <w:spacing w:val="7"/>
          <w:kern w:val="0"/>
          <w:sz w:val="32"/>
          <w:szCs w:val="32"/>
          <w:lang w:val="en-US" w:eastAsia="zh-CN" w:bidi="ar"/>
        </w:rPr>
        <w:t>第七章  监督管理</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00"/>
        <w:jc w:val="left"/>
        <w:textAlignment w:val="auto"/>
        <w:rPr>
          <w:rFonts w:hint="eastAsia" w:ascii="仿宋" w:hAnsi="仿宋" w:eastAsia="仿宋" w:cs="仿宋"/>
          <w:color w:val="000000"/>
          <w:spacing w:val="7"/>
          <w:kern w:val="0"/>
          <w:sz w:val="32"/>
          <w:szCs w:val="32"/>
          <w:lang w:val="en-US" w:eastAsia="zh-CN" w:bidi="ar"/>
        </w:rPr>
      </w:pPr>
      <w:r>
        <w:rPr>
          <w:rFonts w:hint="eastAsia" w:ascii="仿宋" w:hAnsi="仿宋" w:eastAsia="仿宋" w:cs="仿宋"/>
          <w:b/>
          <w:bCs/>
          <w:color w:val="000000"/>
          <w:spacing w:val="7"/>
          <w:kern w:val="0"/>
          <w:sz w:val="32"/>
          <w:szCs w:val="32"/>
          <w:lang w:val="en-US" w:eastAsia="zh-CN" w:bidi="ar"/>
        </w:rPr>
        <w:t>第四十一条</w:t>
      </w:r>
      <w:r>
        <w:rPr>
          <w:rFonts w:hint="eastAsia" w:ascii="仿宋" w:hAnsi="仿宋" w:eastAsia="仿宋" w:cs="仿宋"/>
          <w:color w:val="000000"/>
          <w:spacing w:val="7"/>
          <w:kern w:val="0"/>
          <w:sz w:val="32"/>
          <w:szCs w:val="32"/>
          <w:lang w:val="en-US" w:eastAsia="zh-CN" w:bidi="ar"/>
        </w:rPr>
        <w:t xml:space="preserve">   健全监督管理机制，综合运用多种监管手段，对职业技能竞赛组织全过程进行监管。人力资源社会保障部门应履行主管部门监管责任，对在职业技能竞赛举办前或举办中发现不符合规定条件、标准、规则等规定情形的，或收到有关单位、个人提出相关建议、投诉、举报的，应当及时核查处理；属于其他部门职责范围的，应当及时移交并积极配合协助处理。</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00"/>
        <w:jc w:val="left"/>
        <w:textAlignment w:val="auto"/>
        <w:rPr>
          <w:rFonts w:hint="eastAsia" w:ascii="仿宋" w:hAnsi="仿宋" w:eastAsia="仿宋" w:cs="仿宋"/>
          <w:color w:val="000000"/>
          <w:spacing w:val="7"/>
          <w:kern w:val="0"/>
          <w:sz w:val="32"/>
          <w:szCs w:val="32"/>
          <w:lang w:val="en-US" w:eastAsia="zh-CN" w:bidi="ar"/>
        </w:rPr>
      </w:pPr>
      <w:r>
        <w:rPr>
          <w:rFonts w:hint="eastAsia" w:ascii="仿宋" w:hAnsi="仿宋" w:eastAsia="仿宋" w:cs="仿宋"/>
          <w:b/>
          <w:bCs/>
          <w:color w:val="000000"/>
          <w:spacing w:val="7"/>
          <w:kern w:val="0"/>
          <w:sz w:val="32"/>
          <w:szCs w:val="32"/>
          <w:lang w:val="en-US" w:eastAsia="zh-CN" w:bidi="ar"/>
        </w:rPr>
        <w:t>第四十二条</w:t>
      </w:r>
      <w:r>
        <w:rPr>
          <w:rFonts w:hint="eastAsia" w:ascii="仿宋" w:hAnsi="仿宋" w:eastAsia="仿宋" w:cs="仿宋"/>
          <w:color w:val="000000"/>
          <w:spacing w:val="7"/>
          <w:kern w:val="0"/>
          <w:sz w:val="32"/>
          <w:szCs w:val="32"/>
          <w:lang w:val="en-US" w:eastAsia="zh-CN" w:bidi="ar"/>
        </w:rPr>
        <w:t xml:space="preserve">   竞赛要严格遵守组织纪律，赛中出现因管理不善，造成重大责任事故，或营私舞弊、成绩失实，造成恶劣影响的情形，对竞赛结果不予认定，并由主管部门或有关部门追究相关单位和个人责任。</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00"/>
        <w:jc w:val="left"/>
        <w:textAlignment w:val="auto"/>
        <w:rPr>
          <w:rFonts w:hint="eastAsia" w:ascii="仿宋" w:hAnsi="仿宋" w:eastAsia="仿宋" w:cs="仿宋"/>
          <w:color w:val="000000"/>
          <w:spacing w:val="7"/>
          <w:kern w:val="0"/>
          <w:sz w:val="32"/>
          <w:szCs w:val="32"/>
          <w:lang w:val="en-US" w:eastAsia="zh-CN" w:bidi="ar"/>
        </w:rPr>
      </w:pPr>
      <w:r>
        <w:rPr>
          <w:rFonts w:hint="eastAsia" w:ascii="仿宋" w:hAnsi="仿宋" w:eastAsia="仿宋" w:cs="仿宋"/>
          <w:b/>
          <w:bCs/>
          <w:color w:val="000000"/>
          <w:spacing w:val="7"/>
          <w:kern w:val="0"/>
          <w:sz w:val="32"/>
          <w:szCs w:val="32"/>
          <w:lang w:val="en-US" w:eastAsia="zh-CN" w:bidi="ar"/>
        </w:rPr>
        <w:t>第四十三条</w:t>
      </w:r>
      <w:r>
        <w:rPr>
          <w:rFonts w:hint="eastAsia" w:ascii="仿宋" w:hAnsi="仿宋" w:eastAsia="仿宋" w:cs="仿宋"/>
          <w:color w:val="000000"/>
          <w:spacing w:val="7"/>
          <w:kern w:val="0"/>
          <w:sz w:val="32"/>
          <w:szCs w:val="32"/>
          <w:lang w:val="en-US" w:eastAsia="zh-CN" w:bidi="ar"/>
        </w:rPr>
        <w:t xml:space="preserve">   专家、裁判、监督、仲裁、指导教练等相关人员，违反工作纪律，造成恶劣影响的，由主管部门或有关部门追究相关人员责任。大赛协办单位或合作企业的违约责任通过合同协议明确。</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00"/>
        <w:jc w:val="left"/>
        <w:textAlignment w:val="auto"/>
        <w:rPr>
          <w:rFonts w:hint="eastAsia" w:ascii="仿宋" w:hAnsi="仿宋" w:eastAsia="仿宋" w:cs="仿宋"/>
          <w:color w:val="000000"/>
          <w:spacing w:val="7"/>
          <w:kern w:val="0"/>
          <w:sz w:val="32"/>
          <w:szCs w:val="32"/>
          <w:lang w:val="en-US" w:eastAsia="zh-CN" w:bidi="ar"/>
        </w:rPr>
      </w:pPr>
      <w:r>
        <w:rPr>
          <w:rFonts w:hint="eastAsia" w:ascii="仿宋" w:hAnsi="仿宋" w:eastAsia="仿宋" w:cs="仿宋"/>
          <w:b/>
          <w:bCs/>
          <w:color w:val="000000"/>
          <w:spacing w:val="7"/>
          <w:kern w:val="0"/>
          <w:sz w:val="32"/>
          <w:szCs w:val="32"/>
          <w:lang w:val="en-US" w:eastAsia="zh-CN" w:bidi="ar"/>
        </w:rPr>
        <w:t xml:space="preserve">第四十四条 </w:t>
      </w:r>
      <w:r>
        <w:rPr>
          <w:rFonts w:hint="eastAsia" w:ascii="仿宋" w:hAnsi="仿宋" w:eastAsia="仿宋" w:cs="仿宋"/>
          <w:color w:val="000000"/>
          <w:spacing w:val="7"/>
          <w:kern w:val="0"/>
          <w:sz w:val="32"/>
          <w:szCs w:val="32"/>
          <w:lang w:val="en-US" w:eastAsia="zh-CN" w:bidi="ar"/>
        </w:rPr>
        <w:t>  参赛选手不遵守竞赛规程，或经查实有冒名顶替、作弊、扰乱赛场秩序等情形的，终止比赛资格，取消比赛成绩。对被取消或调整奖牌的获奖选手，应当追回或调整相关奖励奖金。对利用虚假材料和信息骗取补贴资金的单位和个人，一经查实，应当追回已发放的资金；构成犯罪的，依法追究刑事责任。</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00"/>
        <w:jc w:val="center"/>
        <w:textAlignment w:val="auto"/>
        <w:rPr>
          <w:rFonts w:hint="eastAsia" w:ascii="仿宋" w:hAnsi="仿宋" w:eastAsia="仿宋" w:cs="仿宋"/>
          <w:b/>
          <w:bCs/>
          <w:color w:val="000000"/>
          <w:spacing w:val="7"/>
          <w:kern w:val="0"/>
          <w:sz w:val="32"/>
          <w:szCs w:val="32"/>
          <w:lang w:val="en-US" w:eastAsia="zh-CN" w:bidi="ar"/>
        </w:rPr>
      </w:pPr>
      <w:r>
        <w:rPr>
          <w:rFonts w:hint="eastAsia" w:ascii="仿宋" w:hAnsi="仿宋" w:eastAsia="仿宋" w:cs="仿宋"/>
          <w:b/>
          <w:bCs/>
          <w:color w:val="000000"/>
          <w:spacing w:val="7"/>
          <w:kern w:val="0"/>
          <w:sz w:val="32"/>
          <w:szCs w:val="32"/>
          <w:lang w:val="en-US" w:eastAsia="zh-CN" w:bidi="ar"/>
        </w:rPr>
        <w:t>第八章  附  则</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00"/>
        <w:jc w:val="left"/>
        <w:textAlignment w:val="auto"/>
        <w:rPr>
          <w:rFonts w:hint="eastAsia" w:ascii="仿宋" w:hAnsi="仿宋" w:eastAsia="仿宋" w:cs="仿宋"/>
          <w:color w:val="000000"/>
          <w:spacing w:val="7"/>
          <w:kern w:val="0"/>
          <w:sz w:val="32"/>
          <w:szCs w:val="32"/>
          <w:lang w:val="en-US" w:eastAsia="zh-CN" w:bidi="ar"/>
        </w:rPr>
      </w:pPr>
      <w:r>
        <w:rPr>
          <w:rFonts w:hint="eastAsia" w:ascii="仿宋" w:hAnsi="仿宋" w:eastAsia="仿宋" w:cs="仿宋"/>
          <w:b/>
          <w:bCs/>
          <w:color w:val="000000"/>
          <w:spacing w:val="7"/>
          <w:kern w:val="0"/>
          <w:sz w:val="32"/>
          <w:szCs w:val="32"/>
          <w:lang w:val="en-US" w:eastAsia="zh-CN" w:bidi="ar"/>
        </w:rPr>
        <w:t>第四十五条  </w:t>
      </w:r>
      <w:r>
        <w:rPr>
          <w:rFonts w:hint="eastAsia" w:ascii="仿宋" w:hAnsi="仿宋" w:eastAsia="仿宋" w:cs="仿宋"/>
          <w:color w:val="000000"/>
          <w:spacing w:val="7"/>
          <w:kern w:val="0"/>
          <w:sz w:val="32"/>
          <w:szCs w:val="32"/>
          <w:lang w:val="en-US" w:eastAsia="zh-CN" w:bidi="ar"/>
        </w:rPr>
        <w:t xml:space="preserve">  各县（市、区）可参照本办法，根据实际制定本地具体实施办法。</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00"/>
        <w:jc w:val="left"/>
        <w:textAlignment w:val="auto"/>
        <w:rPr>
          <w:rFonts w:hint="eastAsia" w:ascii="仿宋" w:hAnsi="仿宋" w:eastAsia="仿宋" w:cs="仿宋"/>
          <w:color w:val="000000"/>
          <w:spacing w:val="7"/>
          <w:kern w:val="0"/>
          <w:sz w:val="32"/>
          <w:szCs w:val="32"/>
          <w:lang w:val="en-US" w:eastAsia="zh-CN" w:bidi="ar"/>
        </w:rPr>
      </w:pPr>
      <w:r>
        <w:rPr>
          <w:rFonts w:hint="eastAsia" w:ascii="仿宋" w:hAnsi="仿宋" w:eastAsia="仿宋" w:cs="仿宋"/>
          <w:b/>
          <w:bCs/>
          <w:color w:val="000000"/>
          <w:spacing w:val="7"/>
          <w:kern w:val="0"/>
          <w:sz w:val="32"/>
          <w:szCs w:val="32"/>
          <w:lang w:val="en-US" w:eastAsia="zh-CN" w:bidi="ar"/>
        </w:rPr>
        <w:t>第四十六条 </w:t>
      </w:r>
      <w:r>
        <w:rPr>
          <w:rFonts w:hint="eastAsia" w:ascii="仿宋" w:hAnsi="仿宋" w:eastAsia="仿宋" w:cs="仿宋"/>
          <w:color w:val="000000"/>
          <w:spacing w:val="7"/>
          <w:kern w:val="0"/>
          <w:sz w:val="32"/>
          <w:szCs w:val="32"/>
          <w:lang w:val="en-US" w:eastAsia="zh-CN" w:bidi="ar"/>
        </w:rPr>
        <w:t>   本办法由市人力资源和社会保障局负责解释。国家、省对职业技能竞赛如有新规定的，从其规定。</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00"/>
        <w:jc w:val="left"/>
        <w:textAlignment w:val="auto"/>
        <w:rPr>
          <w:rFonts w:hint="eastAsia" w:ascii="仿宋" w:hAnsi="仿宋" w:eastAsia="仿宋" w:cs="仿宋"/>
          <w:color w:val="000000"/>
          <w:spacing w:val="7"/>
          <w:kern w:val="0"/>
          <w:sz w:val="32"/>
          <w:szCs w:val="32"/>
          <w:lang w:val="en-US" w:eastAsia="zh-CN" w:bidi="ar"/>
        </w:rPr>
      </w:pPr>
      <w:r>
        <w:rPr>
          <w:rFonts w:hint="eastAsia" w:ascii="仿宋" w:hAnsi="仿宋" w:eastAsia="仿宋" w:cs="仿宋"/>
          <w:b/>
          <w:bCs/>
          <w:color w:val="000000"/>
          <w:spacing w:val="7"/>
          <w:kern w:val="0"/>
          <w:sz w:val="32"/>
          <w:szCs w:val="32"/>
          <w:lang w:val="en-US" w:eastAsia="zh-CN" w:bidi="ar"/>
        </w:rPr>
        <w:t>第四十七条  </w:t>
      </w:r>
      <w:r>
        <w:rPr>
          <w:rFonts w:hint="eastAsia" w:ascii="仿宋" w:hAnsi="仿宋" w:eastAsia="仿宋" w:cs="仿宋"/>
          <w:color w:val="000000"/>
          <w:spacing w:val="7"/>
          <w:kern w:val="0"/>
          <w:sz w:val="32"/>
          <w:szCs w:val="32"/>
          <w:lang w:val="en-US" w:eastAsia="zh-CN" w:bidi="ar"/>
        </w:rPr>
        <w:t xml:space="preserve">  本办法自印发之日起施行，有效期5年。</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pPr>
      <w:r>
        <w:t>　　</w:t>
      </w:r>
    </w:p>
    <w:p>
      <w:pPr>
        <w:keepNext w:val="0"/>
        <w:keepLines w:val="0"/>
        <w:widowControl/>
        <w:suppressLineNumbers w:val="0"/>
        <w:ind w:firstLine="640" w:firstLineChars="200"/>
        <w:jc w:val="left"/>
      </w:pPr>
    </w:p>
    <w:p>
      <w:pPr>
        <w:keepNext w:val="0"/>
        <w:keepLines w:val="0"/>
        <w:widowControl/>
        <w:suppressLineNumbers w:val="0"/>
        <w:ind w:firstLine="640" w:firstLineChars="200"/>
        <w:jc w:val="left"/>
      </w:pPr>
    </w:p>
    <w:p>
      <w:pPr>
        <w:keepNext w:val="0"/>
        <w:keepLines w:val="0"/>
        <w:widowControl/>
        <w:suppressLineNumbers w:val="0"/>
        <w:ind w:firstLine="640" w:firstLineChars="200"/>
        <w:jc w:val="left"/>
      </w:pPr>
    </w:p>
    <w:p>
      <w:pPr>
        <w:keepNext w:val="0"/>
        <w:keepLines w:val="0"/>
        <w:widowControl/>
        <w:suppressLineNumbers w:val="0"/>
        <w:ind w:firstLine="640" w:firstLineChars="200"/>
        <w:jc w:val="left"/>
      </w:pPr>
    </w:p>
    <w:p>
      <w:pPr>
        <w:keepNext w:val="0"/>
        <w:keepLines w:val="0"/>
        <w:widowControl/>
        <w:suppressLineNumbers w:val="0"/>
        <w:ind w:firstLine="640" w:firstLineChars="200"/>
        <w:jc w:val="left"/>
      </w:pPr>
    </w:p>
    <w:p>
      <w:pPr>
        <w:keepNext w:val="0"/>
        <w:keepLines w:val="0"/>
        <w:widowControl/>
        <w:suppressLineNumbers w:val="0"/>
        <w:ind w:firstLine="640" w:firstLineChars="200"/>
        <w:jc w:val="left"/>
      </w:pPr>
    </w:p>
    <w:p>
      <w:pPr>
        <w:keepNext w:val="0"/>
        <w:keepLines w:val="0"/>
        <w:widowControl/>
        <w:suppressLineNumbers w:val="0"/>
        <w:ind w:firstLine="640" w:firstLineChars="200"/>
        <w:jc w:val="left"/>
      </w:pPr>
    </w:p>
    <w:p>
      <w:pPr>
        <w:keepNext w:val="0"/>
        <w:keepLines w:val="0"/>
        <w:widowControl/>
        <w:suppressLineNumbers w:val="0"/>
        <w:ind w:firstLine="640" w:firstLineChars="200"/>
        <w:jc w:val="left"/>
      </w:pPr>
    </w:p>
    <w:p>
      <w:pPr>
        <w:keepNext w:val="0"/>
        <w:keepLines w:val="0"/>
        <w:widowControl/>
        <w:suppressLineNumbers w:val="0"/>
        <w:ind w:firstLine="640" w:firstLineChars="200"/>
        <w:jc w:val="left"/>
      </w:pPr>
    </w:p>
    <w:p>
      <w:pPr>
        <w:keepNext w:val="0"/>
        <w:keepLines w:val="0"/>
        <w:widowControl/>
        <w:suppressLineNumbers w:val="0"/>
        <w:ind w:firstLine="640" w:firstLineChars="200"/>
        <w:jc w:val="left"/>
      </w:pPr>
    </w:p>
    <w:p>
      <w:pPr>
        <w:keepNext w:val="0"/>
        <w:keepLines w:val="0"/>
        <w:widowControl/>
        <w:suppressLineNumbers w:val="0"/>
        <w:ind w:firstLine="640" w:firstLineChars="200"/>
        <w:jc w:val="left"/>
      </w:pPr>
    </w:p>
    <w:p>
      <w:pPr>
        <w:keepNext w:val="0"/>
        <w:keepLines w:val="0"/>
        <w:widowControl/>
        <w:suppressLineNumbers w:val="0"/>
        <w:ind w:firstLine="640" w:firstLineChars="200"/>
        <w:jc w:val="left"/>
      </w:pPr>
    </w:p>
    <w:p>
      <w:pPr>
        <w:keepNext w:val="0"/>
        <w:keepLines w:val="0"/>
        <w:widowControl/>
        <w:suppressLineNumbers w:val="0"/>
        <w:ind w:firstLine="640" w:firstLineChars="200"/>
        <w:jc w:val="left"/>
      </w:pPr>
    </w:p>
    <w:p>
      <w:pPr>
        <w:keepNext w:val="0"/>
        <w:keepLines w:val="0"/>
        <w:widowControl/>
        <w:suppressLineNumbers w:val="0"/>
        <w:jc w:val="left"/>
        <w:rPr>
          <w:rFonts w:hint="eastAsia" w:ascii="仿宋" w:hAnsi="仿宋" w:eastAsia="仿宋" w:cs="仿宋"/>
          <w:color w:val="000000" w:themeColor="text1"/>
          <w:kern w:val="0"/>
          <w:sz w:val="32"/>
          <w:szCs w:val="32"/>
          <w:lang w:val="en-US" w:eastAsia="zh-CN" w:bidi="ar"/>
          <w14:textFill>
            <w14:solidFill>
              <w14:schemeClr w14:val="tx1"/>
            </w14:solidFill>
          </w14:textFill>
        </w:rPr>
      </w:pPr>
    </w:p>
    <w:p>
      <w:pPr>
        <w:spacing w:before="101" w:line="228" w:lineRule="auto"/>
        <w:jc w:val="both"/>
        <w:rPr>
          <w:rFonts w:hint="eastAsia" w:ascii="Times New Roman" w:hAnsi="Times New Roman" w:eastAsia="黑体" w:cs="Times New Roman"/>
          <w:sz w:val="31"/>
          <w:szCs w:val="31"/>
          <w:lang w:eastAsia="zh-CN"/>
        </w:rPr>
      </w:pPr>
      <w:r>
        <w:rPr>
          <w:rFonts w:ascii="黑体" w:hAnsi="黑体" w:eastAsia="黑体" w:cs="黑体"/>
          <w:spacing w:val="-6"/>
          <w:sz w:val="31"/>
          <w:szCs w:val="31"/>
        </w:rPr>
        <w:t>附表</w:t>
      </w:r>
      <w:r>
        <w:rPr>
          <w:rFonts w:ascii="黑体" w:hAnsi="黑体" w:eastAsia="黑体" w:cs="黑体"/>
          <w:spacing w:val="-43"/>
          <w:sz w:val="31"/>
          <w:szCs w:val="31"/>
        </w:rPr>
        <w:t xml:space="preserve"> </w:t>
      </w:r>
      <w:r>
        <w:rPr>
          <w:rFonts w:hint="eastAsia" w:ascii="Times New Roman" w:hAnsi="Times New Roman" w:eastAsia="宋体" w:cs="Times New Roman"/>
          <w:spacing w:val="-6"/>
          <w:sz w:val="31"/>
          <w:szCs w:val="31"/>
          <w:lang w:val="en-US" w:eastAsia="zh-CN"/>
        </w:rPr>
        <w:t>1</w:t>
      </w:r>
    </w:p>
    <w:p>
      <w:pPr>
        <w:spacing w:line="475" w:lineRule="auto"/>
        <w:rPr>
          <w:rFonts w:ascii="Arial"/>
          <w:sz w:val="21"/>
        </w:rPr>
      </w:pPr>
    </w:p>
    <w:p>
      <w:pPr>
        <w:spacing w:before="140" w:line="259" w:lineRule="auto"/>
        <w:ind w:firstLine="872" w:firstLineChars="200"/>
        <w:jc w:val="both"/>
        <w:rPr>
          <w:rFonts w:ascii="宋体" w:hAnsi="宋体" w:eastAsia="宋体" w:cs="宋体"/>
          <w:sz w:val="43"/>
          <w:szCs w:val="43"/>
        </w:rPr>
      </w:pPr>
      <w:r>
        <w:rPr>
          <w:rFonts w:ascii="Times New Roman" w:hAnsi="Times New Roman" w:eastAsia="Times New Roman" w:cs="Times New Roman"/>
          <w:spacing w:val="3"/>
          <w:sz w:val="43"/>
          <w:szCs w:val="43"/>
        </w:rPr>
        <w:t>20</w:t>
      </w:r>
      <w:r>
        <w:rPr>
          <w:rFonts w:ascii="Times New Roman" w:hAnsi="Times New Roman" w:eastAsia="Times New Roman" w:cs="Times New Roman"/>
          <w:spacing w:val="3"/>
          <w:sz w:val="43"/>
          <w:szCs w:val="43"/>
          <w:u w:val="single" w:color="auto"/>
        </w:rPr>
        <w:t xml:space="preserve">        </w:t>
      </w:r>
      <w:r>
        <w:rPr>
          <w:rFonts w:ascii="宋体" w:hAnsi="宋体" w:eastAsia="宋体" w:cs="宋体"/>
          <w:spacing w:val="3"/>
          <w:sz w:val="43"/>
          <w:szCs w:val="43"/>
          <w14:textOutline w14:w="6350" w14:cap="flat" w14:cmpd="sng">
            <w14:solidFill>
              <w14:srgbClr w14:val="000000"/>
            </w14:solidFill>
            <w14:prstDash w14:val="solid"/>
            <w14:miter w14:val="0"/>
          </w14:textOutline>
        </w:rPr>
        <w:t>年</w:t>
      </w:r>
      <w:r>
        <w:rPr>
          <w:rFonts w:hint="eastAsia" w:ascii="宋体" w:hAnsi="宋体" w:eastAsia="宋体" w:cs="宋体"/>
          <w:spacing w:val="3"/>
          <w:sz w:val="43"/>
          <w:szCs w:val="43"/>
          <w:lang w:eastAsia="zh-CN"/>
          <w14:textOutline w14:w="6350" w14:cap="flat" w14:cmpd="sng">
            <w14:solidFill>
              <w14:srgbClr w14:val="000000"/>
            </w14:solidFill>
            <w14:prstDash w14:val="solid"/>
            <w14:miter w14:val="0"/>
          </w14:textOutline>
        </w:rPr>
        <w:t>汕尾市</w:t>
      </w:r>
      <w:r>
        <w:rPr>
          <w:rFonts w:ascii="宋体" w:hAnsi="宋体" w:eastAsia="宋体" w:cs="宋体"/>
          <w:spacing w:val="3"/>
          <w:sz w:val="43"/>
          <w:szCs w:val="43"/>
          <w14:textOutline w14:w="6350" w14:cap="flat" w14:cmpd="sng">
            <w14:solidFill>
              <w14:srgbClr w14:val="000000"/>
            </w14:solidFill>
            <w14:prstDash w14:val="solid"/>
            <w14:miter w14:val="0"/>
          </w14:textOutline>
        </w:rPr>
        <w:t>职业技能竞赛申报表</w:t>
      </w:r>
    </w:p>
    <w:p>
      <w:pPr>
        <w:spacing w:line="289" w:lineRule="auto"/>
        <w:rPr>
          <w:rFonts w:ascii="Arial"/>
          <w:sz w:val="21"/>
        </w:rPr>
      </w:pPr>
    </w:p>
    <w:p>
      <w:pPr>
        <w:spacing w:line="289" w:lineRule="auto"/>
        <w:rPr>
          <w:rFonts w:ascii="Arial"/>
          <w:sz w:val="21"/>
        </w:rPr>
      </w:pPr>
    </w:p>
    <w:p>
      <w:pPr>
        <w:pStyle w:val="4"/>
        <w:spacing w:before="91" w:line="216" w:lineRule="auto"/>
        <w:ind w:left="428"/>
        <w:rPr>
          <w:sz w:val="28"/>
          <w:szCs w:val="28"/>
        </w:rPr>
      </w:pPr>
      <w:r>
        <w:rPr>
          <w:sz w:val="28"/>
          <w:szCs w:val="28"/>
        </w:rPr>
        <w:t>申报单位</w:t>
      </w:r>
      <w:r>
        <w:rPr>
          <w:spacing w:val="-67"/>
          <w:w w:val="83"/>
          <w:sz w:val="28"/>
          <w:szCs w:val="28"/>
        </w:rPr>
        <w:t>：（</w:t>
      </w:r>
      <w:r>
        <w:rPr>
          <w:sz w:val="28"/>
          <w:szCs w:val="28"/>
        </w:rPr>
        <w:t>盖章）</w:t>
      </w:r>
    </w:p>
    <w:p>
      <w:pPr>
        <w:spacing w:line="24" w:lineRule="exact"/>
      </w:pPr>
    </w:p>
    <w:tbl>
      <w:tblPr>
        <w:tblStyle w:val="14"/>
        <w:tblW w:w="95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68"/>
        <w:gridCol w:w="1959"/>
        <w:gridCol w:w="1879"/>
        <w:gridCol w:w="783"/>
        <w:gridCol w:w="497"/>
        <w:gridCol w:w="1309"/>
        <w:gridCol w:w="179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368" w:type="dxa"/>
            <w:vAlign w:val="top"/>
          </w:tcPr>
          <w:p>
            <w:pPr>
              <w:pStyle w:val="13"/>
              <w:spacing w:before="99" w:line="216" w:lineRule="auto"/>
              <w:ind w:left="153"/>
            </w:pPr>
            <w:r>
              <w:rPr>
                <w:spacing w:val="-8"/>
              </w:rPr>
              <w:t>竞赛名称</w:t>
            </w:r>
          </w:p>
        </w:tc>
        <w:tc>
          <w:tcPr>
            <w:tcW w:w="5118" w:type="dxa"/>
            <w:gridSpan w:val="4"/>
            <w:vAlign w:val="top"/>
          </w:tcPr>
          <w:p>
            <w:pPr>
              <w:rPr>
                <w:rFonts w:ascii="Arial"/>
                <w:sz w:val="21"/>
              </w:rPr>
            </w:pPr>
          </w:p>
        </w:tc>
        <w:tc>
          <w:tcPr>
            <w:tcW w:w="1309" w:type="dxa"/>
            <w:vAlign w:val="top"/>
          </w:tcPr>
          <w:p>
            <w:pPr>
              <w:pStyle w:val="13"/>
              <w:spacing w:before="97" w:line="219" w:lineRule="auto"/>
              <w:ind w:left="130"/>
            </w:pPr>
            <w:r>
              <w:rPr>
                <w:spacing w:val="-8"/>
              </w:rPr>
              <w:t>竞赛时间</w:t>
            </w:r>
          </w:p>
        </w:tc>
        <w:tc>
          <w:tcPr>
            <w:tcW w:w="179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trPr>
        <w:tc>
          <w:tcPr>
            <w:tcW w:w="1368" w:type="dxa"/>
            <w:vAlign w:val="top"/>
          </w:tcPr>
          <w:p>
            <w:pPr>
              <w:pStyle w:val="13"/>
              <w:spacing w:before="244" w:line="216" w:lineRule="auto"/>
              <w:ind w:left="155"/>
            </w:pPr>
            <w:r>
              <w:rPr>
                <w:spacing w:val="-9"/>
              </w:rPr>
              <w:t>主办单位</w:t>
            </w:r>
          </w:p>
        </w:tc>
        <w:tc>
          <w:tcPr>
            <w:tcW w:w="5118" w:type="dxa"/>
            <w:gridSpan w:val="4"/>
            <w:vAlign w:val="top"/>
          </w:tcPr>
          <w:p>
            <w:pPr>
              <w:rPr>
                <w:rFonts w:ascii="Arial"/>
                <w:sz w:val="21"/>
              </w:rPr>
            </w:pPr>
          </w:p>
        </w:tc>
        <w:tc>
          <w:tcPr>
            <w:tcW w:w="1309" w:type="dxa"/>
            <w:vAlign w:val="top"/>
          </w:tcPr>
          <w:p>
            <w:pPr>
              <w:pStyle w:val="13"/>
              <w:spacing w:before="60" w:line="230" w:lineRule="auto"/>
              <w:ind w:left="126" w:right="87" w:firstLine="5"/>
            </w:pPr>
            <w:r>
              <w:rPr>
                <w:spacing w:val="-9"/>
              </w:rPr>
              <w:t>预计初赛</w:t>
            </w:r>
            <w:r>
              <w:t xml:space="preserve"> </w:t>
            </w:r>
            <w:r>
              <w:rPr>
                <w:spacing w:val="-8"/>
              </w:rPr>
              <w:t>参赛人数</w:t>
            </w:r>
          </w:p>
        </w:tc>
        <w:tc>
          <w:tcPr>
            <w:tcW w:w="179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1368" w:type="dxa"/>
            <w:vAlign w:val="top"/>
          </w:tcPr>
          <w:p>
            <w:pPr>
              <w:pStyle w:val="13"/>
              <w:spacing w:before="145" w:line="220" w:lineRule="auto"/>
              <w:ind w:left="143"/>
            </w:pPr>
            <w:r>
              <w:rPr>
                <w:spacing w:val="-12"/>
              </w:rPr>
              <w:t>联</w:t>
            </w:r>
            <w:r>
              <w:rPr>
                <w:spacing w:val="15"/>
              </w:rPr>
              <w:t xml:space="preserve"> </w:t>
            </w:r>
            <w:r>
              <w:rPr>
                <w:spacing w:val="-12"/>
              </w:rPr>
              <w:t>系</w:t>
            </w:r>
            <w:r>
              <w:rPr>
                <w:spacing w:val="5"/>
              </w:rPr>
              <w:t xml:space="preserve"> </w:t>
            </w:r>
            <w:r>
              <w:rPr>
                <w:spacing w:val="-12"/>
              </w:rPr>
              <w:t>人</w:t>
            </w:r>
          </w:p>
        </w:tc>
        <w:tc>
          <w:tcPr>
            <w:tcW w:w="1959" w:type="dxa"/>
            <w:vAlign w:val="top"/>
          </w:tcPr>
          <w:p>
            <w:pPr>
              <w:rPr>
                <w:rFonts w:ascii="Arial"/>
                <w:sz w:val="21"/>
              </w:rPr>
            </w:pPr>
          </w:p>
        </w:tc>
        <w:tc>
          <w:tcPr>
            <w:tcW w:w="1879" w:type="dxa"/>
            <w:vAlign w:val="top"/>
          </w:tcPr>
          <w:p>
            <w:pPr>
              <w:pStyle w:val="13"/>
              <w:spacing w:before="145" w:line="218" w:lineRule="auto"/>
              <w:ind w:left="409"/>
            </w:pPr>
            <w:r>
              <w:rPr>
                <w:spacing w:val="-9"/>
              </w:rPr>
              <w:t>手机号码</w:t>
            </w:r>
          </w:p>
        </w:tc>
        <w:tc>
          <w:tcPr>
            <w:tcW w:w="1280" w:type="dxa"/>
            <w:gridSpan w:val="2"/>
            <w:vAlign w:val="top"/>
          </w:tcPr>
          <w:p>
            <w:pPr>
              <w:rPr>
                <w:rFonts w:ascii="Arial"/>
                <w:sz w:val="21"/>
              </w:rPr>
            </w:pPr>
          </w:p>
        </w:tc>
        <w:tc>
          <w:tcPr>
            <w:tcW w:w="1309" w:type="dxa"/>
            <w:vAlign w:val="top"/>
          </w:tcPr>
          <w:p>
            <w:pPr>
              <w:pStyle w:val="13"/>
              <w:spacing w:before="145" w:line="217" w:lineRule="auto"/>
              <w:ind w:left="253"/>
            </w:pPr>
            <w:r>
              <w:rPr>
                <w:spacing w:val="-4"/>
              </w:rPr>
              <w:t>微信号</w:t>
            </w:r>
          </w:p>
        </w:tc>
        <w:tc>
          <w:tcPr>
            <w:tcW w:w="179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1368" w:type="dxa"/>
            <w:vAlign w:val="top"/>
          </w:tcPr>
          <w:p>
            <w:pPr>
              <w:pStyle w:val="13"/>
              <w:spacing w:before="108" w:line="219" w:lineRule="auto"/>
              <w:ind w:left="153"/>
            </w:pPr>
            <w:r>
              <w:rPr>
                <w:spacing w:val="-8"/>
              </w:rPr>
              <w:t>竞赛项目</w:t>
            </w:r>
          </w:p>
        </w:tc>
        <w:tc>
          <w:tcPr>
            <w:tcW w:w="1959" w:type="dxa"/>
            <w:vAlign w:val="top"/>
          </w:tcPr>
          <w:p>
            <w:pPr>
              <w:rPr>
                <w:rFonts w:ascii="Arial"/>
                <w:sz w:val="21"/>
              </w:rPr>
            </w:pPr>
          </w:p>
        </w:tc>
        <w:tc>
          <w:tcPr>
            <w:tcW w:w="1879" w:type="dxa"/>
            <w:vAlign w:val="top"/>
          </w:tcPr>
          <w:p>
            <w:pPr>
              <w:pStyle w:val="13"/>
              <w:spacing w:before="109" w:line="216" w:lineRule="auto"/>
              <w:ind w:left="409"/>
            </w:pPr>
            <w:r>
              <w:rPr>
                <w:spacing w:val="-9"/>
              </w:rPr>
              <w:t>职业名称</w:t>
            </w:r>
          </w:p>
        </w:tc>
        <w:tc>
          <w:tcPr>
            <w:tcW w:w="1280" w:type="dxa"/>
            <w:gridSpan w:val="2"/>
            <w:vAlign w:val="top"/>
          </w:tcPr>
          <w:p>
            <w:pPr>
              <w:rPr>
                <w:rFonts w:ascii="Arial"/>
                <w:sz w:val="21"/>
              </w:rPr>
            </w:pPr>
          </w:p>
        </w:tc>
        <w:tc>
          <w:tcPr>
            <w:tcW w:w="1309" w:type="dxa"/>
            <w:vAlign w:val="top"/>
          </w:tcPr>
          <w:p>
            <w:pPr>
              <w:pStyle w:val="13"/>
              <w:spacing w:before="109" w:line="219" w:lineRule="auto"/>
              <w:ind w:left="132"/>
            </w:pPr>
            <w:r>
              <w:rPr>
                <w:spacing w:val="-9"/>
              </w:rPr>
              <w:t>职业编码</w:t>
            </w:r>
          </w:p>
        </w:tc>
        <w:tc>
          <w:tcPr>
            <w:tcW w:w="179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trPr>
        <w:tc>
          <w:tcPr>
            <w:tcW w:w="3327" w:type="dxa"/>
            <w:gridSpan w:val="2"/>
            <w:vAlign w:val="top"/>
          </w:tcPr>
          <w:p>
            <w:pPr>
              <w:pStyle w:val="13"/>
              <w:spacing w:before="46" w:line="222" w:lineRule="auto"/>
              <w:ind w:left="125" w:right="182" w:hanging="10"/>
            </w:pPr>
            <w:r>
              <w:rPr>
                <w:spacing w:val="-6"/>
              </w:rPr>
              <w:t>是否拥有国家职业技能标</w:t>
            </w:r>
            <w:r>
              <w:rPr>
                <w:spacing w:val="9"/>
              </w:rPr>
              <w:t xml:space="preserve"> </w:t>
            </w:r>
            <w:r>
              <w:rPr>
                <w:spacing w:val="-6"/>
              </w:rPr>
              <w:t>准或行业企业评价规范</w:t>
            </w:r>
          </w:p>
        </w:tc>
        <w:tc>
          <w:tcPr>
            <w:tcW w:w="1879" w:type="dxa"/>
            <w:vAlign w:val="top"/>
          </w:tcPr>
          <w:p>
            <w:pPr>
              <w:pStyle w:val="13"/>
              <w:spacing w:before="225" w:line="220" w:lineRule="auto"/>
              <w:ind w:left="223"/>
            </w:pPr>
            <w:r>
              <w:rPr>
                <w:spacing w:val="-19"/>
              </w:rPr>
              <w:t>□ 是</w:t>
            </w:r>
            <w:r>
              <w:rPr>
                <w:spacing w:val="36"/>
              </w:rPr>
              <w:t xml:space="preserve"> </w:t>
            </w:r>
            <w:r>
              <w:rPr>
                <w:spacing w:val="-19"/>
              </w:rPr>
              <w:t>□</w:t>
            </w:r>
            <w:r>
              <w:rPr>
                <w:spacing w:val="14"/>
              </w:rPr>
              <w:t xml:space="preserve"> </w:t>
            </w:r>
            <w:r>
              <w:rPr>
                <w:spacing w:val="-19"/>
              </w:rPr>
              <w:t>否</w:t>
            </w:r>
          </w:p>
        </w:tc>
        <w:tc>
          <w:tcPr>
            <w:tcW w:w="2589" w:type="dxa"/>
            <w:gridSpan w:val="3"/>
            <w:vAlign w:val="top"/>
          </w:tcPr>
          <w:p>
            <w:pPr>
              <w:pStyle w:val="13"/>
              <w:spacing w:before="225" w:line="218" w:lineRule="auto"/>
              <w:ind w:left="342"/>
            </w:pPr>
            <w:r>
              <w:rPr>
                <w:spacing w:val="-5"/>
              </w:rPr>
              <w:t>是否有对应级别</w:t>
            </w:r>
          </w:p>
        </w:tc>
        <w:tc>
          <w:tcPr>
            <w:tcW w:w="1796" w:type="dxa"/>
            <w:vAlign w:val="top"/>
          </w:tcPr>
          <w:p>
            <w:pPr>
              <w:pStyle w:val="13"/>
              <w:spacing w:before="225" w:line="220" w:lineRule="auto"/>
              <w:ind w:left="162"/>
            </w:pPr>
            <w:r>
              <w:rPr>
                <w:spacing w:val="-20"/>
              </w:rPr>
              <w:t>□ 是</w:t>
            </w:r>
            <w:r>
              <w:rPr>
                <w:spacing w:val="39"/>
              </w:rPr>
              <w:t xml:space="preserve"> </w:t>
            </w:r>
            <w:r>
              <w:rPr>
                <w:spacing w:val="-20"/>
              </w:rPr>
              <w:t>□</w:t>
            </w:r>
            <w:r>
              <w:rPr>
                <w:spacing w:val="14"/>
              </w:rPr>
              <w:t xml:space="preserve"> </w:t>
            </w:r>
            <w:r>
              <w:rPr>
                <w:spacing w:val="-20"/>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1368" w:type="dxa"/>
            <w:vAlign w:val="top"/>
          </w:tcPr>
          <w:p>
            <w:pPr>
              <w:pStyle w:val="13"/>
              <w:spacing w:before="168" w:line="219" w:lineRule="auto"/>
              <w:ind w:left="153"/>
            </w:pPr>
            <w:r>
              <w:rPr>
                <w:spacing w:val="-8"/>
              </w:rPr>
              <w:t>竞赛等级</w:t>
            </w:r>
          </w:p>
        </w:tc>
        <w:tc>
          <w:tcPr>
            <w:tcW w:w="5118" w:type="dxa"/>
            <w:gridSpan w:val="4"/>
            <w:vAlign w:val="top"/>
          </w:tcPr>
          <w:p>
            <w:pPr>
              <w:pStyle w:val="13"/>
              <w:spacing w:before="169" w:line="218" w:lineRule="auto"/>
              <w:ind w:left="1707"/>
            </w:pPr>
            <w:r>
              <w:rPr>
                <w:spacing w:val="-16"/>
              </w:rPr>
              <w:t>□ 技师</w:t>
            </w:r>
            <w:r>
              <w:rPr>
                <w:spacing w:val="37"/>
              </w:rPr>
              <w:t xml:space="preserve"> </w:t>
            </w:r>
            <w:r>
              <w:rPr>
                <w:spacing w:val="-16"/>
              </w:rPr>
              <w:t>□</w:t>
            </w:r>
            <w:r>
              <w:rPr>
                <w:spacing w:val="15"/>
              </w:rPr>
              <w:t xml:space="preserve"> </w:t>
            </w:r>
            <w:r>
              <w:rPr>
                <w:spacing w:val="-16"/>
              </w:rPr>
              <w:t>高级工</w:t>
            </w:r>
          </w:p>
        </w:tc>
        <w:tc>
          <w:tcPr>
            <w:tcW w:w="1309" w:type="dxa"/>
            <w:vAlign w:val="top"/>
          </w:tcPr>
          <w:p>
            <w:pPr>
              <w:pStyle w:val="13"/>
              <w:spacing w:before="169" w:line="217" w:lineRule="auto"/>
              <w:ind w:left="125"/>
            </w:pPr>
            <w:r>
              <w:rPr>
                <w:spacing w:val="-7"/>
              </w:rPr>
              <w:t>经费来源</w:t>
            </w:r>
          </w:p>
        </w:tc>
        <w:tc>
          <w:tcPr>
            <w:tcW w:w="179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9591" w:type="dxa"/>
            <w:gridSpan w:val="7"/>
            <w:vAlign w:val="top"/>
          </w:tcPr>
          <w:p>
            <w:pPr>
              <w:pStyle w:val="13"/>
              <w:spacing w:before="168" w:line="217" w:lineRule="auto"/>
              <w:ind w:left="115"/>
              <w:jc w:val="both"/>
            </w:pPr>
            <w:r>
              <w:rPr>
                <w:spacing w:val="-6"/>
              </w:rPr>
              <w:t>是否为职业技能等级社会评价机构    □ 是</w:t>
            </w:r>
            <w:r>
              <w:rPr>
                <w:spacing w:val="35"/>
              </w:rPr>
              <w:t xml:space="preserve"> </w:t>
            </w:r>
            <w:r>
              <w:rPr>
                <w:spacing w:val="-6"/>
              </w:rPr>
              <w:t>□</w:t>
            </w:r>
            <w:r>
              <w:rPr>
                <w:spacing w:val="14"/>
              </w:rPr>
              <w:t xml:space="preserve"> </w:t>
            </w:r>
            <w:r>
              <w:rPr>
                <w:spacing w:val="-6"/>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9591" w:type="dxa"/>
            <w:gridSpan w:val="7"/>
            <w:vAlign w:val="top"/>
          </w:tcPr>
          <w:p>
            <w:pPr>
              <w:pStyle w:val="13"/>
              <w:spacing w:before="155" w:line="216" w:lineRule="auto"/>
              <w:ind w:left="115"/>
              <w:jc w:val="both"/>
            </w:pPr>
            <w:r>
              <w:rPr>
                <w:spacing w:val="-6"/>
              </w:rPr>
              <w:t>是否为职业技能等级认定用人单位    □ 是</w:t>
            </w:r>
            <w:r>
              <w:rPr>
                <w:spacing w:val="35"/>
              </w:rPr>
              <w:t xml:space="preserve"> </w:t>
            </w:r>
            <w:r>
              <w:rPr>
                <w:spacing w:val="-6"/>
              </w:rPr>
              <w:t>□</w:t>
            </w:r>
            <w:r>
              <w:rPr>
                <w:spacing w:val="14"/>
              </w:rPr>
              <w:t xml:space="preserve"> </w:t>
            </w:r>
            <w:r>
              <w:rPr>
                <w:spacing w:val="-6"/>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5989" w:type="dxa"/>
            <w:gridSpan w:val="4"/>
            <w:vAlign w:val="top"/>
          </w:tcPr>
          <w:p>
            <w:pPr>
              <w:pStyle w:val="13"/>
              <w:spacing w:before="202" w:line="216" w:lineRule="auto"/>
              <w:ind w:left="131"/>
              <w:jc w:val="both"/>
            </w:pPr>
            <w:r>
              <w:rPr>
                <w:spacing w:val="-6"/>
              </w:rPr>
              <w:t>职业技能等级评价机构名称（发证机构）</w:t>
            </w:r>
          </w:p>
        </w:tc>
        <w:tc>
          <w:tcPr>
            <w:tcW w:w="3602"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trPr>
        <w:tc>
          <w:tcPr>
            <w:tcW w:w="7795" w:type="dxa"/>
            <w:gridSpan w:val="6"/>
            <w:vAlign w:val="top"/>
          </w:tcPr>
          <w:p>
            <w:pPr>
              <w:pStyle w:val="13"/>
              <w:spacing w:before="245" w:line="218" w:lineRule="auto"/>
              <w:ind w:left="119"/>
              <w:jc w:val="both"/>
            </w:pPr>
            <w:r>
              <w:rPr>
                <w:spacing w:val="-24"/>
              </w:rPr>
              <w:t>所申报竞赛项目对应职业和级别是否为评价机构备案的职业和级别</w:t>
            </w:r>
          </w:p>
        </w:tc>
        <w:tc>
          <w:tcPr>
            <w:tcW w:w="1796" w:type="dxa"/>
            <w:vAlign w:val="top"/>
          </w:tcPr>
          <w:p>
            <w:pPr>
              <w:pStyle w:val="13"/>
              <w:spacing w:before="245" w:line="220" w:lineRule="auto"/>
              <w:ind w:left="92"/>
            </w:pPr>
            <w:r>
              <w:rPr>
                <w:spacing w:val="-19"/>
              </w:rPr>
              <w:t>□ 是</w:t>
            </w:r>
            <w:r>
              <w:rPr>
                <w:spacing w:val="36"/>
              </w:rPr>
              <w:t xml:space="preserve"> </w:t>
            </w:r>
            <w:r>
              <w:rPr>
                <w:spacing w:val="-19"/>
              </w:rPr>
              <w:t>□</w:t>
            </w:r>
            <w:r>
              <w:rPr>
                <w:spacing w:val="12"/>
              </w:rPr>
              <w:t xml:space="preserve"> </w:t>
            </w:r>
            <w:r>
              <w:rPr>
                <w:spacing w:val="-19"/>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trPr>
        <w:tc>
          <w:tcPr>
            <w:tcW w:w="9591" w:type="dxa"/>
            <w:gridSpan w:val="7"/>
            <w:vAlign w:val="top"/>
          </w:tcPr>
          <w:p>
            <w:pPr>
              <w:pStyle w:val="13"/>
              <w:spacing w:before="249" w:line="216" w:lineRule="auto"/>
              <w:ind w:left="3849"/>
              <w:jc w:val="both"/>
            </w:pPr>
            <w:r>
              <w:rPr>
                <w:spacing w:val="-18"/>
                <w14:textOutline w14:w="5103" w14:cap="sq" w14:cmpd="sng">
                  <w14:solidFill>
                    <w14:srgbClr w14:val="000000"/>
                  </w14:solidFill>
                  <w14:prstDash w14:val="solid"/>
                  <w14:bevel/>
                </w14:textOutline>
              </w:rPr>
              <w:t>竞</w:t>
            </w:r>
            <w:r>
              <w:rPr>
                <w:spacing w:val="-18"/>
              </w:rPr>
              <w:t xml:space="preserve"> </w:t>
            </w:r>
            <w:r>
              <w:rPr>
                <w:spacing w:val="-18"/>
                <w14:textOutline w14:w="5103" w14:cap="sq" w14:cmpd="sng">
                  <w14:solidFill>
                    <w14:srgbClr w14:val="000000"/>
                  </w14:solidFill>
                  <w14:prstDash w14:val="solid"/>
                  <w14:bevel/>
                </w14:textOutline>
              </w:rPr>
              <w:t>赛</w:t>
            </w:r>
            <w:r>
              <w:rPr>
                <w:spacing w:val="13"/>
              </w:rPr>
              <w:t xml:space="preserve"> </w:t>
            </w:r>
            <w:r>
              <w:rPr>
                <w:spacing w:val="-18"/>
                <w14:textOutline w14:w="5103" w14:cap="sq" w14:cmpd="sng">
                  <w14:solidFill>
                    <w14:srgbClr w14:val="000000"/>
                  </w14:solidFill>
                  <w14:prstDash w14:val="solid"/>
                  <w14:bevel/>
                </w14:textOutline>
              </w:rPr>
              <w:t>项</w:t>
            </w:r>
            <w:r>
              <w:rPr>
                <w:spacing w:val="54"/>
              </w:rPr>
              <w:t xml:space="preserve"> </w:t>
            </w:r>
            <w:r>
              <w:rPr>
                <w:spacing w:val="-18"/>
                <w14:textOutline w14:w="5103" w14:cap="sq" w14:cmpd="sng">
                  <w14:solidFill>
                    <w14:srgbClr w14:val="000000"/>
                  </w14:solidFill>
                  <w14:prstDash w14:val="solid"/>
                  <w14:bevel/>
                </w14:textOutline>
              </w:rPr>
              <w:t>目</w:t>
            </w:r>
            <w:r>
              <w:rPr>
                <w:spacing w:val="11"/>
              </w:rPr>
              <w:t xml:space="preserve"> </w:t>
            </w:r>
            <w:r>
              <w:rPr>
                <w:spacing w:val="-18"/>
                <w14:textOutline w14:w="5103" w14:cap="sq" w14:cmpd="sng">
                  <w14:solidFill>
                    <w14:srgbClr w14:val="000000"/>
                  </w14:solidFill>
                  <w14:prstDash w14:val="solid"/>
                  <w14:bevel/>
                </w14:textOutline>
              </w:rPr>
              <w:t>简</w:t>
            </w:r>
            <w:r>
              <w:rPr>
                <w:spacing w:val="1"/>
              </w:rPr>
              <w:t xml:space="preserve">  </w:t>
            </w:r>
            <w:r>
              <w:rPr>
                <w:spacing w:val="-18"/>
                <w14:textOutline w14:w="5103" w14:cap="sq" w14:cmpd="sng">
                  <w14:solidFill>
                    <w14:srgbClr w14:val="000000"/>
                  </w14:solidFill>
                  <w14:prstDash w14:val="solid"/>
                  <w14:bevel/>
                </w14:textOutline>
              </w:rPr>
              <w:t>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9" w:hRule="atLeast"/>
        </w:trPr>
        <w:tc>
          <w:tcPr>
            <w:tcW w:w="9591" w:type="dxa"/>
            <w:gridSpan w:val="7"/>
            <w:vAlign w:val="top"/>
          </w:tcPr>
          <w:p>
            <w:pPr>
              <w:spacing w:line="275" w:lineRule="auto"/>
              <w:rPr>
                <w:rFonts w:ascii="Arial"/>
                <w:sz w:val="21"/>
              </w:rPr>
            </w:pPr>
          </w:p>
          <w:p>
            <w:pPr>
              <w:pStyle w:val="13"/>
              <w:spacing w:before="91" w:line="230" w:lineRule="auto"/>
              <w:ind w:left="143" w:right="122" w:hanging="34"/>
            </w:pPr>
            <w:r>
              <w:rPr>
                <w:spacing w:val="-5"/>
              </w:rPr>
              <w:t>（内容：工种定义、在社会经济中的作用、发展趋势、从业人员状况等，可附</w:t>
            </w:r>
            <w:r>
              <w:rPr>
                <w:spacing w:val="3"/>
              </w:rPr>
              <w:t xml:space="preserve"> </w:t>
            </w:r>
            <w:r>
              <w:rPr>
                <w:spacing w:val="-18"/>
              </w:rPr>
              <w:t>页）</w:t>
            </w:r>
          </w:p>
        </w:tc>
      </w:tr>
    </w:tbl>
    <w:p>
      <w:pPr>
        <w:pStyle w:val="4"/>
        <w:keepNext w:val="0"/>
        <w:keepLines w:val="0"/>
        <w:pageBreakBefore w:val="0"/>
        <w:widowControl w:val="0"/>
        <w:kinsoku/>
        <w:wordWrap/>
        <w:overflowPunct/>
        <w:topLinePunct w:val="0"/>
        <w:autoSpaceDE/>
        <w:autoSpaceDN/>
        <w:bidi w:val="0"/>
        <w:adjustRightInd/>
        <w:snapToGrid/>
        <w:spacing w:before="84" w:line="500" w:lineRule="exact"/>
        <w:ind w:left="390" w:right="333"/>
        <w:jc w:val="both"/>
        <w:textAlignment w:val="auto"/>
        <w:rPr>
          <w:sz w:val="24"/>
          <w:szCs w:val="24"/>
        </w:rPr>
      </w:pPr>
      <w:r>
        <w:rPr>
          <w:spacing w:val="-9"/>
          <w:sz w:val="24"/>
          <w:szCs w:val="24"/>
        </w:rPr>
        <w:t>注：</w:t>
      </w:r>
      <w:r>
        <w:rPr>
          <w:rFonts w:ascii="Times New Roman" w:hAnsi="Times New Roman" w:eastAsia="Times New Roman" w:cs="Times New Roman"/>
          <w:spacing w:val="-9"/>
          <w:sz w:val="24"/>
          <w:szCs w:val="24"/>
        </w:rPr>
        <w:t>1.“</w:t>
      </w:r>
      <w:r>
        <w:rPr>
          <w:rFonts w:ascii="Times New Roman" w:hAnsi="Times New Roman" w:eastAsia="Times New Roman" w:cs="Times New Roman"/>
          <w:spacing w:val="-43"/>
          <w:sz w:val="24"/>
          <w:szCs w:val="24"/>
        </w:rPr>
        <w:t xml:space="preserve"> </w:t>
      </w:r>
      <w:r>
        <w:rPr>
          <w:spacing w:val="-9"/>
          <w:sz w:val="24"/>
          <w:szCs w:val="24"/>
        </w:rPr>
        <w:t>职业名称</w:t>
      </w:r>
      <w:r>
        <w:rPr>
          <w:rFonts w:ascii="Times New Roman" w:hAnsi="Times New Roman" w:eastAsia="Times New Roman" w:cs="Times New Roman"/>
          <w:spacing w:val="-9"/>
          <w:sz w:val="24"/>
          <w:szCs w:val="24"/>
        </w:rPr>
        <w:t>”“</w:t>
      </w:r>
      <w:r>
        <w:rPr>
          <w:spacing w:val="-9"/>
          <w:sz w:val="24"/>
          <w:szCs w:val="24"/>
        </w:rPr>
        <w:t>职业编码</w:t>
      </w:r>
      <w:r>
        <w:rPr>
          <w:rFonts w:ascii="Times New Roman" w:hAnsi="Times New Roman" w:eastAsia="Times New Roman" w:cs="Times New Roman"/>
          <w:spacing w:val="-9"/>
          <w:sz w:val="24"/>
          <w:szCs w:val="24"/>
        </w:rPr>
        <w:t>”</w:t>
      </w:r>
      <w:r>
        <w:rPr>
          <w:spacing w:val="-9"/>
          <w:sz w:val="24"/>
          <w:szCs w:val="24"/>
        </w:rPr>
        <w:t>是指在职业分类大典（申报</w:t>
      </w:r>
      <w:r>
        <w:rPr>
          <w:spacing w:val="-10"/>
          <w:sz w:val="24"/>
          <w:szCs w:val="24"/>
        </w:rPr>
        <w:t>时的最新版本）中所能查到的，</w:t>
      </w:r>
      <w:r>
        <w:rPr>
          <w:sz w:val="24"/>
          <w:szCs w:val="24"/>
        </w:rPr>
        <w:t xml:space="preserve"> </w:t>
      </w:r>
      <w:r>
        <w:rPr>
          <w:spacing w:val="-4"/>
          <w:sz w:val="24"/>
          <w:szCs w:val="24"/>
        </w:rPr>
        <w:t>与所填报竞赛项目相对应的职业名称和编码。</w:t>
      </w:r>
      <w:r>
        <w:rPr>
          <w:rFonts w:ascii="Times New Roman" w:hAnsi="Times New Roman" w:eastAsia="Times New Roman" w:cs="Times New Roman"/>
          <w:spacing w:val="-4"/>
          <w:sz w:val="24"/>
          <w:szCs w:val="24"/>
        </w:rPr>
        <w:t>2.</w:t>
      </w:r>
      <w:r>
        <w:rPr>
          <w:rFonts w:ascii="Times New Roman" w:hAnsi="Times New Roman" w:eastAsia="Times New Roman" w:cs="Times New Roman"/>
          <w:spacing w:val="-20"/>
          <w:sz w:val="24"/>
          <w:szCs w:val="24"/>
        </w:rPr>
        <w:t xml:space="preserve"> </w:t>
      </w:r>
      <w:r>
        <w:rPr>
          <w:spacing w:val="-4"/>
          <w:sz w:val="24"/>
          <w:szCs w:val="24"/>
        </w:rPr>
        <w:t>国家职业技能标准可在</w:t>
      </w:r>
      <w:r>
        <w:rPr>
          <w:rFonts w:ascii="Times New Roman" w:hAnsi="Times New Roman" w:eastAsia="Times New Roman" w:cs="Times New Roman"/>
          <w:spacing w:val="-4"/>
          <w:sz w:val="24"/>
          <w:szCs w:val="24"/>
        </w:rPr>
        <w:t>“</w:t>
      </w:r>
      <w:r>
        <w:rPr>
          <w:spacing w:val="-4"/>
          <w:sz w:val="24"/>
          <w:szCs w:val="24"/>
        </w:rPr>
        <w:t>技能人才评价</w:t>
      </w:r>
      <w:r>
        <w:rPr>
          <w:sz w:val="24"/>
          <w:szCs w:val="24"/>
        </w:rPr>
        <w:t xml:space="preserve"> </w:t>
      </w:r>
      <w:r>
        <w:rPr>
          <w:spacing w:val="-7"/>
          <w:sz w:val="24"/>
          <w:szCs w:val="24"/>
        </w:rPr>
        <w:t>工作网</w:t>
      </w:r>
      <w:r>
        <w:rPr>
          <w:rFonts w:ascii="Times New Roman" w:hAnsi="Times New Roman" w:eastAsia="Times New Roman" w:cs="Times New Roman"/>
          <w:spacing w:val="-7"/>
          <w:sz w:val="24"/>
          <w:szCs w:val="24"/>
        </w:rPr>
        <w:t>”“</w:t>
      </w:r>
      <w:r>
        <w:rPr>
          <w:rFonts w:ascii="Times New Roman" w:hAnsi="Times New Roman" w:eastAsia="Times New Roman" w:cs="Times New Roman"/>
          <w:spacing w:val="-19"/>
          <w:sz w:val="24"/>
          <w:szCs w:val="24"/>
        </w:rPr>
        <w:t xml:space="preserve"> </w:t>
      </w:r>
      <w:r>
        <w:rPr>
          <w:spacing w:val="-7"/>
          <w:sz w:val="24"/>
          <w:szCs w:val="24"/>
        </w:rPr>
        <w:t>中国职业培训在线</w:t>
      </w:r>
      <w:r>
        <w:rPr>
          <w:rFonts w:ascii="Times New Roman" w:hAnsi="Times New Roman" w:eastAsia="Times New Roman" w:cs="Times New Roman"/>
          <w:spacing w:val="-7"/>
          <w:sz w:val="24"/>
          <w:szCs w:val="24"/>
        </w:rPr>
        <w:t>”</w:t>
      </w:r>
      <w:r>
        <w:rPr>
          <w:spacing w:val="-7"/>
          <w:sz w:val="24"/>
          <w:szCs w:val="24"/>
        </w:rPr>
        <w:t>等网站查询。</w:t>
      </w:r>
    </w:p>
    <w:p>
      <w:pPr>
        <w:keepNext w:val="0"/>
        <w:keepLines w:val="0"/>
        <w:pageBreakBefore w:val="0"/>
        <w:widowControl w:val="0"/>
        <w:kinsoku/>
        <w:wordWrap/>
        <w:overflowPunct/>
        <w:topLinePunct w:val="0"/>
        <w:autoSpaceDE/>
        <w:autoSpaceDN/>
        <w:bidi w:val="0"/>
        <w:adjustRightInd/>
        <w:snapToGrid/>
        <w:spacing w:line="500" w:lineRule="exact"/>
        <w:textAlignment w:val="auto"/>
        <w:rPr>
          <w:sz w:val="24"/>
          <w:szCs w:val="24"/>
        </w:rPr>
        <w:sectPr>
          <w:footerReference r:id="rId3" w:type="default"/>
          <w:pgSz w:w="11906" w:h="16839"/>
          <w:pgMar w:top="1429" w:right="1553" w:bottom="1242" w:left="1497" w:header="0" w:footer="964" w:gutter="0"/>
          <w:cols w:space="0" w:num="1"/>
          <w:rtlGutter w:val="0"/>
          <w:docGrid w:linePitch="0" w:charSpace="0"/>
        </w:sectPr>
      </w:pPr>
    </w:p>
    <w:p>
      <w:pPr>
        <w:spacing w:line="260" w:lineRule="auto"/>
        <w:rPr>
          <w:rFonts w:ascii="Arial"/>
          <w:sz w:val="21"/>
        </w:rPr>
      </w:pPr>
    </w:p>
    <w:p>
      <w:pPr>
        <w:spacing w:before="101" w:line="228" w:lineRule="auto"/>
        <w:ind w:left="875"/>
        <w:jc w:val="both"/>
        <w:rPr>
          <w:rFonts w:hint="eastAsia" w:ascii="Times New Roman" w:hAnsi="Times New Roman" w:eastAsia="黑体" w:cs="Times New Roman"/>
          <w:sz w:val="31"/>
          <w:szCs w:val="31"/>
          <w:lang w:val="en-US" w:eastAsia="zh-CN"/>
        </w:rPr>
      </w:pPr>
      <w:r>
        <w:rPr>
          <w:rFonts w:ascii="黑体" w:hAnsi="黑体" w:eastAsia="黑体" w:cs="黑体"/>
          <w:spacing w:val="-6"/>
          <w:sz w:val="31"/>
          <w:szCs w:val="31"/>
        </w:rPr>
        <w:t>附表</w:t>
      </w:r>
      <w:r>
        <w:rPr>
          <w:rFonts w:hint="eastAsia" w:ascii="黑体" w:hAnsi="黑体" w:eastAsia="黑体" w:cs="黑体"/>
          <w:spacing w:val="-6"/>
          <w:sz w:val="31"/>
          <w:szCs w:val="31"/>
          <w:lang w:val="en-US" w:eastAsia="zh-CN"/>
        </w:rPr>
        <w:t>2</w:t>
      </w:r>
    </w:p>
    <w:p>
      <w:pPr>
        <w:spacing w:line="261" w:lineRule="auto"/>
        <w:rPr>
          <w:rFonts w:ascii="Arial"/>
          <w:sz w:val="21"/>
        </w:rPr>
      </w:pPr>
    </w:p>
    <w:p>
      <w:pPr>
        <w:spacing w:before="139" w:line="259" w:lineRule="auto"/>
        <w:ind w:left="3833"/>
        <w:jc w:val="both"/>
        <w:rPr>
          <w:rFonts w:ascii="宋体" w:hAnsi="宋体" w:eastAsia="宋体" w:cs="宋体"/>
          <w:sz w:val="43"/>
          <w:szCs w:val="43"/>
        </w:rPr>
      </w:pPr>
      <w:r>
        <w:rPr>
          <w:rFonts w:ascii="Times New Roman" w:hAnsi="Times New Roman" w:eastAsia="Times New Roman" w:cs="Times New Roman"/>
          <w:spacing w:val="3"/>
          <w:sz w:val="43"/>
          <w:szCs w:val="43"/>
        </w:rPr>
        <w:t>20</w:t>
      </w:r>
      <w:r>
        <w:rPr>
          <w:rFonts w:ascii="Times New Roman" w:hAnsi="Times New Roman" w:eastAsia="Times New Roman" w:cs="Times New Roman"/>
          <w:spacing w:val="3"/>
          <w:sz w:val="43"/>
          <w:szCs w:val="43"/>
          <w:u w:val="single" w:color="auto"/>
        </w:rPr>
        <w:t xml:space="preserve">        </w:t>
      </w:r>
      <w:r>
        <w:rPr>
          <w:rFonts w:ascii="宋体" w:hAnsi="宋体" w:eastAsia="宋体" w:cs="宋体"/>
          <w:spacing w:val="3"/>
          <w:sz w:val="43"/>
          <w:szCs w:val="43"/>
          <w14:textOutline w14:w="6350" w14:cap="flat" w14:cmpd="sng">
            <w14:solidFill>
              <w14:srgbClr w14:val="000000"/>
            </w14:solidFill>
            <w14:prstDash w14:val="solid"/>
            <w14:miter w14:val="0"/>
          </w14:textOutline>
        </w:rPr>
        <w:t>年</w:t>
      </w:r>
      <w:r>
        <w:rPr>
          <w:rFonts w:hint="eastAsia" w:ascii="宋体" w:hAnsi="宋体" w:eastAsia="宋体" w:cs="宋体"/>
          <w:spacing w:val="3"/>
          <w:sz w:val="43"/>
          <w:szCs w:val="43"/>
          <w:lang w:eastAsia="zh-CN"/>
          <w14:textOutline w14:w="6350" w14:cap="flat" w14:cmpd="sng">
            <w14:solidFill>
              <w14:srgbClr w14:val="000000"/>
            </w14:solidFill>
            <w14:prstDash w14:val="solid"/>
            <w14:miter w14:val="0"/>
          </w14:textOutline>
        </w:rPr>
        <w:t>汕尾市</w:t>
      </w:r>
      <w:r>
        <w:rPr>
          <w:rFonts w:ascii="宋体" w:hAnsi="宋体" w:eastAsia="宋体" w:cs="宋体"/>
          <w:spacing w:val="3"/>
          <w:sz w:val="43"/>
          <w:szCs w:val="43"/>
          <w14:textOutline w14:w="6350" w14:cap="flat" w14:cmpd="sng">
            <w14:solidFill>
              <w14:srgbClr w14:val="000000"/>
            </w14:solidFill>
            <w14:prstDash w14:val="solid"/>
            <w14:miter w14:val="0"/>
          </w14:textOutline>
        </w:rPr>
        <w:t>职业技能竞赛情况表</w:t>
      </w:r>
    </w:p>
    <w:p>
      <w:pPr>
        <w:spacing w:line="309" w:lineRule="auto"/>
        <w:rPr>
          <w:rFonts w:ascii="Arial"/>
          <w:sz w:val="21"/>
        </w:rPr>
      </w:pPr>
    </w:p>
    <w:p>
      <w:pPr>
        <w:spacing w:line="309" w:lineRule="auto"/>
        <w:rPr>
          <w:rFonts w:ascii="Arial"/>
          <w:sz w:val="21"/>
        </w:rPr>
      </w:pPr>
    </w:p>
    <w:p>
      <w:pPr>
        <w:pStyle w:val="4"/>
        <w:spacing w:before="91" w:line="216" w:lineRule="auto"/>
        <w:ind w:left="856"/>
        <w:rPr>
          <w:sz w:val="28"/>
          <w:szCs w:val="28"/>
        </w:rPr>
      </w:pPr>
      <w:r>
        <w:rPr>
          <w:spacing w:val="-4"/>
          <w:sz w:val="28"/>
          <w:szCs w:val="28"/>
        </w:rPr>
        <w:t xml:space="preserve">填报单位：                                                     </w:t>
      </w:r>
      <w:r>
        <w:rPr>
          <w:spacing w:val="-5"/>
          <w:sz w:val="28"/>
          <w:szCs w:val="28"/>
        </w:rPr>
        <w:t xml:space="preserve">                        年  月</w:t>
      </w:r>
      <w:r>
        <w:rPr>
          <w:spacing w:val="26"/>
          <w:sz w:val="28"/>
          <w:szCs w:val="28"/>
        </w:rPr>
        <w:t xml:space="preserve">  </w:t>
      </w:r>
      <w:r>
        <w:rPr>
          <w:spacing w:val="-5"/>
          <w:sz w:val="28"/>
          <w:szCs w:val="28"/>
        </w:rPr>
        <w:t>日</w:t>
      </w:r>
    </w:p>
    <w:p>
      <w:pPr>
        <w:spacing w:line="126" w:lineRule="exact"/>
      </w:pPr>
    </w:p>
    <w:tbl>
      <w:tblPr>
        <w:tblStyle w:val="14"/>
        <w:tblW w:w="148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2"/>
        <w:gridCol w:w="1270"/>
        <w:gridCol w:w="823"/>
        <w:gridCol w:w="795"/>
        <w:gridCol w:w="712"/>
        <w:gridCol w:w="740"/>
        <w:gridCol w:w="698"/>
        <w:gridCol w:w="950"/>
        <w:gridCol w:w="735"/>
        <w:gridCol w:w="705"/>
        <w:gridCol w:w="780"/>
        <w:gridCol w:w="720"/>
        <w:gridCol w:w="765"/>
        <w:gridCol w:w="735"/>
        <w:gridCol w:w="705"/>
        <w:gridCol w:w="780"/>
        <w:gridCol w:w="944"/>
        <w:gridCol w:w="96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9" w:hRule="atLeast"/>
        </w:trPr>
        <w:tc>
          <w:tcPr>
            <w:tcW w:w="1012" w:type="dxa"/>
            <w:vMerge w:val="restart"/>
            <w:tcBorders>
              <w:bottom w:val="nil"/>
            </w:tcBorders>
            <w:vAlign w:val="top"/>
          </w:tcPr>
          <w:p>
            <w:pPr>
              <w:spacing w:line="403" w:lineRule="auto"/>
              <w:rPr>
                <w:rFonts w:ascii="Arial"/>
                <w:sz w:val="21"/>
              </w:rPr>
            </w:pPr>
          </w:p>
          <w:p>
            <w:pPr>
              <w:spacing w:before="78" w:line="238" w:lineRule="auto"/>
              <w:ind w:left="278"/>
              <w:rPr>
                <w:rFonts w:ascii="黑体" w:hAnsi="黑体" w:eastAsia="黑体" w:cs="黑体"/>
                <w:sz w:val="24"/>
                <w:szCs w:val="24"/>
              </w:rPr>
            </w:pPr>
            <w:r>
              <w:rPr>
                <w:rFonts w:ascii="黑体" w:hAnsi="黑体" w:eastAsia="黑体" w:cs="黑体"/>
                <w:spacing w:val="-5"/>
                <w:sz w:val="24"/>
                <w:szCs w:val="24"/>
              </w:rPr>
              <w:t>竞赛</w:t>
            </w:r>
          </w:p>
          <w:p>
            <w:pPr>
              <w:spacing w:line="223" w:lineRule="auto"/>
              <w:ind w:left="286"/>
              <w:rPr>
                <w:rFonts w:ascii="黑体" w:hAnsi="黑体" w:eastAsia="黑体" w:cs="黑体"/>
                <w:sz w:val="24"/>
                <w:szCs w:val="24"/>
              </w:rPr>
            </w:pPr>
            <w:r>
              <w:rPr>
                <w:rFonts w:ascii="黑体" w:hAnsi="黑体" w:eastAsia="黑体" w:cs="黑体"/>
                <w:spacing w:val="-9"/>
                <w:sz w:val="24"/>
                <w:szCs w:val="24"/>
              </w:rPr>
              <w:t>时间</w:t>
            </w:r>
          </w:p>
        </w:tc>
        <w:tc>
          <w:tcPr>
            <w:tcW w:w="1270" w:type="dxa"/>
            <w:vMerge w:val="restart"/>
            <w:tcBorders>
              <w:bottom w:val="nil"/>
            </w:tcBorders>
            <w:vAlign w:val="top"/>
          </w:tcPr>
          <w:p>
            <w:pPr>
              <w:spacing w:line="402" w:lineRule="auto"/>
              <w:rPr>
                <w:rFonts w:ascii="Arial"/>
                <w:sz w:val="21"/>
              </w:rPr>
            </w:pPr>
          </w:p>
          <w:p>
            <w:pPr>
              <w:spacing w:before="78" w:line="230" w:lineRule="auto"/>
              <w:ind w:left="188" w:right="159" w:hanging="20"/>
              <w:rPr>
                <w:rFonts w:ascii="黑体" w:hAnsi="黑体" w:eastAsia="黑体" w:cs="黑体"/>
                <w:sz w:val="24"/>
                <w:szCs w:val="24"/>
              </w:rPr>
            </w:pPr>
            <w:r>
              <w:rPr>
                <w:rFonts w:ascii="黑体" w:hAnsi="黑体" w:eastAsia="黑体" w:cs="黑体"/>
                <w:spacing w:val="-6"/>
                <w:sz w:val="24"/>
                <w:szCs w:val="24"/>
              </w:rPr>
              <w:t>竞赛职业</w:t>
            </w:r>
            <w:r>
              <w:rPr>
                <w:rFonts w:ascii="黑体" w:hAnsi="黑体" w:eastAsia="黑体" w:cs="黑体"/>
                <w:sz w:val="24"/>
                <w:szCs w:val="24"/>
              </w:rPr>
              <w:t xml:space="preserve"> </w:t>
            </w:r>
            <w:r>
              <w:rPr>
                <w:rFonts w:ascii="黑体" w:hAnsi="黑体" w:eastAsia="黑体" w:cs="黑体"/>
                <w:spacing w:val="-10"/>
                <w:sz w:val="24"/>
                <w:szCs w:val="24"/>
              </w:rPr>
              <w:t>（工种）</w:t>
            </w:r>
          </w:p>
        </w:tc>
        <w:tc>
          <w:tcPr>
            <w:tcW w:w="823" w:type="dxa"/>
            <w:vMerge w:val="restart"/>
            <w:tcBorders>
              <w:bottom w:val="nil"/>
            </w:tcBorders>
            <w:vAlign w:val="top"/>
          </w:tcPr>
          <w:p>
            <w:pPr>
              <w:spacing w:line="403" w:lineRule="auto"/>
              <w:rPr>
                <w:rFonts w:ascii="Arial"/>
                <w:sz w:val="21"/>
              </w:rPr>
            </w:pPr>
          </w:p>
          <w:p>
            <w:pPr>
              <w:spacing w:before="78" w:line="238" w:lineRule="auto"/>
              <w:ind w:left="182"/>
              <w:rPr>
                <w:rFonts w:ascii="黑体" w:hAnsi="黑体" w:eastAsia="黑体" w:cs="黑体"/>
                <w:sz w:val="24"/>
                <w:szCs w:val="24"/>
              </w:rPr>
            </w:pPr>
            <w:r>
              <w:rPr>
                <w:rFonts w:ascii="黑体" w:hAnsi="黑体" w:eastAsia="黑体" w:cs="黑体"/>
                <w:spacing w:val="-5"/>
                <w:sz w:val="24"/>
                <w:szCs w:val="24"/>
              </w:rPr>
              <w:t>竞赛</w:t>
            </w:r>
          </w:p>
          <w:p>
            <w:pPr>
              <w:spacing w:line="223" w:lineRule="auto"/>
              <w:ind w:left="178"/>
              <w:rPr>
                <w:rFonts w:ascii="黑体" w:hAnsi="黑体" w:eastAsia="黑体" w:cs="黑体"/>
                <w:sz w:val="24"/>
                <w:szCs w:val="24"/>
              </w:rPr>
            </w:pPr>
            <w:r>
              <w:rPr>
                <w:rFonts w:ascii="黑体" w:hAnsi="黑体" w:eastAsia="黑体" w:cs="黑体"/>
                <w:spacing w:val="-3"/>
                <w:sz w:val="24"/>
                <w:szCs w:val="24"/>
              </w:rPr>
              <w:t>标准</w:t>
            </w:r>
          </w:p>
        </w:tc>
        <w:tc>
          <w:tcPr>
            <w:tcW w:w="2247" w:type="dxa"/>
            <w:gridSpan w:val="3"/>
            <w:vAlign w:val="top"/>
          </w:tcPr>
          <w:p>
            <w:pPr>
              <w:spacing w:before="268" w:line="222" w:lineRule="auto"/>
              <w:ind w:left="660"/>
              <w:rPr>
                <w:rFonts w:ascii="黑体" w:hAnsi="黑体" w:eastAsia="黑体" w:cs="黑体"/>
                <w:sz w:val="24"/>
                <w:szCs w:val="24"/>
              </w:rPr>
            </w:pPr>
            <w:r>
              <w:rPr>
                <w:rFonts w:ascii="黑体" w:hAnsi="黑体" w:eastAsia="黑体" w:cs="黑体"/>
                <w:spacing w:val="-5"/>
                <w:sz w:val="24"/>
                <w:szCs w:val="24"/>
              </w:rPr>
              <w:t>参赛人数</w:t>
            </w:r>
          </w:p>
        </w:tc>
        <w:tc>
          <w:tcPr>
            <w:tcW w:w="3868" w:type="dxa"/>
            <w:gridSpan w:val="5"/>
            <w:vAlign w:val="top"/>
          </w:tcPr>
          <w:p>
            <w:pPr>
              <w:spacing w:before="267" w:line="222" w:lineRule="auto"/>
              <w:ind w:left="887"/>
              <w:rPr>
                <w:rFonts w:ascii="黑体" w:hAnsi="黑体" w:eastAsia="黑体" w:cs="黑体"/>
                <w:sz w:val="24"/>
                <w:szCs w:val="24"/>
              </w:rPr>
            </w:pPr>
            <w:r>
              <w:rPr>
                <w:rFonts w:ascii="黑体" w:hAnsi="黑体" w:eastAsia="黑体" w:cs="黑体"/>
                <w:spacing w:val="-6"/>
                <w:sz w:val="24"/>
                <w:szCs w:val="24"/>
              </w:rPr>
              <w:t>获职业资格证书人数</w:t>
            </w:r>
          </w:p>
        </w:tc>
        <w:tc>
          <w:tcPr>
            <w:tcW w:w="3705" w:type="dxa"/>
            <w:gridSpan w:val="5"/>
            <w:vAlign w:val="top"/>
          </w:tcPr>
          <w:p>
            <w:pPr>
              <w:spacing w:before="268" w:line="221" w:lineRule="auto"/>
              <w:ind w:left="806"/>
              <w:rPr>
                <w:rFonts w:ascii="黑体" w:hAnsi="黑体" w:eastAsia="黑体" w:cs="黑体"/>
                <w:sz w:val="24"/>
                <w:szCs w:val="24"/>
              </w:rPr>
            </w:pPr>
            <w:r>
              <w:rPr>
                <w:rFonts w:ascii="黑体" w:hAnsi="黑体" w:eastAsia="黑体" w:cs="黑体"/>
                <w:spacing w:val="-6"/>
                <w:sz w:val="24"/>
                <w:szCs w:val="24"/>
              </w:rPr>
              <w:t>获技能等级证书人数</w:t>
            </w:r>
          </w:p>
        </w:tc>
        <w:tc>
          <w:tcPr>
            <w:tcW w:w="1912" w:type="dxa"/>
            <w:gridSpan w:val="2"/>
            <w:vAlign w:val="top"/>
          </w:tcPr>
          <w:p>
            <w:pPr>
              <w:spacing w:before="111" w:line="231" w:lineRule="auto"/>
              <w:ind w:left="260" w:right="244" w:hanging="6"/>
              <w:rPr>
                <w:rFonts w:ascii="黑体" w:hAnsi="黑体" w:eastAsia="黑体" w:cs="黑体"/>
                <w:sz w:val="24"/>
                <w:szCs w:val="24"/>
              </w:rPr>
            </w:pPr>
            <w:r>
              <w:rPr>
                <w:rFonts w:ascii="黑体" w:hAnsi="黑体" w:eastAsia="黑体" w:cs="黑体"/>
                <w:spacing w:val="-6"/>
                <w:sz w:val="24"/>
                <w:szCs w:val="24"/>
              </w:rPr>
              <w:t>推荐技术能手</w:t>
            </w:r>
            <w:r>
              <w:rPr>
                <w:rFonts w:ascii="黑体" w:hAnsi="黑体" w:eastAsia="黑体" w:cs="黑体"/>
                <w:spacing w:val="3"/>
                <w:sz w:val="24"/>
                <w:szCs w:val="24"/>
              </w:rPr>
              <w:t xml:space="preserve"> </w:t>
            </w:r>
            <w:r>
              <w:rPr>
                <w:rFonts w:ascii="黑体" w:hAnsi="黑体" w:eastAsia="黑体" w:cs="黑体"/>
                <w:spacing w:val="-7"/>
                <w:sz w:val="24"/>
                <w:szCs w:val="24"/>
              </w:rPr>
              <w:t>荣誉称号人数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1012"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823" w:type="dxa"/>
            <w:vMerge w:val="continue"/>
            <w:tcBorders>
              <w:top w:val="nil"/>
            </w:tcBorders>
            <w:vAlign w:val="top"/>
          </w:tcPr>
          <w:p>
            <w:pPr>
              <w:rPr>
                <w:rFonts w:ascii="Arial"/>
                <w:sz w:val="21"/>
              </w:rPr>
            </w:pPr>
          </w:p>
        </w:tc>
        <w:tc>
          <w:tcPr>
            <w:tcW w:w="795" w:type="dxa"/>
            <w:vAlign w:val="top"/>
          </w:tcPr>
          <w:p>
            <w:pPr>
              <w:spacing w:before="245" w:line="222" w:lineRule="auto"/>
              <w:ind w:left="166"/>
              <w:rPr>
                <w:rFonts w:ascii="黑体" w:hAnsi="黑体" w:eastAsia="黑体" w:cs="黑体"/>
                <w:sz w:val="24"/>
                <w:szCs w:val="24"/>
              </w:rPr>
            </w:pPr>
            <w:r>
              <w:rPr>
                <w:rFonts w:ascii="黑体" w:hAnsi="黑体" w:eastAsia="黑体" w:cs="黑体"/>
                <w:spacing w:val="-4"/>
                <w:sz w:val="24"/>
                <w:szCs w:val="24"/>
              </w:rPr>
              <w:t>初赛</w:t>
            </w:r>
          </w:p>
        </w:tc>
        <w:tc>
          <w:tcPr>
            <w:tcW w:w="712" w:type="dxa"/>
            <w:vAlign w:val="top"/>
          </w:tcPr>
          <w:p>
            <w:pPr>
              <w:spacing w:before="89" w:line="231" w:lineRule="auto"/>
              <w:ind w:left="246" w:right="113" w:hanging="115"/>
              <w:rPr>
                <w:rFonts w:ascii="黑体" w:hAnsi="黑体" w:eastAsia="黑体" w:cs="黑体"/>
                <w:sz w:val="24"/>
                <w:szCs w:val="24"/>
              </w:rPr>
            </w:pPr>
            <w:r>
              <w:rPr>
                <w:rFonts w:ascii="黑体" w:hAnsi="黑体" w:eastAsia="黑体" w:cs="黑体"/>
                <w:spacing w:val="-10"/>
                <w:sz w:val="24"/>
                <w:szCs w:val="24"/>
              </w:rPr>
              <w:t>选拔</w:t>
            </w:r>
            <w:r>
              <w:rPr>
                <w:rFonts w:ascii="黑体" w:hAnsi="黑体" w:eastAsia="黑体" w:cs="黑体"/>
                <w:sz w:val="24"/>
                <w:szCs w:val="24"/>
              </w:rPr>
              <w:t xml:space="preserve"> 赛</w:t>
            </w:r>
          </w:p>
        </w:tc>
        <w:tc>
          <w:tcPr>
            <w:tcW w:w="740" w:type="dxa"/>
            <w:vAlign w:val="top"/>
          </w:tcPr>
          <w:p>
            <w:pPr>
              <w:spacing w:before="245" w:line="222" w:lineRule="auto"/>
              <w:ind w:left="142"/>
              <w:rPr>
                <w:rFonts w:ascii="黑体" w:hAnsi="黑体" w:eastAsia="黑体" w:cs="黑体"/>
                <w:sz w:val="24"/>
                <w:szCs w:val="24"/>
              </w:rPr>
            </w:pPr>
            <w:r>
              <w:rPr>
                <w:rFonts w:ascii="黑体" w:hAnsi="黑体" w:eastAsia="黑体" w:cs="黑体"/>
                <w:spacing w:val="-5"/>
                <w:sz w:val="24"/>
                <w:szCs w:val="24"/>
              </w:rPr>
              <w:t>决赛</w:t>
            </w:r>
          </w:p>
        </w:tc>
        <w:tc>
          <w:tcPr>
            <w:tcW w:w="698" w:type="dxa"/>
            <w:vAlign w:val="top"/>
          </w:tcPr>
          <w:p>
            <w:pPr>
              <w:spacing w:before="244" w:line="221" w:lineRule="auto"/>
              <w:ind w:left="118"/>
              <w:rPr>
                <w:rFonts w:ascii="黑体" w:hAnsi="黑体" w:eastAsia="黑体" w:cs="黑体"/>
                <w:sz w:val="24"/>
                <w:szCs w:val="24"/>
              </w:rPr>
            </w:pPr>
            <w:r>
              <w:rPr>
                <w:rFonts w:ascii="黑体" w:hAnsi="黑体" w:eastAsia="黑体" w:cs="黑体"/>
                <w:spacing w:val="-4"/>
                <w:sz w:val="24"/>
                <w:szCs w:val="24"/>
              </w:rPr>
              <w:t>初级</w:t>
            </w:r>
          </w:p>
        </w:tc>
        <w:tc>
          <w:tcPr>
            <w:tcW w:w="950" w:type="dxa"/>
            <w:vAlign w:val="top"/>
          </w:tcPr>
          <w:p>
            <w:pPr>
              <w:spacing w:before="244" w:line="221" w:lineRule="auto"/>
              <w:ind w:left="266"/>
              <w:rPr>
                <w:rFonts w:ascii="黑体" w:hAnsi="黑体" w:eastAsia="黑体" w:cs="黑体"/>
                <w:sz w:val="24"/>
                <w:szCs w:val="24"/>
              </w:rPr>
            </w:pPr>
            <w:r>
              <w:rPr>
                <w:rFonts w:ascii="黑体" w:hAnsi="黑体" w:eastAsia="黑体" w:cs="黑体"/>
                <w:spacing w:val="-15"/>
                <w:sz w:val="24"/>
                <w:szCs w:val="24"/>
              </w:rPr>
              <w:t>中级</w:t>
            </w:r>
          </w:p>
        </w:tc>
        <w:tc>
          <w:tcPr>
            <w:tcW w:w="735" w:type="dxa"/>
            <w:vAlign w:val="top"/>
          </w:tcPr>
          <w:p>
            <w:pPr>
              <w:spacing w:before="244" w:line="221" w:lineRule="auto"/>
              <w:ind w:left="146"/>
              <w:rPr>
                <w:rFonts w:ascii="黑体" w:hAnsi="黑体" w:eastAsia="黑体" w:cs="黑体"/>
                <w:sz w:val="24"/>
                <w:szCs w:val="24"/>
              </w:rPr>
            </w:pPr>
            <w:r>
              <w:rPr>
                <w:rFonts w:ascii="黑体" w:hAnsi="黑体" w:eastAsia="黑体" w:cs="黑体"/>
                <w:spacing w:val="-8"/>
                <w:sz w:val="24"/>
                <w:szCs w:val="24"/>
              </w:rPr>
              <w:t>高级</w:t>
            </w:r>
          </w:p>
        </w:tc>
        <w:tc>
          <w:tcPr>
            <w:tcW w:w="705" w:type="dxa"/>
            <w:vAlign w:val="top"/>
          </w:tcPr>
          <w:p>
            <w:pPr>
              <w:spacing w:before="245" w:line="222" w:lineRule="auto"/>
              <w:ind w:left="125"/>
              <w:rPr>
                <w:rFonts w:ascii="黑体" w:hAnsi="黑体" w:eastAsia="黑体" w:cs="黑体"/>
                <w:sz w:val="24"/>
                <w:szCs w:val="24"/>
              </w:rPr>
            </w:pPr>
            <w:r>
              <w:rPr>
                <w:rFonts w:ascii="黑体" w:hAnsi="黑体" w:eastAsia="黑体" w:cs="黑体"/>
                <w:spacing w:val="-5"/>
                <w:sz w:val="24"/>
                <w:szCs w:val="24"/>
              </w:rPr>
              <w:t>技师</w:t>
            </w:r>
          </w:p>
        </w:tc>
        <w:tc>
          <w:tcPr>
            <w:tcW w:w="780" w:type="dxa"/>
            <w:vAlign w:val="top"/>
          </w:tcPr>
          <w:p>
            <w:pPr>
              <w:spacing w:before="89" w:line="231" w:lineRule="auto"/>
              <w:ind w:left="164" w:right="145" w:firstLine="6"/>
              <w:rPr>
                <w:rFonts w:ascii="黑体" w:hAnsi="黑体" w:eastAsia="黑体" w:cs="黑体"/>
                <w:sz w:val="24"/>
                <w:szCs w:val="24"/>
              </w:rPr>
            </w:pPr>
            <w:r>
              <w:rPr>
                <w:rFonts w:ascii="黑体" w:hAnsi="黑体" w:eastAsia="黑体" w:cs="黑体"/>
                <w:spacing w:val="-11"/>
                <w:sz w:val="24"/>
                <w:szCs w:val="24"/>
              </w:rPr>
              <w:t>高级</w:t>
            </w:r>
            <w:r>
              <w:rPr>
                <w:rFonts w:ascii="黑体" w:hAnsi="黑体" w:eastAsia="黑体" w:cs="黑体"/>
                <w:sz w:val="24"/>
                <w:szCs w:val="24"/>
              </w:rPr>
              <w:t xml:space="preserve"> </w:t>
            </w:r>
            <w:r>
              <w:rPr>
                <w:rFonts w:ascii="黑体" w:hAnsi="黑体" w:eastAsia="黑体" w:cs="黑体"/>
                <w:spacing w:val="-8"/>
                <w:sz w:val="24"/>
                <w:szCs w:val="24"/>
              </w:rPr>
              <w:t>技师</w:t>
            </w:r>
          </w:p>
        </w:tc>
        <w:tc>
          <w:tcPr>
            <w:tcW w:w="720" w:type="dxa"/>
            <w:vAlign w:val="top"/>
          </w:tcPr>
          <w:p>
            <w:pPr>
              <w:spacing w:before="244" w:line="221" w:lineRule="auto"/>
              <w:ind w:left="139"/>
              <w:rPr>
                <w:rFonts w:ascii="黑体" w:hAnsi="黑体" w:eastAsia="黑体" w:cs="黑体"/>
                <w:sz w:val="24"/>
                <w:szCs w:val="24"/>
              </w:rPr>
            </w:pPr>
            <w:r>
              <w:rPr>
                <w:rFonts w:ascii="黑体" w:hAnsi="黑体" w:eastAsia="黑体" w:cs="黑体"/>
                <w:spacing w:val="-8"/>
                <w:sz w:val="24"/>
                <w:szCs w:val="24"/>
              </w:rPr>
              <w:t>五级</w:t>
            </w:r>
          </w:p>
        </w:tc>
        <w:tc>
          <w:tcPr>
            <w:tcW w:w="765" w:type="dxa"/>
            <w:vAlign w:val="top"/>
          </w:tcPr>
          <w:p>
            <w:pPr>
              <w:spacing w:before="244" w:line="221" w:lineRule="auto"/>
              <w:ind w:left="168"/>
              <w:rPr>
                <w:rFonts w:ascii="黑体" w:hAnsi="黑体" w:eastAsia="黑体" w:cs="黑体"/>
                <w:sz w:val="24"/>
                <w:szCs w:val="24"/>
              </w:rPr>
            </w:pPr>
            <w:r>
              <w:rPr>
                <w:rFonts w:ascii="黑体" w:hAnsi="黑体" w:eastAsia="黑体" w:cs="黑体"/>
                <w:spacing w:val="-12"/>
                <w:sz w:val="24"/>
                <w:szCs w:val="24"/>
              </w:rPr>
              <w:t>四级</w:t>
            </w:r>
          </w:p>
        </w:tc>
        <w:tc>
          <w:tcPr>
            <w:tcW w:w="735" w:type="dxa"/>
            <w:vAlign w:val="top"/>
          </w:tcPr>
          <w:p>
            <w:pPr>
              <w:spacing w:before="244" w:line="221" w:lineRule="auto"/>
              <w:ind w:left="145"/>
              <w:rPr>
                <w:rFonts w:ascii="黑体" w:hAnsi="黑体" w:eastAsia="黑体" w:cs="黑体"/>
                <w:sz w:val="24"/>
                <w:szCs w:val="24"/>
              </w:rPr>
            </w:pPr>
            <w:r>
              <w:rPr>
                <w:rFonts w:ascii="黑体" w:hAnsi="黑体" w:eastAsia="黑体" w:cs="黑体"/>
                <w:spacing w:val="-8"/>
                <w:sz w:val="24"/>
                <w:szCs w:val="24"/>
              </w:rPr>
              <w:t>三级</w:t>
            </w:r>
          </w:p>
        </w:tc>
        <w:tc>
          <w:tcPr>
            <w:tcW w:w="705" w:type="dxa"/>
            <w:vAlign w:val="top"/>
          </w:tcPr>
          <w:p>
            <w:pPr>
              <w:spacing w:before="244" w:line="221" w:lineRule="auto"/>
              <w:ind w:left="129"/>
              <w:rPr>
                <w:rFonts w:ascii="黑体" w:hAnsi="黑体" w:eastAsia="黑体" w:cs="黑体"/>
                <w:sz w:val="24"/>
                <w:szCs w:val="24"/>
              </w:rPr>
            </w:pPr>
            <w:r>
              <w:rPr>
                <w:rFonts w:ascii="黑体" w:hAnsi="黑体" w:eastAsia="黑体" w:cs="黑体"/>
                <w:spacing w:val="-7"/>
                <w:sz w:val="24"/>
                <w:szCs w:val="24"/>
              </w:rPr>
              <w:t>二级</w:t>
            </w:r>
          </w:p>
        </w:tc>
        <w:tc>
          <w:tcPr>
            <w:tcW w:w="780" w:type="dxa"/>
            <w:vAlign w:val="top"/>
          </w:tcPr>
          <w:p>
            <w:pPr>
              <w:spacing w:before="244" w:line="221" w:lineRule="auto"/>
              <w:ind w:left="166"/>
              <w:rPr>
                <w:rFonts w:ascii="黑体" w:hAnsi="黑体" w:eastAsia="黑体" w:cs="黑体"/>
                <w:sz w:val="24"/>
                <w:szCs w:val="24"/>
              </w:rPr>
            </w:pPr>
            <w:r>
              <w:rPr>
                <w:rFonts w:ascii="黑体" w:hAnsi="黑体" w:eastAsia="黑体" w:cs="黑体"/>
                <w:spacing w:val="-7"/>
                <w:sz w:val="24"/>
                <w:szCs w:val="24"/>
              </w:rPr>
              <w:t>一级</w:t>
            </w:r>
          </w:p>
        </w:tc>
        <w:tc>
          <w:tcPr>
            <w:tcW w:w="944" w:type="dxa"/>
            <w:vAlign w:val="top"/>
          </w:tcPr>
          <w:p>
            <w:pPr>
              <w:spacing w:before="89" w:line="231" w:lineRule="auto"/>
              <w:ind w:left="250" w:right="109" w:hanging="119"/>
              <w:rPr>
                <w:rFonts w:ascii="黑体" w:hAnsi="黑体" w:eastAsia="黑体" w:cs="黑体"/>
                <w:sz w:val="24"/>
                <w:szCs w:val="24"/>
              </w:rPr>
            </w:pPr>
            <w:r>
              <w:rPr>
                <w:rFonts w:ascii="黑体" w:hAnsi="黑体" w:eastAsia="黑体" w:cs="黑体"/>
                <w:spacing w:val="-8"/>
                <w:sz w:val="24"/>
                <w:szCs w:val="24"/>
              </w:rPr>
              <w:t>市技术</w:t>
            </w:r>
            <w:r>
              <w:rPr>
                <w:rFonts w:ascii="黑体" w:hAnsi="黑体" w:eastAsia="黑体" w:cs="黑体"/>
                <w:spacing w:val="1"/>
                <w:sz w:val="24"/>
                <w:szCs w:val="24"/>
              </w:rPr>
              <w:t xml:space="preserve"> </w:t>
            </w:r>
            <w:r>
              <w:rPr>
                <w:rFonts w:ascii="黑体" w:hAnsi="黑体" w:eastAsia="黑体" w:cs="黑体"/>
                <w:spacing w:val="-9"/>
                <w:sz w:val="24"/>
                <w:szCs w:val="24"/>
              </w:rPr>
              <w:t>能手</w:t>
            </w:r>
          </w:p>
        </w:tc>
        <w:tc>
          <w:tcPr>
            <w:tcW w:w="968" w:type="dxa"/>
            <w:vAlign w:val="top"/>
          </w:tcPr>
          <w:p>
            <w:pPr>
              <w:spacing w:before="89" w:line="222" w:lineRule="auto"/>
              <w:ind w:left="139"/>
              <w:rPr>
                <w:rFonts w:ascii="黑体" w:hAnsi="黑体" w:eastAsia="黑体" w:cs="黑体"/>
                <w:sz w:val="24"/>
                <w:szCs w:val="24"/>
              </w:rPr>
            </w:pPr>
            <w:r>
              <w:rPr>
                <w:rFonts w:ascii="黑体" w:hAnsi="黑体" w:eastAsia="黑体" w:cs="黑体"/>
                <w:spacing w:val="-6"/>
                <w:sz w:val="24"/>
                <w:szCs w:val="24"/>
              </w:rPr>
              <w:t>省技术</w:t>
            </w:r>
          </w:p>
          <w:p>
            <w:pPr>
              <w:spacing w:before="23" w:line="222" w:lineRule="auto"/>
              <w:ind w:left="262"/>
              <w:rPr>
                <w:rFonts w:ascii="黑体" w:hAnsi="黑体" w:eastAsia="黑体" w:cs="黑体"/>
                <w:sz w:val="24"/>
                <w:szCs w:val="24"/>
              </w:rPr>
            </w:pPr>
            <w:r>
              <w:rPr>
                <w:rFonts w:ascii="黑体" w:hAnsi="黑体" w:eastAsia="黑体" w:cs="黑体"/>
                <w:spacing w:val="-9"/>
                <w:sz w:val="24"/>
                <w:szCs w:val="24"/>
              </w:rPr>
              <w:t>能手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12" w:type="dxa"/>
            <w:vAlign w:val="top"/>
          </w:tcPr>
          <w:p>
            <w:pPr>
              <w:rPr>
                <w:rFonts w:ascii="Arial"/>
                <w:sz w:val="21"/>
              </w:rPr>
            </w:pPr>
          </w:p>
        </w:tc>
        <w:tc>
          <w:tcPr>
            <w:tcW w:w="1270" w:type="dxa"/>
            <w:vAlign w:val="top"/>
          </w:tcPr>
          <w:p>
            <w:pPr>
              <w:rPr>
                <w:rFonts w:ascii="Arial"/>
                <w:sz w:val="21"/>
              </w:rPr>
            </w:pPr>
          </w:p>
        </w:tc>
        <w:tc>
          <w:tcPr>
            <w:tcW w:w="823" w:type="dxa"/>
            <w:vAlign w:val="top"/>
          </w:tcPr>
          <w:p>
            <w:pPr>
              <w:rPr>
                <w:rFonts w:ascii="Arial"/>
                <w:sz w:val="21"/>
              </w:rPr>
            </w:pPr>
          </w:p>
        </w:tc>
        <w:tc>
          <w:tcPr>
            <w:tcW w:w="795" w:type="dxa"/>
            <w:vAlign w:val="top"/>
          </w:tcPr>
          <w:p>
            <w:pPr>
              <w:rPr>
                <w:rFonts w:ascii="Arial"/>
                <w:sz w:val="21"/>
              </w:rPr>
            </w:pPr>
          </w:p>
        </w:tc>
        <w:tc>
          <w:tcPr>
            <w:tcW w:w="712" w:type="dxa"/>
            <w:vAlign w:val="top"/>
          </w:tcPr>
          <w:p>
            <w:pPr>
              <w:rPr>
                <w:rFonts w:ascii="Arial"/>
                <w:sz w:val="21"/>
              </w:rPr>
            </w:pPr>
          </w:p>
        </w:tc>
        <w:tc>
          <w:tcPr>
            <w:tcW w:w="740" w:type="dxa"/>
            <w:vAlign w:val="top"/>
          </w:tcPr>
          <w:p>
            <w:pPr>
              <w:rPr>
                <w:rFonts w:ascii="Arial"/>
                <w:sz w:val="21"/>
              </w:rPr>
            </w:pPr>
          </w:p>
        </w:tc>
        <w:tc>
          <w:tcPr>
            <w:tcW w:w="698" w:type="dxa"/>
            <w:vAlign w:val="top"/>
          </w:tcPr>
          <w:p>
            <w:pPr>
              <w:rPr>
                <w:rFonts w:ascii="Arial"/>
                <w:sz w:val="21"/>
              </w:rPr>
            </w:pPr>
          </w:p>
        </w:tc>
        <w:tc>
          <w:tcPr>
            <w:tcW w:w="950" w:type="dxa"/>
            <w:vAlign w:val="top"/>
          </w:tcPr>
          <w:p>
            <w:pPr>
              <w:rPr>
                <w:rFonts w:ascii="Arial"/>
                <w:sz w:val="21"/>
              </w:rPr>
            </w:pPr>
          </w:p>
        </w:tc>
        <w:tc>
          <w:tcPr>
            <w:tcW w:w="735" w:type="dxa"/>
            <w:vAlign w:val="top"/>
          </w:tcPr>
          <w:p>
            <w:pPr>
              <w:rPr>
                <w:rFonts w:ascii="Arial"/>
                <w:sz w:val="21"/>
              </w:rPr>
            </w:pPr>
          </w:p>
        </w:tc>
        <w:tc>
          <w:tcPr>
            <w:tcW w:w="705" w:type="dxa"/>
            <w:vAlign w:val="top"/>
          </w:tcPr>
          <w:p>
            <w:pPr>
              <w:rPr>
                <w:rFonts w:ascii="Arial"/>
                <w:sz w:val="21"/>
              </w:rPr>
            </w:pPr>
          </w:p>
        </w:tc>
        <w:tc>
          <w:tcPr>
            <w:tcW w:w="780" w:type="dxa"/>
            <w:vAlign w:val="top"/>
          </w:tcPr>
          <w:p>
            <w:pPr>
              <w:rPr>
                <w:rFonts w:ascii="Arial"/>
                <w:sz w:val="21"/>
              </w:rPr>
            </w:pPr>
          </w:p>
        </w:tc>
        <w:tc>
          <w:tcPr>
            <w:tcW w:w="720" w:type="dxa"/>
            <w:vAlign w:val="top"/>
          </w:tcPr>
          <w:p>
            <w:pPr>
              <w:rPr>
                <w:rFonts w:ascii="Arial"/>
                <w:sz w:val="21"/>
              </w:rPr>
            </w:pPr>
          </w:p>
        </w:tc>
        <w:tc>
          <w:tcPr>
            <w:tcW w:w="765" w:type="dxa"/>
            <w:vAlign w:val="top"/>
          </w:tcPr>
          <w:p>
            <w:pPr>
              <w:rPr>
                <w:rFonts w:ascii="Arial"/>
                <w:sz w:val="21"/>
              </w:rPr>
            </w:pPr>
          </w:p>
        </w:tc>
        <w:tc>
          <w:tcPr>
            <w:tcW w:w="735" w:type="dxa"/>
            <w:vAlign w:val="top"/>
          </w:tcPr>
          <w:p>
            <w:pPr>
              <w:rPr>
                <w:rFonts w:ascii="Arial"/>
                <w:sz w:val="21"/>
              </w:rPr>
            </w:pPr>
          </w:p>
        </w:tc>
        <w:tc>
          <w:tcPr>
            <w:tcW w:w="705" w:type="dxa"/>
            <w:vAlign w:val="top"/>
          </w:tcPr>
          <w:p>
            <w:pPr>
              <w:rPr>
                <w:rFonts w:ascii="Arial"/>
                <w:sz w:val="21"/>
              </w:rPr>
            </w:pPr>
          </w:p>
        </w:tc>
        <w:tc>
          <w:tcPr>
            <w:tcW w:w="780" w:type="dxa"/>
            <w:vAlign w:val="top"/>
          </w:tcPr>
          <w:p>
            <w:pPr>
              <w:rPr>
                <w:rFonts w:ascii="Arial"/>
                <w:sz w:val="21"/>
              </w:rPr>
            </w:pPr>
          </w:p>
        </w:tc>
        <w:tc>
          <w:tcPr>
            <w:tcW w:w="944" w:type="dxa"/>
            <w:vAlign w:val="top"/>
          </w:tcPr>
          <w:p>
            <w:pPr>
              <w:rPr>
                <w:rFonts w:ascii="Arial"/>
                <w:sz w:val="21"/>
              </w:rPr>
            </w:pPr>
          </w:p>
        </w:tc>
        <w:tc>
          <w:tcPr>
            <w:tcW w:w="96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12" w:type="dxa"/>
            <w:vAlign w:val="top"/>
          </w:tcPr>
          <w:p>
            <w:pPr>
              <w:rPr>
                <w:rFonts w:ascii="Arial"/>
                <w:sz w:val="21"/>
              </w:rPr>
            </w:pPr>
          </w:p>
        </w:tc>
        <w:tc>
          <w:tcPr>
            <w:tcW w:w="1270" w:type="dxa"/>
            <w:vAlign w:val="top"/>
          </w:tcPr>
          <w:p>
            <w:pPr>
              <w:rPr>
                <w:rFonts w:ascii="Arial"/>
                <w:sz w:val="21"/>
              </w:rPr>
            </w:pPr>
          </w:p>
        </w:tc>
        <w:tc>
          <w:tcPr>
            <w:tcW w:w="823" w:type="dxa"/>
            <w:vAlign w:val="top"/>
          </w:tcPr>
          <w:p>
            <w:pPr>
              <w:rPr>
                <w:rFonts w:ascii="Arial"/>
                <w:sz w:val="21"/>
              </w:rPr>
            </w:pPr>
          </w:p>
        </w:tc>
        <w:tc>
          <w:tcPr>
            <w:tcW w:w="795" w:type="dxa"/>
            <w:vAlign w:val="top"/>
          </w:tcPr>
          <w:p>
            <w:pPr>
              <w:rPr>
                <w:rFonts w:ascii="Arial"/>
                <w:sz w:val="21"/>
              </w:rPr>
            </w:pPr>
          </w:p>
        </w:tc>
        <w:tc>
          <w:tcPr>
            <w:tcW w:w="712" w:type="dxa"/>
            <w:vAlign w:val="top"/>
          </w:tcPr>
          <w:p>
            <w:pPr>
              <w:rPr>
                <w:rFonts w:ascii="Arial"/>
                <w:sz w:val="21"/>
              </w:rPr>
            </w:pPr>
          </w:p>
        </w:tc>
        <w:tc>
          <w:tcPr>
            <w:tcW w:w="740" w:type="dxa"/>
            <w:vAlign w:val="top"/>
          </w:tcPr>
          <w:p>
            <w:pPr>
              <w:rPr>
                <w:rFonts w:ascii="Arial"/>
                <w:sz w:val="21"/>
              </w:rPr>
            </w:pPr>
          </w:p>
        </w:tc>
        <w:tc>
          <w:tcPr>
            <w:tcW w:w="698" w:type="dxa"/>
            <w:vAlign w:val="top"/>
          </w:tcPr>
          <w:p>
            <w:pPr>
              <w:rPr>
                <w:rFonts w:ascii="Arial"/>
                <w:sz w:val="21"/>
              </w:rPr>
            </w:pPr>
          </w:p>
        </w:tc>
        <w:tc>
          <w:tcPr>
            <w:tcW w:w="950" w:type="dxa"/>
            <w:vAlign w:val="top"/>
          </w:tcPr>
          <w:p>
            <w:pPr>
              <w:rPr>
                <w:rFonts w:ascii="Arial"/>
                <w:sz w:val="21"/>
              </w:rPr>
            </w:pPr>
          </w:p>
        </w:tc>
        <w:tc>
          <w:tcPr>
            <w:tcW w:w="735" w:type="dxa"/>
            <w:vAlign w:val="top"/>
          </w:tcPr>
          <w:p>
            <w:pPr>
              <w:rPr>
                <w:rFonts w:ascii="Arial"/>
                <w:sz w:val="21"/>
              </w:rPr>
            </w:pPr>
          </w:p>
        </w:tc>
        <w:tc>
          <w:tcPr>
            <w:tcW w:w="705" w:type="dxa"/>
            <w:vAlign w:val="top"/>
          </w:tcPr>
          <w:p>
            <w:pPr>
              <w:rPr>
                <w:rFonts w:ascii="Arial"/>
                <w:sz w:val="21"/>
              </w:rPr>
            </w:pPr>
          </w:p>
        </w:tc>
        <w:tc>
          <w:tcPr>
            <w:tcW w:w="780" w:type="dxa"/>
            <w:vAlign w:val="top"/>
          </w:tcPr>
          <w:p>
            <w:pPr>
              <w:rPr>
                <w:rFonts w:ascii="Arial"/>
                <w:sz w:val="21"/>
              </w:rPr>
            </w:pPr>
          </w:p>
        </w:tc>
        <w:tc>
          <w:tcPr>
            <w:tcW w:w="720" w:type="dxa"/>
            <w:vAlign w:val="top"/>
          </w:tcPr>
          <w:p>
            <w:pPr>
              <w:rPr>
                <w:rFonts w:ascii="Arial"/>
                <w:sz w:val="21"/>
              </w:rPr>
            </w:pPr>
          </w:p>
        </w:tc>
        <w:tc>
          <w:tcPr>
            <w:tcW w:w="765" w:type="dxa"/>
            <w:vAlign w:val="top"/>
          </w:tcPr>
          <w:p>
            <w:pPr>
              <w:rPr>
                <w:rFonts w:ascii="Arial"/>
                <w:sz w:val="21"/>
              </w:rPr>
            </w:pPr>
          </w:p>
        </w:tc>
        <w:tc>
          <w:tcPr>
            <w:tcW w:w="735" w:type="dxa"/>
            <w:vAlign w:val="top"/>
          </w:tcPr>
          <w:p>
            <w:pPr>
              <w:rPr>
                <w:rFonts w:ascii="Arial"/>
                <w:sz w:val="21"/>
              </w:rPr>
            </w:pPr>
          </w:p>
        </w:tc>
        <w:tc>
          <w:tcPr>
            <w:tcW w:w="705" w:type="dxa"/>
            <w:vAlign w:val="top"/>
          </w:tcPr>
          <w:p>
            <w:pPr>
              <w:rPr>
                <w:rFonts w:ascii="Arial"/>
                <w:sz w:val="21"/>
              </w:rPr>
            </w:pPr>
          </w:p>
        </w:tc>
        <w:tc>
          <w:tcPr>
            <w:tcW w:w="780" w:type="dxa"/>
            <w:vAlign w:val="top"/>
          </w:tcPr>
          <w:p>
            <w:pPr>
              <w:rPr>
                <w:rFonts w:ascii="Arial"/>
                <w:sz w:val="21"/>
              </w:rPr>
            </w:pPr>
          </w:p>
        </w:tc>
        <w:tc>
          <w:tcPr>
            <w:tcW w:w="944" w:type="dxa"/>
            <w:vAlign w:val="top"/>
          </w:tcPr>
          <w:p>
            <w:pPr>
              <w:rPr>
                <w:rFonts w:ascii="Arial"/>
                <w:sz w:val="21"/>
              </w:rPr>
            </w:pPr>
          </w:p>
        </w:tc>
        <w:tc>
          <w:tcPr>
            <w:tcW w:w="96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12" w:type="dxa"/>
            <w:vAlign w:val="top"/>
          </w:tcPr>
          <w:p>
            <w:pPr>
              <w:rPr>
                <w:rFonts w:ascii="Arial"/>
                <w:sz w:val="21"/>
              </w:rPr>
            </w:pPr>
          </w:p>
        </w:tc>
        <w:tc>
          <w:tcPr>
            <w:tcW w:w="1270" w:type="dxa"/>
            <w:vAlign w:val="top"/>
          </w:tcPr>
          <w:p>
            <w:pPr>
              <w:rPr>
                <w:rFonts w:ascii="Arial"/>
                <w:sz w:val="21"/>
              </w:rPr>
            </w:pPr>
          </w:p>
        </w:tc>
        <w:tc>
          <w:tcPr>
            <w:tcW w:w="823" w:type="dxa"/>
            <w:vAlign w:val="top"/>
          </w:tcPr>
          <w:p>
            <w:pPr>
              <w:rPr>
                <w:rFonts w:ascii="Arial"/>
                <w:sz w:val="21"/>
              </w:rPr>
            </w:pPr>
          </w:p>
        </w:tc>
        <w:tc>
          <w:tcPr>
            <w:tcW w:w="795" w:type="dxa"/>
            <w:vAlign w:val="top"/>
          </w:tcPr>
          <w:p>
            <w:pPr>
              <w:rPr>
                <w:rFonts w:ascii="Arial"/>
                <w:sz w:val="21"/>
              </w:rPr>
            </w:pPr>
          </w:p>
        </w:tc>
        <w:tc>
          <w:tcPr>
            <w:tcW w:w="712" w:type="dxa"/>
            <w:vAlign w:val="top"/>
          </w:tcPr>
          <w:p>
            <w:pPr>
              <w:rPr>
                <w:rFonts w:ascii="Arial"/>
                <w:sz w:val="21"/>
              </w:rPr>
            </w:pPr>
          </w:p>
        </w:tc>
        <w:tc>
          <w:tcPr>
            <w:tcW w:w="740" w:type="dxa"/>
            <w:vAlign w:val="top"/>
          </w:tcPr>
          <w:p>
            <w:pPr>
              <w:rPr>
                <w:rFonts w:ascii="Arial"/>
                <w:sz w:val="21"/>
              </w:rPr>
            </w:pPr>
          </w:p>
        </w:tc>
        <w:tc>
          <w:tcPr>
            <w:tcW w:w="698" w:type="dxa"/>
            <w:vAlign w:val="top"/>
          </w:tcPr>
          <w:p>
            <w:pPr>
              <w:rPr>
                <w:rFonts w:ascii="Arial"/>
                <w:sz w:val="21"/>
              </w:rPr>
            </w:pPr>
          </w:p>
        </w:tc>
        <w:tc>
          <w:tcPr>
            <w:tcW w:w="950" w:type="dxa"/>
            <w:vAlign w:val="top"/>
          </w:tcPr>
          <w:p>
            <w:pPr>
              <w:rPr>
                <w:rFonts w:ascii="Arial"/>
                <w:sz w:val="21"/>
              </w:rPr>
            </w:pPr>
          </w:p>
        </w:tc>
        <w:tc>
          <w:tcPr>
            <w:tcW w:w="735" w:type="dxa"/>
            <w:vAlign w:val="top"/>
          </w:tcPr>
          <w:p>
            <w:pPr>
              <w:rPr>
                <w:rFonts w:ascii="Arial"/>
                <w:sz w:val="21"/>
              </w:rPr>
            </w:pPr>
          </w:p>
        </w:tc>
        <w:tc>
          <w:tcPr>
            <w:tcW w:w="705" w:type="dxa"/>
            <w:vAlign w:val="top"/>
          </w:tcPr>
          <w:p>
            <w:pPr>
              <w:rPr>
                <w:rFonts w:ascii="Arial"/>
                <w:sz w:val="21"/>
              </w:rPr>
            </w:pPr>
          </w:p>
        </w:tc>
        <w:tc>
          <w:tcPr>
            <w:tcW w:w="780" w:type="dxa"/>
            <w:vAlign w:val="top"/>
          </w:tcPr>
          <w:p>
            <w:pPr>
              <w:rPr>
                <w:rFonts w:ascii="Arial"/>
                <w:sz w:val="21"/>
              </w:rPr>
            </w:pPr>
          </w:p>
        </w:tc>
        <w:tc>
          <w:tcPr>
            <w:tcW w:w="720" w:type="dxa"/>
            <w:vAlign w:val="top"/>
          </w:tcPr>
          <w:p>
            <w:pPr>
              <w:rPr>
                <w:rFonts w:ascii="Arial"/>
                <w:sz w:val="21"/>
              </w:rPr>
            </w:pPr>
          </w:p>
        </w:tc>
        <w:tc>
          <w:tcPr>
            <w:tcW w:w="765" w:type="dxa"/>
            <w:vAlign w:val="top"/>
          </w:tcPr>
          <w:p>
            <w:pPr>
              <w:rPr>
                <w:rFonts w:ascii="Arial"/>
                <w:sz w:val="21"/>
              </w:rPr>
            </w:pPr>
          </w:p>
        </w:tc>
        <w:tc>
          <w:tcPr>
            <w:tcW w:w="735" w:type="dxa"/>
            <w:vAlign w:val="top"/>
          </w:tcPr>
          <w:p>
            <w:pPr>
              <w:rPr>
                <w:rFonts w:ascii="Arial"/>
                <w:sz w:val="21"/>
              </w:rPr>
            </w:pPr>
          </w:p>
        </w:tc>
        <w:tc>
          <w:tcPr>
            <w:tcW w:w="705" w:type="dxa"/>
            <w:vAlign w:val="top"/>
          </w:tcPr>
          <w:p>
            <w:pPr>
              <w:rPr>
                <w:rFonts w:ascii="Arial"/>
                <w:sz w:val="21"/>
              </w:rPr>
            </w:pPr>
          </w:p>
        </w:tc>
        <w:tc>
          <w:tcPr>
            <w:tcW w:w="780" w:type="dxa"/>
            <w:vAlign w:val="top"/>
          </w:tcPr>
          <w:p>
            <w:pPr>
              <w:rPr>
                <w:rFonts w:ascii="Arial"/>
                <w:sz w:val="21"/>
              </w:rPr>
            </w:pPr>
          </w:p>
        </w:tc>
        <w:tc>
          <w:tcPr>
            <w:tcW w:w="944" w:type="dxa"/>
            <w:vAlign w:val="top"/>
          </w:tcPr>
          <w:p>
            <w:pPr>
              <w:rPr>
                <w:rFonts w:ascii="Arial"/>
                <w:sz w:val="21"/>
              </w:rPr>
            </w:pPr>
          </w:p>
        </w:tc>
        <w:tc>
          <w:tcPr>
            <w:tcW w:w="96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12" w:type="dxa"/>
            <w:vAlign w:val="top"/>
          </w:tcPr>
          <w:p>
            <w:pPr>
              <w:rPr>
                <w:rFonts w:ascii="Arial"/>
                <w:sz w:val="21"/>
              </w:rPr>
            </w:pPr>
          </w:p>
        </w:tc>
        <w:tc>
          <w:tcPr>
            <w:tcW w:w="1270" w:type="dxa"/>
            <w:vAlign w:val="top"/>
          </w:tcPr>
          <w:p>
            <w:pPr>
              <w:rPr>
                <w:rFonts w:ascii="Arial"/>
                <w:sz w:val="21"/>
              </w:rPr>
            </w:pPr>
          </w:p>
        </w:tc>
        <w:tc>
          <w:tcPr>
            <w:tcW w:w="823" w:type="dxa"/>
            <w:vAlign w:val="top"/>
          </w:tcPr>
          <w:p>
            <w:pPr>
              <w:rPr>
                <w:rFonts w:ascii="Arial"/>
                <w:sz w:val="21"/>
              </w:rPr>
            </w:pPr>
          </w:p>
        </w:tc>
        <w:tc>
          <w:tcPr>
            <w:tcW w:w="795" w:type="dxa"/>
            <w:vAlign w:val="top"/>
          </w:tcPr>
          <w:p>
            <w:pPr>
              <w:rPr>
                <w:rFonts w:ascii="Arial"/>
                <w:sz w:val="21"/>
              </w:rPr>
            </w:pPr>
          </w:p>
        </w:tc>
        <w:tc>
          <w:tcPr>
            <w:tcW w:w="712" w:type="dxa"/>
            <w:vAlign w:val="top"/>
          </w:tcPr>
          <w:p>
            <w:pPr>
              <w:rPr>
                <w:rFonts w:ascii="Arial"/>
                <w:sz w:val="21"/>
              </w:rPr>
            </w:pPr>
          </w:p>
        </w:tc>
        <w:tc>
          <w:tcPr>
            <w:tcW w:w="740" w:type="dxa"/>
            <w:vAlign w:val="top"/>
          </w:tcPr>
          <w:p>
            <w:pPr>
              <w:rPr>
                <w:rFonts w:ascii="Arial"/>
                <w:sz w:val="21"/>
              </w:rPr>
            </w:pPr>
          </w:p>
        </w:tc>
        <w:tc>
          <w:tcPr>
            <w:tcW w:w="698" w:type="dxa"/>
            <w:vAlign w:val="top"/>
          </w:tcPr>
          <w:p>
            <w:pPr>
              <w:rPr>
                <w:rFonts w:ascii="Arial"/>
                <w:sz w:val="21"/>
              </w:rPr>
            </w:pPr>
          </w:p>
        </w:tc>
        <w:tc>
          <w:tcPr>
            <w:tcW w:w="950" w:type="dxa"/>
            <w:vAlign w:val="top"/>
          </w:tcPr>
          <w:p>
            <w:pPr>
              <w:rPr>
                <w:rFonts w:ascii="Arial"/>
                <w:sz w:val="21"/>
              </w:rPr>
            </w:pPr>
          </w:p>
        </w:tc>
        <w:tc>
          <w:tcPr>
            <w:tcW w:w="735" w:type="dxa"/>
            <w:vAlign w:val="top"/>
          </w:tcPr>
          <w:p>
            <w:pPr>
              <w:rPr>
                <w:rFonts w:ascii="Arial"/>
                <w:sz w:val="21"/>
              </w:rPr>
            </w:pPr>
          </w:p>
        </w:tc>
        <w:tc>
          <w:tcPr>
            <w:tcW w:w="705" w:type="dxa"/>
            <w:vAlign w:val="top"/>
          </w:tcPr>
          <w:p>
            <w:pPr>
              <w:rPr>
                <w:rFonts w:ascii="Arial"/>
                <w:sz w:val="21"/>
              </w:rPr>
            </w:pPr>
          </w:p>
        </w:tc>
        <w:tc>
          <w:tcPr>
            <w:tcW w:w="780" w:type="dxa"/>
            <w:vAlign w:val="top"/>
          </w:tcPr>
          <w:p>
            <w:pPr>
              <w:rPr>
                <w:rFonts w:ascii="Arial"/>
                <w:sz w:val="21"/>
              </w:rPr>
            </w:pPr>
          </w:p>
        </w:tc>
        <w:tc>
          <w:tcPr>
            <w:tcW w:w="720" w:type="dxa"/>
            <w:vAlign w:val="top"/>
          </w:tcPr>
          <w:p>
            <w:pPr>
              <w:rPr>
                <w:rFonts w:ascii="Arial"/>
                <w:sz w:val="21"/>
              </w:rPr>
            </w:pPr>
          </w:p>
        </w:tc>
        <w:tc>
          <w:tcPr>
            <w:tcW w:w="765" w:type="dxa"/>
            <w:vAlign w:val="top"/>
          </w:tcPr>
          <w:p>
            <w:pPr>
              <w:rPr>
                <w:rFonts w:ascii="Arial"/>
                <w:sz w:val="21"/>
              </w:rPr>
            </w:pPr>
          </w:p>
        </w:tc>
        <w:tc>
          <w:tcPr>
            <w:tcW w:w="735" w:type="dxa"/>
            <w:vAlign w:val="top"/>
          </w:tcPr>
          <w:p>
            <w:pPr>
              <w:rPr>
                <w:rFonts w:ascii="Arial"/>
                <w:sz w:val="21"/>
              </w:rPr>
            </w:pPr>
          </w:p>
        </w:tc>
        <w:tc>
          <w:tcPr>
            <w:tcW w:w="705" w:type="dxa"/>
            <w:vAlign w:val="top"/>
          </w:tcPr>
          <w:p>
            <w:pPr>
              <w:rPr>
                <w:rFonts w:ascii="Arial"/>
                <w:sz w:val="21"/>
              </w:rPr>
            </w:pPr>
          </w:p>
        </w:tc>
        <w:tc>
          <w:tcPr>
            <w:tcW w:w="780" w:type="dxa"/>
            <w:vAlign w:val="top"/>
          </w:tcPr>
          <w:p>
            <w:pPr>
              <w:rPr>
                <w:rFonts w:ascii="Arial"/>
                <w:sz w:val="21"/>
              </w:rPr>
            </w:pPr>
          </w:p>
        </w:tc>
        <w:tc>
          <w:tcPr>
            <w:tcW w:w="944" w:type="dxa"/>
            <w:vAlign w:val="top"/>
          </w:tcPr>
          <w:p>
            <w:pPr>
              <w:rPr>
                <w:rFonts w:ascii="Arial"/>
                <w:sz w:val="21"/>
              </w:rPr>
            </w:pPr>
          </w:p>
        </w:tc>
        <w:tc>
          <w:tcPr>
            <w:tcW w:w="96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12" w:type="dxa"/>
            <w:vAlign w:val="top"/>
          </w:tcPr>
          <w:p>
            <w:pPr>
              <w:rPr>
                <w:rFonts w:ascii="Arial"/>
                <w:sz w:val="21"/>
              </w:rPr>
            </w:pPr>
          </w:p>
        </w:tc>
        <w:tc>
          <w:tcPr>
            <w:tcW w:w="1270" w:type="dxa"/>
            <w:vAlign w:val="top"/>
          </w:tcPr>
          <w:p>
            <w:pPr>
              <w:rPr>
                <w:rFonts w:ascii="Arial"/>
                <w:sz w:val="21"/>
              </w:rPr>
            </w:pPr>
          </w:p>
        </w:tc>
        <w:tc>
          <w:tcPr>
            <w:tcW w:w="823" w:type="dxa"/>
            <w:vAlign w:val="top"/>
          </w:tcPr>
          <w:p>
            <w:pPr>
              <w:rPr>
                <w:rFonts w:ascii="Arial"/>
                <w:sz w:val="21"/>
              </w:rPr>
            </w:pPr>
          </w:p>
        </w:tc>
        <w:tc>
          <w:tcPr>
            <w:tcW w:w="795" w:type="dxa"/>
            <w:vAlign w:val="top"/>
          </w:tcPr>
          <w:p>
            <w:pPr>
              <w:rPr>
                <w:rFonts w:ascii="Arial"/>
                <w:sz w:val="21"/>
              </w:rPr>
            </w:pPr>
          </w:p>
        </w:tc>
        <w:tc>
          <w:tcPr>
            <w:tcW w:w="712" w:type="dxa"/>
            <w:vAlign w:val="top"/>
          </w:tcPr>
          <w:p>
            <w:pPr>
              <w:rPr>
                <w:rFonts w:ascii="Arial"/>
                <w:sz w:val="21"/>
              </w:rPr>
            </w:pPr>
          </w:p>
        </w:tc>
        <w:tc>
          <w:tcPr>
            <w:tcW w:w="740" w:type="dxa"/>
            <w:vAlign w:val="top"/>
          </w:tcPr>
          <w:p>
            <w:pPr>
              <w:rPr>
                <w:rFonts w:ascii="Arial"/>
                <w:sz w:val="21"/>
              </w:rPr>
            </w:pPr>
          </w:p>
        </w:tc>
        <w:tc>
          <w:tcPr>
            <w:tcW w:w="698" w:type="dxa"/>
            <w:vAlign w:val="top"/>
          </w:tcPr>
          <w:p>
            <w:pPr>
              <w:rPr>
                <w:rFonts w:ascii="Arial"/>
                <w:sz w:val="21"/>
              </w:rPr>
            </w:pPr>
          </w:p>
        </w:tc>
        <w:tc>
          <w:tcPr>
            <w:tcW w:w="950" w:type="dxa"/>
            <w:vAlign w:val="top"/>
          </w:tcPr>
          <w:p>
            <w:pPr>
              <w:rPr>
                <w:rFonts w:ascii="Arial"/>
                <w:sz w:val="21"/>
              </w:rPr>
            </w:pPr>
          </w:p>
        </w:tc>
        <w:tc>
          <w:tcPr>
            <w:tcW w:w="735" w:type="dxa"/>
            <w:vAlign w:val="top"/>
          </w:tcPr>
          <w:p>
            <w:pPr>
              <w:rPr>
                <w:rFonts w:ascii="Arial"/>
                <w:sz w:val="21"/>
              </w:rPr>
            </w:pPr>
          </w:p>
        </w:tc>
        <w:tc>
          <w:tcPr>
            <w:tcW w:w="705" w:type="dxa"/>
            <w:vAlign w:val="top"/>
          </w:tcPr>
          <w:p>
            <w:pPr>
              <w:rPr>
                <w:rFonts w:ascii="Arial"/>
                <w:sz w:val="21"/>
              </w:rPr>
            </w:pPr>
          </w:p>
        </w:tc>
        <w:tc>
          <w:tcPr>
            <w:tcW w:w="780" w:type="dxa"/>
            <w:vAlign w:val="top"/>
          </w:tcPr>
          <w:p>
            <w:pPr>
              <w:rPr>
                <w:rFonts w:ascii="Arial"/>
                <w:sz w:val="21"/>
              </w:rPr>
            </w:pPr>
          </w:p>
        </w:tc>
        <w:tc>
          <w:tcPr>
            <w:tcW w:w="720" w:type="dxa"/>
            <w:vAlign w:val="top"/>
          </w:tcPr>
          <w:p>
            <w:pPr>
              <w:rPr>
                <w:rFonts w:ascii="Arial"/>
                <w:sz w:val="21"/>
              </w:rPr>
            </w:pPr>
          </w:p>
        </w:tc>
        <w:tc>
          <w:tcPr>
            <w:tcW w:w="765" w:type="dxa"/>
            <w:vAlign w:val="top"/>
          </w:tcPr>
          <w:p>
            <w:pPr>
              <w:rPr>
                <w:rFonts w:ascii="Arial"/>
                <w:sz w:val="21"/>
              </w:rPr>
            </w:pPr>
          </w:p>
        </w:tc>
        <w:tc>
          <w:tcPr>
            <w:tcW w:w="735" w:type="dxa"/>
            <w:vAlign w:val="top"/>
          </w:tcPr>
          <w:p>
            <w:pPr>
              <w:rPr>
                <w:rFonts w:ascii="Arial"/>
                <w:sz w:val="21"/>
              </w:rPr>
            </w:pPr>
          </w:p>
        </w:tc>
        <w:tc>
          <w:tcPr>
            <w:tcW w:w="705" w:type="dxa"/>
            <w:vAlign w:val="top"/>
          </w:tcPr>
          <w:p>
            <w:pPr>
              <w:rPr>
                <w:rFonts w:ascii="Arial"/>
                <w:sz w:val="21"/>
              </w:rPr>
            </w:pPr>
          </w:p>
        </w:tc>
        <w:tc>
          <w:tcPr>
            <w:tcW w:w="780" w:type="dxa"/>
            <w:vAlign w:val="top"/>
          </w:tcPr>
          <w:p>
            <w:pPr>
              <w:rPr>
                <w:rFonts w:ascii="Arial"/>
                <w:sz w:val="21"/>
              </w:rPr>
            </w:pPr>
          </w:p>
        </w:tc>
        <w:tc>
          <w:tcPr>
            <w:tcW w:w="944" w:type="dxa"/>
            <w:vAlign w:val="top"/>
          </w:tcPr>
          <w:p>
            <w:pPr>
              <w:rPr>
                <w:rFonts w:ascii="Arial"/>
                <w:sz w:val="21"/>
              </w:rPr>
            </w:pPr>
          </w:p>
        </w:tc>
        <w:tc>
          <w:tcPr>
            <w:tcW w:w="96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012" w:type="dxa"/>
            <w:vAlign w:val="top"/>
          </w:tcPr>
          <w:p>
            <w:pPr>
              <w:rPr>
                <w:rFonts w:ascii="Arial"/>
                <w:sz w:val="21"/>
              </w:rPr>
            </w:pPr>
          </w:p>
        </w:tc>
        <w:tc>
          <w:tcPr>
            <w:tcW w:w="1270" w:type="dxa"/>
            <w:vAlign w:val="top"/>
          </w:tcPr>
          <w:p>
            <w:pPr>
              <w:rPr>
                <w:rFonts w:ascii="Arial"/>
                <w:sz w:val="21"/>
              </w:rPr>
            </w:pPr>
          </w:p>
        </w:tc>
        <w:tc>
          <w:tcPr>
            <w:tcW w:w="823" w:type="dxa"/>
            <w:vAlign w:val="top"/>
          </w:tcPr>
          <w:p>
            <w:pPr>
              <w:rPr>
                <w:rFonts w:ascii="Arial"/>
                <w:sz w:val="21"/>
              </w:rPr>
            </w:pPr>
          </w:p>
        </w:tc>
        <w:tc>
          <w:tcPr>
            <w:tcW w:w="795" w:type="dxa"/>
            <w:vAlign w:val="top"/>
          </w:tcPr>
          <w:p>
            <w:pPr>
              <w:rPr>
                <w:rFonts w:ascii="Arial"/>
                <w:sz w:val="21"/>
              </w:rPr>
            </w:pPr>
          </w:p>
        </w:tc>
        <w:tc>
          <w:tcPr>
            <w:tcW w:w="712" w:type="dxa"/>
            <w:vAlign w:val="top"/>
          </w:tcPr>
          <w:p>
            <w:pPr>
              <w:rPr>
                <w:rFonts w:ascii="Arial"/>
                <w:sz w:val="21"/>
              </w:rPr>
            </w:pPr>
          </w:p>
        </w:tc>
        <w:tc>
          <w:tcPr>
            <w:tcW w:w="740" w:type="dxa"/>
            <w:vAlign w:val="top"/>
          </w:tcPr>
          <w:p>
            <w:pPr>
              <w:rPr>
                <w:rFonts w:ascii="Arial"/>
                <w:sz w:val="21"/>
              </w:rPr>
            </w:pPr>
          </w:p>
        </w:tc>
        <w:tc>
          <w:tcPr>
            <w:tcW w:w="698" w:type="dxa"/>
            <w:vAlign w:val="top"/>
          </w:tcPr>
          <w:p>
            <w:pPr>
              <w:rPr>
                <w:rFonts w:ascii="Arial"/>
                <w:sz w:val="21"/>
              </w:rPr>
            </w:pPr>
          </w:p>
        </w:tc>
        <w:tc>
          <w:tcPr>
            <w:tcW w:w="950" w:type="dxa"/>
            <w:vAlign w:val="top"/>
          </w:tcPr>
          <w:p>
            <w:pPr>
              <w:rPr>
                <w:rFonts w:ascii="Arial"/>
                <w:sz w:val="21"/>
              </w:rPr>
            </w:pPr>
          </w:p>
        </w:tc>
        <w:tc>
          <w:tcPr>
            <w:tcW w:w="735" w:type="dxa"/>
            <w:vAlign w:val="top"/>
          </w:tcPr>
          <w:p>
            <w:pPr>
              <w:rPr>
                <w:rFonts w:ascii="Arial"/>
                <w:sz w:val="21"/>
              </w:rPr>
            </w:pPr>
          </w:p>
        </w:tc>
        <w:tc>
          <w:tcPr>
            <w:tcW w:w="705" w:type="dxa"/>
            <w:vAlign w:val="top"/>
          </w:tcPr>
          <w:p>
            <w:pPr>
              <w:rPr>
                <w:rFonts w:ascii="Arial"/>
                <w:sz w:val="21"/>
              </w:rPr>
            </w:pPr>
          </w:p>
        </w:tc>
        <w:tc>
          <w:tcPr>
            <w:tcW w:w="780" w:type="dxa"/>
            <w:vAlign w:val="top"/>
          </w:tcPr>
          <w:p>
            <w:pPr>
              <w:rPr>
                <w:rFonts w:ascii="Arial"/>
                <w:sz w:val="21"/>
              </w:rPr>
            </w:pPr>
          </w:p>
        </w:tc>
        <w:tc>
          <w:tcPr>
            <w:tcW w:w="720" w:type="dxa"/>
            <w:vAlign w:val="top"/>
          </w:tcPr>
          <w:p>
            <w:pPr>
              <w:rPr>
                <w:rFonts w:ascii="Arial"/>
                <w:sz w:val="21"/>
              </w:rPr>
            </w:pPr>
          </w:p>
        </w:tc>
        <w:tc>
          <w:tcPr>
            <w:tcW w:w="765" w:type="dxa"/>
            <w:vAlign w:val="top"/>
          </w:tcPr>
          <w:p>
            <w:pPr>
              <w:rPr>
                <w:rFonts w:ascii="Arial"/>
                <w:sz w:val="21"/>
              </w:rPr>
            </w:pPr>
          </w:p>
        </w:tc>
        <w:tc>
          <w:tcPr>
            <w:tcW w:w="735" w:type="dxa"/>
            <w:vAlign w:val="top"/>
          </w:tcPr>
          <w:p>
            <w:pPr>
              <w:rPr>
                <w:rFonts w:ascii="Arial"/>
                <w:sz w:val="21"/>
              </w:rPr>
            </w:pPr>
          </w:p>
        </w:tc>
        <w:tc>
          <w:tcPr>
            <w:tcW w:w="705" w:type="dxa"/>
            <w:vAlign w:val="top"/>
          </w:tcPr>
          <w:p>
            <w:pPr>
              <w:rPr>
                <w:rFonts w:ascii="Arial"/>
                <w:sz w:val="21"/>
              </w:rPr>
            </w:pPr>
          </w:p>
        </w:tc>
        <w:tc>
          <w:tcPr>
            <w:tcW w:w="780" w:type="dxa"/>
            <w:vAlign w:val="top"/>
          </w:tcPr>
          <w:p>
            <w:pPr>
              <w:rPr>
                <w:rFonts w:ascii="Arial"/>
                <w:sz w:val="21"/>
              </w:rPr>
            </w:pPr>
          </w:p>
        </w:tc>
        <w:tc>
          <w:tcPr>
            <w:tcW w:w="944" w:type="dxa"/>
            <w:vAlign w:val="top"/>
          </w:tcPr>
          <w:p>
            <w:pPr>
              <w:rPr>
                <w:rFonts w:ascii="Arial"/>
                <w:sz w:val="21"/>
              </w:rPr>
            </w:pPr>
          </w:p>
        </w:tc>
        <w:tc>
          <w:tcPr>
            <w:tcW w:w="968" w:type="dxa"/>
            <w:vAlign w:val="top"/>
          </w:tcPr>
          <w:p>
            <w:pPr>
              <w:rPr>
                <w:rFonts w:ascii="Arial"/>
                <w:sz w:val="21"/>
              </w:rPr>
            </w:pPr>
          </w:p>
        </w:tc>
      </w:tr>
    </w:tbl>
    <w:p>
      <w:pPr>
        <w:spacing w:line="119" w:lineRule="exact"/>
        <w:rPr>
          <w:rFonts w:ascii="Arial"/>
          <w:sz w:val="10"/>
        </w:rPr>
      </w:pPr>
    </w:p>
    <w:p>
      <w:pPr>
        <w:spacing w:line="119" w:lineRule="exact"/>
        <w:rPr>
          <w:rFonts w:ascii="Arial" w:hAnsi="Arial" w:eastAsia="Arial" w:cs="Arial"/>
          <w:sz w:val="10"/>
          <w:szCs w:val="10"/>
        </w:rPr>
        <w:sectPr>
          <w:footerReference r:id="rId4" w:type="default"/>
          <w:pgSz w:w="16839" w:h="11906"/>
          <w:pgMar w:top="1012" w:right="1139" w:bottom="1240" w:left="856" w:header="0" w:footer="966" w:gutter="0"/>
          <w:cols w:equalWidth="0" w:num="1">
            <w:col w:w="14843"/>
          </w:cols>
        </w:sectPr>
      </w:pPr>
    </w:p>
    <w:p>
      <w:pPr>
        <w:pStyle w:val="4"/>
        <w:spacing w:before="57" w:line="184" w:lineRule="auto"/>
        <w:ind w:left="856"/>
        <w:rPr>
          <w:sz w:val="28"/>
          <w:szCs w:val="28"/>
        </w:rPr>
      </w:pPr>
      <w:r>
        <w:rPr>
          <w:spacing w:val="-6"/>
          <w:sz w:val="28"/>
          <w:szCs w:val="28"/>
        </w:rPr>
        <w:t>填表人：</w:t>
      </w:r>
    </w:p>
    <w:p>
      <w:pPr>
        <w:spacing w:line="14" w:lineRule="auto"/>
        <w:rPr>
          <w:rFonts w:ascii="Arial"/>
          <w:sz w:val="2"/>
        </w:rPr>
      </w:pPr>
      <w:r>
        <w:rPr>
          <w:rFonts w:ascii="Arial" w:hAnsi="Arial" w:eastAsia="Arial" w:cs="Arial"/>
          <w:sz w:val="2"/>
          <w:szCs w:val="2"/>
        </w:rPr>
        <w:br w:type="column"/>
      </w:r>
    </w:p>
    <w:p>
      <w:pPr>
        <w:pStyle w:val="4"/>
        <w:spacing w:before="55" w:line="184" w:lineRule="auto"/>
        <w:rPr>
          <w:sz w:val="28"/>
          <w:szCs w:val="28"/>
        </w:rPr>
      </w:pPr>
      <w:r>
        <w:rPr>
          <w:spacing w:val="-5"/>
          <w:sz w:val="28"/>
          <w:szCs w:val="28"/>
        </w:rPr>
        <w:t>联系电话：</w:t>
      </w:r>
    </w:p>
    <w:p>
      <w:pPr>
        <w:spacing w:line="184" w:lineRule="auto"/>
        <w:rPr>
          <w:sz w:val="28"/>
          <w:szCs w:val="28"/>
        </w:rPr>
        <w:sectPr>
          <w:type w:val="continuous"/>
          <w:pgSz w:w="16839" w:h="11906"/>
          <w:pgMar w:top="1012" w:right="1139" w:bottom="1240" w:left="856" w:header="0" w:footer="966" w:gutter="0"/>
          <w:cols w:equalWidth="0" w:num="2">
            <w:col w:w="6807" w:space="100"/>
            <w:col w:w="7936"/>
          </w:cols>
        </w:sectPr>
      </w:pPr>
    </w:p>
    <w:p>
      <w:pPr>
        <w:spacing w:line="331" w:lineRule="auto"/>
        <w:rPr>
          <w:rFonts w:ascii="Arial"/>
          <w:sz w:val="21"/>
        </w:rPr>
      </w:pPr>
    </w:p>
    <w:p>
      <w:pPr>
        <w:spacing w:before="101" w:line="228" w:lineRule="auto"/>
        <w:ind w:left="262"/>
        <w:jc w:val="both"/>
        <w:rPr>
          <w:rFonts w:hint="eastAsia" w:ascii="Times New Roman" w:hAnsi="Times New Roman" w:eastAsia="黑体" w:cs="Times New Roman"/>
          <w:sz w:val="31"/>
          <w:szCs w:val="31"/>
          <w:lang w:eastAsia="zh-CN"/>
        </w:rPr>
      </w:pPr>
      <w:r>
        <w:rPr>
          <w:rFonts w:ascii="黑体" w:hAnsi="黑体" w:eastAsia="黑体" w:cs="黑体"/>
          <w:spacing w:val="-6"/>
          <w:sz w:val="31"/>
          <w:szCs w:val="31"/>
        </w:rPr>
        <w:t>附表</w:t>
      </w:r>
      <w:r>
        <w:rPr>
          <w:rFonts w:hint="eastAsia" w:ascii="黑体" w:hAnsi="黑体" w:eastAsia="黑体" w:cs="黑体"/>
          <w:spacing w:val="-67"/>
          <w:sz w:val="31"/>
          <w:szCs w:val="31"/>
          <w:lang w:val="en-US" w:eastAsia="zh-CN"/>
        </w:rPr>
        <w:t>3</w:t>
      </w:r>
    </w:p>
    <w:p>
      <w:pPr>
        <w:spacing w:line="254" w:lineRule="auto"/>
        <w:rPr>
          <w:rFonts w:ascii="Arial"/>
          <w:sz w:val="21"/>
        </w:rPr>
      </w:pPr>
    </w:p>
    <w:p>
      <w:pPr>
        <w:spacing w:line="255" w:lineRule="auto"/>
        <w:rPr>
          <w:rFonts w:ascii="Arial"/>
          <w:sz w:val="21"/>
        </w:rPr>
      </w:pPr>
    </w:p>
    <w:p>
      <w:pPr>
        <w:spacing w:before="139" w:line="259" w:lineRule="auto"/>
        <w:ind w:left="2348"/>
        <w:jc w:val="both"/>
        <w:rPr>
          <w:rFonts w:ascii="宋体" w:hAnsi="宋体" w:eastAsia="宋体" w:cs="宋体"/>
          <w:sz w:val="43"/>
          <w:szCs w:val="43"/>
        </w:rPr>
      </w:pPr>
      <w:r>
        <w:rPr>
          <w:rFonts w:ascii="Times New Roman" w:hAnsi="Times New Roman" w:eastAsia="Times New Roman" w:cs="Times New Roman"/>
          <w:spacing w:val="3"/>
          <w:sz w:val="43"/>
          <w:szCs w:val="43"/>
        </w:rPr>
        <w:t>20</w:t>
      </w:r>
      <w:r>
        <w:rPr>
          <w:rFonts w:ascii="Times New Roman" w:hAnsi="Times New Roman" w:eastAsia="Times New Roman" w:cs="Times New Roman"/>
          <w:spacing w:val="3"/>
          <w:sz w:val="43"/>
          <w:szCs w:val="43"/>
          <w:u w:val="single" w:color="auto"/>
        </w:rPr>
        <w:t xml:space="preserve">        </w:t>
      </w:r>
      <w:r>
        <w:rPr>
          <w:rFonts w:ascii="宋体" w:hAnsi="宋体" w:eastAsia="宋体" w:cs="宋体"/>
          <w:spacing w:val="3"/>
          <w:sz w:val="43"/>
          <w:szCs w:val="43"/>
          <w14:textOutline w14:w="6350" w14:cap="flat" w14:cmpd="sng">
            <w14:solidFill>
              <w14:srgbClr w14:val="000000"/>
            </w14:solidFill>
            <w14:prstDash w14:val="solid"/>
            <w14:miter w14:val="0"/>
          </w14:textOutline>
        </w:rPr>
        <w:t>年</w:t>
      </w:r>
      <w:r>
        <w:rPr>
          <w:rFonts w:hint="eastAsia" w:ascii="宋体" w:hAnsi="宋体" w:eastAsia="宋体" w:cs="宋体"/>
          <w:spacing w:val="3"/>
          <w:sz w:val="43"/>
          <w:szCs w:val="43"/>
          <w:lang w:eastAsia="zh-CN"/>
          <w14:textOutline w14:w="6350" w14:cap="flat" w14:cmpd="sng">
            <w14:solidFill>
              <w14:srgbClr w14:val="000000"/>
            </w14:solidFill>
            <w14:prstDash w14:val="solid"/>
            <w14:miter w14:val="0"/>
          </w14:textOutline>
        </w:rPr>
        <w:t>汕尾市</w:t>
      </w:r>
      <w:r>
        <w:rPr>
          <w:rFonts w:ascii="宋体" w:hAnsi="宋体" w:eastAsia="宋体" w:cs="宋体"/>
          <w:spacing w:val="3"/>
          <w:sz w:val="43"/>
          <w:szCs w:val="43"/>
          <w14:textOutline w14:w="6350" w14:cap="flat" w14:cmpd="sng">
            <w14:solidFill>
              <w14:srgbClr w14:val="000000"/>
            </w14:solidFill>
            <w14:prstDash w14:val="solid"/>
            <w14:miter w14:val="0"/>
          </w14:textOutline>
        </w:rPr>
        <w:t>职业技能竞赛获奖选手情况表</w:t>
      </w:r>
    </w:p>
    <w:p>
      <w:pPr>
        <w:spacing w:line="436" w:lineRule="auto"/>
        <w:rPr>
          <w:rFonts w:ascii="Arial"/>
          <w:sz w:val="21"/>
        </w:rPr>
      </w:pPr>
    </w:p>
    <w:p>
      <w:pPr>
        <w:pStyle w:val="4"/>
        <w:spacing w:before="91" w:line="212" w:lineRule="auto"/>
        <w:ind w:left="255"/>
        <w:rPr>
          <w:sz w:val="28"/>
          <w:szCs w:val="28"/>
        </w:rPr>
      </w:pPr>
      <w:r>
        <w:rPr>
          <w:spacing w:val="-6"/>
          <w:sz w:val="28"/>
          <w:szCs w:val="28"/>
        </w:rPr>
        <w:t>主办单位：                                                                         年</w:t>
      </w:r>
      <w:r>
        <w:rPr>
          <w:spacing w:val="3"/>
          <w:sz w:val="28"/>
          <w:szCs w:val="28"/>
        </w:rPr>
        <w:t xml:space="preserve">   </w:t>
      </w:r>
      <w:r>
        <w:rPr>
          <w:spacing w:val="-6"/>
          <w:sz w:val="28"/>
          <w:szCs w:val="28"/>
        </w:rPr>
        <w:t xml:space="preserve">月   </w:t>
      </w:r>
      <w:r>
        <w:rPr>
          <w:spacing w:val="-7"/>
          <w:sz w:val="28"/>
          <w:szCs w:val="28"/>
        </w:rPr>
        <w:t xml:space="preserve"> 日</w:t>
      </w:r>
    </w:p>
    <w:tbl>
      <w:tblPr>
        <w:tblStyle w:val="14"/>
        <w:tblW w:w="1361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0"/>
        <w:gridCol w:w="756"/>
        <w:gridCol w:w="1930"/>
        <w:gridCol w:w="1985"/>
        <w:gridCol w:w="1269"/>
        <w:gridCol w:w="1655"/>
        <w:gridCol w:w="1269"/>
        <w:gridCol w:w="1272"/>
        <w:gridCol w:w="1366"/>
        <w:gridCol w:w="116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40" w:type="dxa"/>
            <w:vAlign w:val="top"/>
          </w:tcPr>
          <w:p>
            <w:pPr>
              <w:spacing w:before="166" w:line="222" w:lineRule="auto"/>
              <w:ind w:left="123"/>
              <w:rPr>
                <w:rFonts w:ascii="黑体" w:hAnsi="黑体" w:eastAsia="黑体" w:cs="黑体"/>
                <w:sz w:val="24"/>
                <w:szCs w:val="24"/>
              </w:rPr>
            </w:pPr>
            <w:r>
              <w:rPr>
                <w:rFonts w:ascii="黑体" w:hAnsi="黑体" w:eastAsia="黑体" w:cs="黑体"/>
                <w:spacing w:val="-2"/>
                <w:sz w:val="24"/>
                <w:szCs w:val="24"/>
              </w:rPr>
              <w:t>姓  名</w:t>
            </w:r>
          </w:p>
        </w:tc>
        <w:tc>
          <w:tcPr>
            <w:tcW w:w="756" w:type="dxa"/>
            <w:vAlign w:val="top"/>
          </w:tcPr>
          <w:p>
            <w:pPr>
              <w:spacing w:before="165" w:line="222" w:lineRule="auto"/>
              <w:ind w:left="148"/>
              <w:rPr>
                <w:rFonts w:ascii="黑体" w:hAnsi="黑体" w:eastAsia="黑体" w:cs="黑体"/>
                <w:sz w:val="24"/>
                <w:szCs w:val="24"/>
              </w:rPr>
            </w:pPr>
            <w:r>
              <w:rPr>
                <w:rFonts w:ascii="黑体" w:hAnsi="黑体" w:eastAsia="黑体" w:cs="黑体"/>
                <w:spacing w:val="-5"/>
                <w:sz w:val="24"/>
                <w:szCs w:val="24"/>
              </w:rPr>
              <w:t>性别</w:t>
            </w:r>
          </w:p>
        </w:tc>
        <w:tc>
          <w:tcPr>
            <w:tcW w:w="1930" w:type="dxa"/>
            <w:vAlign w:val="top"/>
          </w:tcPr>
          <w:p>
            <w:pPr>
              <w:spacing w:before="165" w:line="222" w:lineRule="auto"/>
              <w:ind w:left="500"/>
              <w:rPr>
                <w:rFonts w:ascii="黑体" w:hAnsi="黑体" w:eastAsia="黑体" w:cs="黑体"/>
                <w:sz w:val="24"/>
                <w:szCs w:val="24"/>
              </w:rPr>
            </w:pPr>
            <w:r>
              <w:rPr>
                <w:rFonts w:ascii="黑体" w:hAnsi="黑体" w:eastAsia="黑体" w:cs="黑体"/>
                <w:spacing w:val="-5"/>
                <w:sz w:val="24"/>
                <w:szCs w:val="24"/>
              </w:rPr>
              <w:t>工作单位</w:t>
            </w:r>
          </w:p>
        </w:tc>
        <w:tc>
          <w:tcPr>
            <w:tcW w:w="1985" w:type="dxa"/>
            <w:vAlign w:val="top"/>
          </w:tcPr>
          <w:p>
            <w:pPr>
              <w:spacing w:before="166" w:line="221" w:lineRule="auto"/>
              <w:ind w:left="413"/>
              <w:rPr>
                <w:rFonts w:ascii="黑体" w:hAnsi="黑体" w:eastAsia="黑体" w:cs="黑体"/>
                <w:sz w:val="24"/>
                <w:szCs w:val="24"/>
              </w:rPr>
            </w:pPr>
            <w:r>
              <w:rPr>
                <w:rFonts w:ascii="黑体" w:hAnsi="黑体" w:eastAsia="黑体" w:cs="黑体"/>
                <w:spacing w:val="-6"/>
                <w:sz w:val="24"/>
                <w:szCs w:val="24"/>
              </w:rPr>
              <w:t>身份证号码</w:t>
            </w:r>
          </w:p>
        </w:tc>
        <w:tc>
          <w:tcPr>
            <w:tcW w:w="1269" w:type="dxa"/>
            <w:vAlign w:val="top"/>
          </w:tcPr>
          <w:p>
            <w:pPr>
              <w:spacing w:before="165" w:line="222" w:lineRule="auto"/>
              <w:ind w:left="173"/>
              <w:rPr>
                <w:rFonts w:ascii="黑体" w:hAnsi="黑体" w:eastAsia="黑体" w:cs="黑体"/>
                <w:sz w:val="24"/>
                <w:szCs w:val="24"/>
              </w:rPr>
            </w:pPr>
            <w:r>
              <w:rPr>
                <w:rFonts w:ascii="黑体" w:hAnsi="黑体" w:eastAsia="黑体" w:cs="黑体"/>
                <w:spacing w:val="-5"/>
                <w:sz w:val="24"/>
                <w:szCs w:val="24"/>
              </w:rPr>
              <w:t>联系电话</w:t>
            </w:r>
          </w:p>
        </w:tc>
        <w:tc>
          <w:tcPr>
            <w:tcW w:w="1655" w:type="dxa"/>
            <w:vAlign w:val="top"/>
          </w:tcPr>
          <w:p>
            <w:pPr>
              <w:spacing w:before="165" w:line="222" w:lineRule="auto"/>
              <w:ind w:left="364"/>
              <w:rPr>
                <w:rFonts w:ascii="黑体" w:hAnsi="黑体" w:eastAsia="黑体" w:cs="黑体"/>
                <w:sz w:val="24"/>
                <w:szCs w:val="24"/>
              </w:rPr>
            </w:pPr>
            <w:r>
              <w:rPr>
                <w:rFonts w:ascii="黑体" w:hAnsi="黑体" w:eastAsia="黑体" w:cs="黑体"/>
                <w:spacing w:val="-5"/>
                <w:sz w:val="24"/>
                <w:szCs w:val="24"/>
              </w:rPr>
              <w:t>竞赛项目</w:t>
            </w:r>
          </w:p>
        </w:tc>
        <w:tc>
          <w:tcPr>
            <w:tcW w:w="1269" w:type="dxa"/>
            <w:vAlign w:val="top"/>
          </w:tcPr>
          <w:p>
            <w:pPr>
              <w:spacing w:before="166" w:line="221" w:lineRule="auto"/>
              <w:ind w:left="171"/>
              <w:rPr>
                <w:rFonts w:ascii="黑体" w:hAnsi="黑体" w:eastAsia="黑体" w:cs="黑体"/>
                <w:sz w:val="24"/>
                <w:szCs w:val="24"/>
              </w:rPr>
            </w:pPr>
            <w:r>
              <w:rPr>
                <w:rFonts w:ascii="黑体" w:hAnsi="黑体" w:eastAsia="黑体" w:cs="黑体"/>
                <w:spacing w:val="-5"/>
                <w:sz w:val="24"/>
                <w:szCs w:val="24"/>
              </w:rPr>
              <w:t>竞赛级别</w:t>
            </w:r>
          </w:p>
        </w:tc>
        <w:tc>
          <w:tcPr>
            <w:tcW w:w="1272" w:type="dxa"/>
            <w:vAlign w:val="top"/>
          </w:tcPr>
          <w:p>
            <w:pPr>
              <w:spacing w:before="166" w:line="222" w:lineRule="auto"/>
              <w:ind w:left="174"/>
              <w:rPr>
                <w:rFonts w:ascii="黑体" w:hAnsi="黑体" w:eastAsia="黑体" w:cs="黑体"/>
                <w:sz w:val="24"/>
                <w:szCs w:val="24"/>
              </w:rPr>
            </w:pPr>
            <w:r>
              <w:rPr>
                <w:rFonts w:ascii="黑体" w:hAnsi="黑体" w:eastAsia="黑体" w:cs="黑体"/>
                <w:spacing w:val="-5"/>
                <w:sz w:val="24"/>
                <w:szCs w:val="24"/>
              </w:rPr>
              <w:t>决赛人数</w:t>
            </w:r>
          </w:p>
        </w:tc>
        <w:tc>
          <w:tcPr>
            <w:tcW w:w="1366" w:type="dxa"/>
            <w:vAlign w:val="top"/>
          </w:tcPr>
          <w:p>
            <w:pPr>
              <w:spacing w:before="165" w:line="222" w:lineRule="auto"/>
              <w:ind w:left="219"/>
              <w:rPr>
                <w:rFonts w:ascii="黑体" w:hAnsi="黑体" w:eastAsia="黑体" w:cs="黑体"/>
                <w:sz w:val="24"/>
                <w:szCs w:val="24"/>
              </w:rPr>
            </w:pPr>
            <w:r>
              <w:rPr>
                <w:rFonts w:ascii="黑体" w:hAnsi="黑体" w:eastAsia="黑体" w:cs="黑体"/>
                <w:spacing w:val="-5"/>
                <w:sz w:val="24"/>
                <w:szCs w:val="24"/>
              </w:rPr>
              <w:t>竞赛排名</w:t>
            </w:r>
          </w:p>
        </w:tc>
        <w:tc>
          <w:tcPr>
            <w:tcW w:w="1168" w:type="dxa"/>
            <w:vAlign w:val="top"/>
          </w:tcPr>
          <w:p>
            <w:pPr>
              <w:spacing w:before="165" w:line="222" w:lineRule="auto"/>
              <w:ind w:left="121"/>
              <w:rPr>
                <w:rFonts w:ascii="黑体" w:hAnsi="黑体" w:eastAsia="黑体" w:cs="黑体"/>
                <w:sz w:val="24"/>
                <w:szCs w:val="24"/>
              </w:rPr>
            </w:pPr>
            <w:r>
              <w:rPr>
                <w:rFonts w:ascii="黑体" w:hAnsi="黑体" w:eastAsia="黑体" w:cs="黑体"/>
                <w:spacing w:val="-5"/>
                <w:sz w:val="24"/>
                <w:szCs w:val="24"/>
              </w:rPr>
              <w:t>竞赛时间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940" w:type="dxa"/>
            <w:vAlign w:val="top"/>
          </w:tcPr>
          <w:p>
            <w:pPr>
              <w:rPr>
                <w:rFonts w:ascii="Arial"/>
                <w:sz w:val="21"/>
              </w:rPr>
            </w:pPr>
          </w:p>
        </w:tc>
        <w:tc>
          <w:tcPr>
            <w:tcW w:w="756" w:type="dxa"/>
            <w:vAlign w:val="top"/>
          </w:tcPr>
          <w:p>
            <w:pPr>
              <w:rPr>
                <w:rFonts w:ascii="Arial"/>
                <w:sz w:val="21"/>
              </w:rPr>
            </w:pPr>
          </w:p>
        </w:tc>
        <w:tc>
          <w:tcPr>
            <w:tcW w:w="1930" w:type="dxa"/>
            <w:vAlign w:val="top"/>
          </w:tcPr>
          <w:p>
            <w:pPr>
              <w:rPr>
                <w:rFonts w:ascii="Arial"/>
                <w:sz w:val="21"/>
              </w:rPr>
            </w:pPr>
          </w:p>
        </w:tc>
        <w:tc>
          <w:tcPr>
            <w:tcW w:w="1985" w:type="dxa"/>
            <w:vAlign w:val="top"/>
          </w:tcPr>
          <w:p>
            <w:pPr>
              <w:rPr>
                <w:rFonts w:ascii="Arial"/>
                <w:sz w:val="21"/>
              </w:rPr>
            </w:pPr>
          </w:p>
        </w:tc>
        <w:tc>
          <w:tcPr>
            <w:tcW w:w="1269" w:type="dxa"/>
            <w:vAlign w:val="top"/>
          </w:tcPr>
          <w:p>
            <w:pPr>
              <w:rPr>
                <w:rFonts w:ascii="Arial"/>
                <w:sz w:val="21"/>
              </w:rPr>
            </w:pPr>
          </w:p>
        </w:tc>
        <w:tc>
          <w:tcPr>
            <w:tcW w:w="1655" w:type="dxa"/>
            <w:vAlign w:val="top"/>
          </w:tcPr>
          <w:p>
            <w:pPr>
              <w:rPr>
                <w:rFonts w:ascii="Arial"/>
                <w:sz w:val="21"/>
              </w:rPr>
            </w:pPr>
          </w:p>
        </w:tc>
        <w:tc>
          <w:tcPr>
            <w:tcW w:w="1269" w:type="dxa"/>
            <w:vAlign w:val="top"/>
          </w:tcPr>
          <w:p>
            <w:pPr>
              <w:rPr>
                <w:rFonts w:ascii="Arial"/>
                <w:sz w:val="21"/>
              </w:rPr>
            </w:pPr>
          </w:p>
        </w:tc>
        <w:tc>
          <w:tcPr>
            <w:tcW w:w="1272" w:type="dxa"/>
            <w:vAlign w:val="top"/>
          </w:tcPr>
          <w:p>
            <w:pPr>
              <w:rPr>
                <w:rFonts w:ascii="Arial"/>
                <w:sz w:val="21"/>
              </w:rPr>
            </w:pPr>
          </w:p>
        </w:tc>
        <w:tc>
          <w:tcPr>
            <w:tcW w:w="1366" w:type="dxa"/>
            <w:vAlign w:val="top"/>
          </w:tcPr>
          <w:p>
            <w:pPr>
              <w:rPr>
                <w:rFonts w:ascii="Arial"/>
                <w:sz w:val="21"/>
              </w:rPr>
            </w:pPr>
          </w:p>
        </w:tc>
        <w:tc>
          <w:tcPr>
            <w:tcW w:w="116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940" w:type="dxa"/>
            <w:vAlign w:val="top"/>
          </w:tcPr>
          <w:p>
            <w:pPr>
              <w:rPr>
                <w:rFonts w:ascii="Arial"/>
                <w:sz w:val="21"/>
              </w:rPr>
            </w:pPr>
          </w:p>
        </w:tc>
        <w:tc>
          <w:tcPr>
            <w:tcW w:w="756" w:type="dxa"/>
            <w:vAlign w:val="top"/>
          </w:tcPr>
          <w:p>
            <w:pPr>
              <w:rPr>
                <w:rFonts w:ascii="Arial"/>
                <w:sz w:val="21"/>
              </w:rPr>
            </w:pPr>
          </w:p>
        </w:tc>
        <w:tc>
          <w:tcPr>
            <w:tcW w:w="1930" w:type="dxa"/>
            <w:vAlign w:val="top"/>
          </w:tcPr>
          <w:p>
            <w:pPr>
              <w:rPr>
                <w:rFonts w:ascii="Arial"/>
                <w:sz w:val="21"/>
              </w:rPr>
            </w:pPr>
          </w:p>
        </w:tc>
        <w:tc>
          <w:tcPr>
            <w:tcW w:w="1985" w:type="dxa"/>
            <w:vAlign w:val="top"/>
          </w:tcPr>
          <w:p>
            <w:pPr>
              <w:rPr>
                <w:rFonts w:ascii="Arial"/>
                <w:sz w:val="21"/>
              </w:rPr>
            </w:pPr>
          </w:p>
        </w:tc>
        <w:tc>
          <w:tcPr>
            <w:tcW w:w="1269" w:type="dxa"/>
            <w:vAlign w:val="top"/>
          </w:tcPr>
          <w:p>
            <w:pPr>
              <w:rPr>
                <w:rFonts w:ascii="Arial"/>
                <w:sz w:val="21"/>
              </w:rPr>
            </w:pPr>
          </w:p>
        </w:tc>
        <w:tc>
          <w:tcPr>
            <w:tcW w:w="1655" w:type="dxa"/>
            <w:vAlign w:val="top"/>
          </w:tcPr>
          <w:p>
            <w:pPr>
              <w:rPr>
                <w:rFonts w:ascii="Arial"/>
                <w:sz w:val="21"/>
              </w:rPr>
            </w:pPr>
          </w:p>
        </w:tc>
        <w:tc>
          <w:tcPr>
            <w:tcW w:w="1269" w:type="dxa"/>
            <w:vAlign w:val="top"/>
          </w:tcPr>
          <w:p>
            <w:pPr>
              <w:rPr>
                <w:rFonts w:ascii="Arial"/>
                <w:sz w:val="21"/>
              </w:rPr>
            </w:pPr>
          </w:p>
        </w:tc>
        <w:tc>
          <w:tcPr>
            <w:tcW w:w="1272" w:type="dxa"/>
            <w:vAlign w:val="top"/>
          </w:tcPr>
          <w:p>
            <w:pPr>
              <w:rPr>
                <w:rFonts w:ascii="Arial"/>
                <w:sz w:val="21"/>
              </w:rPr>
            </w:pPr>
          </w:p>
        </w:tc>
        <w:tc>
          <w:tcPr>
            <w:tcW w:w="1366" w:type="dxa"/>
            <w:vAlign w:val="top"/>
          </w:tcPr>
          <w:p>
            <w:pPr>
              <w:rPr>
                <w:rFonts w:ascii="Arial"/>
                <w:sz w:val="21"/>
              </w:rPr>
            </w:pPr>
          </w:p>
        </w:tc>
        <w:tc>
          <w:tcPr>
            <w:tcW w:w="116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940" w:type="dxa"/>
            <w:vAlign w:val="top"/>
          </w:tcPr>
          <w:p>
            <w:pPr>
              <w:rPr>
                <w:rFonts w:ascii="Arial"/>
                <w:sz w:val="21"/>
              </w:rPr>
            </w:pPr>
          </w:p>
        </w:tc>
        <w:tc>
          <w:tcPr>
            <w:tcW w:w="756" w:type="dxa"/>
            <w:vAlign w:val="top"/>
          </w:tcPr>
          <w:p>
            <w:pPr>
              <w:rPr>
                <w:rFonts w:ascii="Arial"/>
                <w:sz w:val="21"/>
              </w:rPr>
            </w:pPr>
          </w:p>
        </w:tc>
        <w:tc>
          <w:tcPr>
            <w:tcW w:w="1930" w:type="dxa"/>
            <w:vAlign w:val="top"/>
          </w:tcPr>
          <w:p>
            <w:pPr>
              <w:rPr>
                <w:rFonts w:ascii="Arial"/>
                <w:sz w:val="21"/>
              </w:rPr>
            </w:pPr>
          </w:p>
        </w:tc>
        <w:tc>
          <w:tcPr>
            <w:tcW w:w="1985" w:type="dxa"/>
            <w:vAlign w:val="top"/>
          </w:tcPr>
          <w:p>
            <w:pPr>
              <w:rPr>
                <w:rFonts w:ascii="Arial"/>
                <w:sz w:val="21"/>
              </w:rPr>
            </w:pPr>
          </w:p>
        </w:tc>
        <w:tc>
          <w:tcPr>
            <w:tcW w:w="1269" w:type="dxa"/>
            <w:vAlign w:val="top"/>
          </w:tcPr>
          <w:p>
            <w:pPr>
              <w:rPr>
                <w:rFonts w:ascii="Arial"/>
                <w:sz w:val="21"/>
              </w:rPr>
            </w:pPr>
          </w:p>
        </w:tc>
        <w:tc>
          <w:tcPr>
            <w:tcW w:w="1655" w:type="dxa"/>
            <w:vAlign w:val="top"/>
          </w:tcPr>
          <w:p>
            <w:pPr>
              <w:rPr>
                <w:rFonts w:ascii="Arial"/>
                <w:sz w:val="21"/>
              </w:rPr>
            </w:pPr>
          </w:p>
        </w:tc>
        <w:tc>
          <w:tcPr>
            <w:tcW w:w="1269" w:type="dxa"/>
            <w:vAlign w:val="top"/>
          </w:tcPr>
          <w:p>
            <w:pPr>
              <w:rPr>
                <w:rFonts w:ascii="Arial"/>
                <w:sz w:val="21"/>
              </w:rPr>
            </w:pPr>
          </w:p>
        </w:tc>
        <w:tc>
          <w:tcPr>
            <w:tcW w:w="1272" w:type="dxa"/>
            <w:vAlign w:val="top"/>
          </w:tcPr>
          <w:p>
            <w:pPr>
              <w:rPr>
                <w:rFonts w:ascii="Arial"/>
                <w:sz w:val="21"/>
              </w:rPr>
            </w:pPr>
          </w:p>
        </w:tc>
        <w:tc>
          <w:tcPr>
            <w:tcW w:w="1366" w:type="dxa"/>
            <w:vAlign w:val="top"/>
          </w:tcPr>
          <w:p>
            <w:pPr>
              <w:rPr>
                <w:rFonts w:ascii="Arial"/>
                <w:sz w:val="21"/>
              </w:rPr>
            </w:pPr>
          </w:p>
        </w:tc>
        <w:tc>
          <w:tcPr>
            <w:tcW w:w="116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940" w:type="dxa"/>
            <w:vAlign w:val="top"/>
          </w:tcPr>
          <w:p>
            <w:pPr>
              <w:rPr>
                <w:rFonts w:ascii="Arial"/>
                <w:sz w:val="21"/>
              </w:rPr>
            </w:pPr>
          </w:p>
        </w:tc>
        <w:tc>
          <w:tcPr>
            <w:tcW w:w="756" w:type="dxa"/>
            <w:vAlign w:val="top"/>
          </w:tcPr>
          <w:p>
            <w:pPr>
              <w:rPr>
                <w:rFonts w:ascii="Arial"/>
                <w:sz w:val="21"/>
              </w:rPr>
            </w:pPr>
          </w:p>
        </w:tc>
        <w:tc>
          <w:tcPr>
            <w:tcW w:w="1930" w:type="dxa"/>
            <w:vAlign w:val="top"/>
          </w:tcPr>
          <w:p>
            <w:pPr>
              <w:rPr>
                <w:rFonts w:ascii="Arial"/>
                <w:sz w:val="21"/>
              </w:rPr>
            </w:pPr>
          </w:p>
        </w:tc>
        <w:tc>
          <w:tcPr>
            <w:tcW w:w="1985" w:type="dxa"/>
            <w:vAlign w:val="top"/>
          </w:tcPr>
          <w:p>
            <w:pPr>
              <w:rPr>
                <w:rFonts w:ascii="Arial"/>
                <w:sz w:val="21"/>
              </w:rPr>
            </w:pPr>
          </w:p>
        </w:tc>
        <w:tc>
          <w:tcPr>
            <w:tcW w:w="1269" w:type="dxa"/>
            <w:vAlign w:val="top"/>
          </w:tcPr>
          <w:p>
            <w:pPr>
              <w:rPr>
                <w:rFonts w:ascii="Arial"/>
                <w:sz w:val="21"/>
              </w:rPr>
            </w:pPr>
          </w:p>
        </w:tc>
        <w:tc>
          <w:tcPr>
            <w:tcW w:w="1655" w:type="dxa"/>
            <w:vAlign w:val="top"/>
          </w:tcPr>
          <w:p>
            <w:pPr>
              <w:rPr>
                <w:rFonts w:ascii="Arial"/>
                <w:sz w:val="21"/>
              </w:rPr>
            </w:pPr>
          </w:p>
        </w:tc>
        <w:tc>
          <w:tcPr>
            <w:tcW w:w="1269" w:type="dxa"/>
            <w:vAlign w:val="top"/>
          </w:tcPr>
          <w:p>
            <w:pPr>
              <w:rPr>
                <w:rFonts w:ascii="Arial"/>
                <w:sz w:val="21"/>
              </w:rPr>
            </w:pPr>
          </w:p>
        </w:tc>
        <w:tc>
          <w:tcPr>
            <w:tcW w:w="1272" w:type="dxa"/>
            <w:vAlign w:val="top"/>
          </w:tcPr>
          <w:p>
            <w:pPr>
              <w:rPr>
                <w:rFonts w:ascii="Arial"/>
                <w:sz w:val="21"/>
              </w:rPr>
            </w:pPr>
          </w:p>
        </w:tc>
        <w:tc>
          <w:tcPr>
            <w:tcW w:w="1366" w:type="dxa"/>
            <w:vAlign w:val="top"/>
          </w:tcPr>
          <w:p>
            <w:pPr>
              <w:rPr>
                <w:rFonts w:ascii="Arial"/>
                <w:sz w:val="21"/>
              </w:rPr>
            </w:pPr>
          </w:p>
        </w:tc>
        <w:tc>
          <w:tcPr>
            <w:tcW w:w="116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940" w:type="dxa"/>
            <w:vAlign w:val="top"/>
          </w:tcPr>
          <w:p>
            <w:pPr>
              <w:rPr>
                <w:rFonts w:ascii="Arial"/>
                <w:sz w:val="21"/>
              </w:rPr>
            </w:pPr>
          </w:p>
        </w:tc>
        <w:tc>
          <w:tcPr>
            <w:tcW w:w="756" w:type="dxa"/>
            <w:vAlign w:val="top"/>
          </w:tcPr>
          <w:p>
            <w:pPr>
              <w:rPr>
                <w:rFonts w:ascii="Arial"/>
                <w:sz w:val="21"/>
              </w:rPr>
            </w:pPr>
          </w:p>
        </w:tc>
        <w:tc>
          <w:tcPr>
            <w:tcW w:w="1930" w:type="dxa"/>
            <w:vAlign w:val="top"/>
          </w:tcPr>
          <w:p>
            <w:pPr>
              <w:rPr>
                <w:rFonts w:ascii="Arial"/>
                <w:sz w:val="21"/>
              </w:rPr>
            </w:pPr>
          </w:p>
        </w:tc>
        <w:tc>
          <w:tcPr>
            <w:tcW w:w="1985" w:type="dxa"/>
            <w:vAlign w:val="top"/>
          </w:tcPr>
          <w:p>
            <w:pPr>
              <w:rPr>
                <w:rFonts w:ascii="Arial"/>
                <w:sz w:val="21"/>
              </w:rPr>
            </w:pPr>
          </w:p>
        </w:tc>
        <w:tc>
          <w:tcPr>
            <w:tcW w:w="1269" w:type="dxa"/>
            <w:vAlign w:val="top"/>
          </w:tcPr>
          <w:p>
            <w:pPr>
              <w:rPr>
                <w:rFonts w:ascii="Arial"/>
                <w:sz w:val="21"/>
              </w:rPr>
            </w:pPr>
          </w:p>
        </w:tc>
        <w:tc>
          <w:tcPr>
            <w:tcW w:w="1655" w:type="dxa"/>
            <w:vAlign w:val="top"/>
          </w:tcPr>
          <w:p>
            <w:pPr>
              <w:rPr>
                <w:rFonts w:ascii="Arial"/>
                <w:sz w:val="21"/>
              </w:rPr>
            </w:pPr>
          </w:p>
        </w:tc>
        <w:tc>
          <w:tcPr>
            <w:tcW w:w="1269" w:type="dxa"/>
            <w:vAlign w:val="top"/>
          </w:tcPr>
          <w:p>
            <w:pPr>
              <w:rPr>
                <w:rFonts w:ascii="Arial"/>
                <w:sz w:val="21"/>
              </w:rPr>
            </w:pPr>
          </w:p>
        </w:tc>
        <w:tc>
          <w:tcPr>
            <w:tcW w:w="1272" w:type="dxa"/>
            <w:vAlign w:val="top"/>
          </w:tcPr>
          <w:p>
            <w:pPr>
              <w:rPr>
                <w:rFonts w:ascii="Arial"/>
                <w:sz w:val="21"/>
              </w:rPr>
            </w:pPr>
          </w:p>
        </w:tc>
        <w:tc>
          <w:tcPr>
            <w:tcW w:w="1366" w:type="dxa"/>
            <w:vAlign w:val="top"/>
          </w:tcPr>
          <w:p>
            <w:pPr>
              <w:rPr>
                <w:rFonts w:ascii="Arial"/>
                <w:sz w:val="21"/>
              </w:rPr>
            </w:pPr>
          </w:p>
        </w:tc>
        <w:tc>
          <w:tcPr>
            <w:tcW w:w="1168" w:type="dxa"/>
            <w:vAlign w:val="top"/>
          </w:tcPr>
          <w:p>
            <w:pPr>
              <w:rPr>
                <w:rFonts w:ascii="Arial"/>
                <w:sz w:val="21"/>
              </w:rPr>
            </w:pPr>
          </w:p>
        </w:tc>
      </w:tr>
    </w:tbl>
    <w:p>
      <w:pPr>
        <w:rPr>
          <w:rFonts w:ascii="Arial"/>
          <w:sz w:val="21"/>
        </w:rPr>
      </w:pPr>
    </w:p>
    <w:p>
      <w:pPr>
        <w:spacing w:line="62" w:lineRule="exact"/>
      </w:pPr>
    </w:p>
    <w:p>
      <w:pPr>
        <w:spacing w:line="62" w:lineRule="exact"/>
        <w:sectPr>
          <w:footerReference r:id="rId5" w:type="default"/>
          <w:pgSz w:w="16839" w:h="11906"/>
          <w:pgMar w:top="1012" w:right="1753" w:bottom="1376" w:left="1469" w:header="0" w:footer="1123" w:gutter="0"/>
          <w:cols w:equalWidth="0" w:num="1">
            <w:col w:w="13616"/>
          </w:cols>
        </w:sectPr>
      </w:pPr>
    </w:p>
    <w:p>
      <w:pPr>
        <w:pStyle w:val="4"/>
        <w:spacing w:before="57" w:line="184" w:lineRule="auto"/>
        <w:ind w:left="792"/>
        <w:rPr>
          <w:sz w:val="28"/>
          <w:szCs w:val="28"/>
        </w:rPr>
      </w:pPr>
      <w:r>
        <w:rPr>
          <w:spacing w:val="-6"/>
          <w:sz w:val="28"/>
          <w:szCs w:val="28"/>
        </w:rPr>
        <w:t>填表人：</w:t>
      </w:r>
    </w:p>
    <w:p>
      <w:pPr>
        <w:spacing w:line="14" w:lineRule="auto"/>
        <w:rPr>
          <w:rFonts w:ascii="Arial"/>
          <w:sz w:val="2"/>
        </w:rPr>
      </w:pPr>
      <w:r>
        <w:rPr>
          <w:rFonts w:ascii="Arial" w:hAnsi="Arial" w:eastAsia="Arial" w:cs="Arial"/>
          <w:sz w:val="2"/>
          <w:szCs w:val="2"/>
        </w:rPr>
        <w:br w:type="column"/>
      </w:r>
    </w:p>
    <w:p>
      <w:pPr>
        <w:pStyle w:val="4"/>
        <w:spacing w:before="56" w:line="184" w:lineRule="auto"/>
        <w:rPr>
          <w:sz w:val="28"/>
          <w:szCs w:val="28"/>
        </w:rPr>
        <w:sectPr>
          <w:type w:val="continuous"/>
          <w:pgSz w:w="16839" w:h="11906"/>
          <w:pgMar w:top="1012" w:right="1753" w:bottom="1376" w:left="1469" w:header="0" w:footer="1123" w:gutter="0"/>
          <w:cols w:equalWidth="0" w:num="2">
            <w:col w:w="4267" w:space="100"/>
            <w:col w:w="9250"/>
          </w:cols>
        </w:sectPr>
      </w:pPr>
      <w:r>
        <w:rPr>
          <w:spacing w:val="-5"/>
          <w:sz w:val="28"/>
          <w:szCs w:val="28"/>
        </w:rPr>
        <w:t>联系电话：</w:t>
      </w:r>
    </w:p>
    <w:p>
      <w:pPr>
        <w:keepNext w:val="0"/>
        <w:keepLines w:val="0"/>
        <w:widowControl/>
        <w:suppressLineNumbers w:val="0"/>
        <w:jc w:val="left"/>
        <w:rPr>
          <w:rFonts w:hint="eastAsia" w:ascii="仿宋" w:hAnsi="仿宋" w:eastAsia="仿宋" w:cs="仿宋"/>
          <w:color w:val="000000" w:themeColor="text1"/>
          <w:kern w:val="0"/>
          <w:sz w:val="32"/>
          <w:szCs w:val="32"/>
          <w:lang w:val="en-US" w:eastAsia="zh-CN" w:bidi="ar"/>
          <w14:textFill>
            <w14:solidFill>
              <w14:schemeClr w14:val="tx1"/>
            </w14:solidFill>
          </w14:textFill>
        </w:rPr>
      </w:pPr>
    </w:p>
    <w:sectPr>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74" w:lineRule="auto"/>
      <w:ind w:left="4402"/>
      <w:rPr>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74" w:lineRule="auto"/>
      <w:ind w:left="7025"/>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ind w:left="6316"/>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C947BA"/>
    <w:multiLevelType w:val="singleLevel"/>
    <w:tmpl w:val="36C947BA"/>
    <w:lvl w:ilvl="0" w:tentative="0">
      <w:start w:val="6"/>
      <w:numFmt w:val="chineseCounting"/>
      <w:suff w:val="nothing"/>
      <w:lvlText w:val="（%1）"/>
      <w:lvlJc w:val="left"/>
      <w:rPr>
        <w:rFonts w:hint="eastAsia"/>
      </w:rPr>
    </w:lvl>
  </w:abstractNum>
  <w:abstractNum w:abstractNumId="1">
    <w:nsid w:val="50960BAC"/>
    <w:multiLevelType w:val="singleLevel"/>
    <w:tmpl w:val="50960BAC"/>
    <w:lvl w:ilvl="0" w:tentative="0">
      <w:start w:val="7"/>
      <w:numFmt w:val="chineseCounting"/>
      <w:suff w:val="space"/>
      <w:lvlText w:val="第%1条"/>
      <w:lvlJc w:val="left"/>
      <w:rPr>
        <w:rFonts w:hint="eastAsia"/>
        <w:b/>
        <w:bCs/>
      </w:rPr>
    </w:lvl>
  </w:abstractNum>
  <w:abstractNum w:abstractNumId="2">
    <w:nsid w:val="77FE2DF9"/>
    <w:multiLevelType w:val="singleLevel"/>
    <w:tmpl w:val="77FE2DF9"/>
    <w:lvl w:ilvl="0" w:tentative="0">
      <w:start w:val="4"/>
      <w:numFmt w:val="chineseCounting"/>
      <w:suff w:val="space"/>
      <w:lvlText w:val="第%1章"/>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22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yNzkwNjk2MWJjN2NlYjAwYzAzODA3MjY2YmQzY2EifQ=="/>
  </w:docVars>
  <w:rsids>
    <w:rsidRoot w:val="35A8479B"/>
    <w:rsid w:val="04E43544"/>
    <w:rsid w:val="07346F7A"/>
    <w:rsid w:val="07B436A2"/>
    <w:rsid w:val="087846CF"/>
    <w:rsid w:val="08E41D65"/>
    <w:rsid w:val="093C2E85"/>
    <w:rsid w:val="094B1A31"/>
    <w:rsid w:val="09A84FAC"/>
    <w:rsid w:val="0C574081"/>
    <w:rsid w:val="0E7A5D88"/>
    <w:rsid w:val="11E952DA"/>
    <w:rsid w:val="129B4C42"/>
    <w:rsid w:val="143D2059"/>
    <w:rsid w:val="172942C8"/>
    <w:rsid w:val="18C82121"/>
    <w:rsid w:val="19406B43"/>
    <w:rsid w:val="1ACD2659"/>
    <w:rsid w:val="1D091942"/>
    <w:rsid w:val="1D596764"/>
    <w:rsid w:val="1EAE09F3"/>
    <w:rsid w:val="1FBB5338"/>
    <w:rsid w:val="20427645"/>
    <w:rsid w:val="229E7EE0"/>
    <w:rsid w:val="22CD648E"/>
    <w:rsid w:val="24823981"/>
    <w:rsid w:val="25987D07"/>
    <w:rsid w:val="26E75939"/>
    <w:rsid w:val="2C2916B9"/>
    <w:rsid w:val="2DC21DC5"/>
    <w:rsid w:val="32FF13C6"/>
    <w:rsid w:val="33363F25"/>
    <w:rsid w:val="35A8479B"/>
    <w:rsid w:val="365322E1"/>
    <w:rsid w:val="36CA5847"/>
    <w:rsid w:val="392F7661"/>
    <w:rsid w:val="39A424E3"/>
    <w:rsid w:val="3E23065E"/>
    <w:rsid w:val="3E5527E2"/>
    <w:rsid w:val="409E3FCC"/>
    <w:rsid w:val="41BD2B78"/>
    <w:rsid w:val="428A2502"/>
    <w:rsid w:val="42997141"/>
    <w:rsid w:val="469D2F78"/>
    <w:rsid w:val="476D294A"/>
    <w:rsid w:val="49793F77"/>
    <w:rsid w:val="498B5309"/>
    <w:rsid w:val="4A062F1F"/>
    <w:rsid w:val="4BA32DDE"/>
    <w:rsid w:val="4E9D48E2"/>
    <w:rsid w:val="4FD01CC8"/>
    <w:rsid w:val="50FE3323"/>
    <w:rsid w:val="548F2152"/>
    <w:rsid w:val="55855303"/>
    <w:rsid w:val="57CA16F3"/>
    <w:rsid w:val="58A0471B"/>
    <w:rsid w:val="58C3061C"/>
    <w:rsid w:val="5A5624C4"/>
    <w:rsid w:val="65750EF0"/>
    <w:rsid w:val="660F1D70"/>
    <w:rsid w:val="67D068B1"/>
    <w:rsid w:val="68594AF9"/>
    <w:rsid w:val="68A044D6"/>
    <w:rsid w:val="690F26DC"/>
    <w:rsid w:val="69342E70"/>
    <w:rsid w:val="6B637A3C"/>
    <w:rsid w:val="6DF64B98"/>
    <w:rsid w:val="6E11552E"/>
    <w:rsid w:val="6EC72090"/>
    <w:rsid w:val="6F6D70DC"/>
    <w:rsid w:val="700D379D"/>
    <w:rsid w:val="70561B3E"/>
    <w:rsid w:val="727F5CBC"/>
    <w:rsid w:val="74272ABF"/>
    <w:rsid w:val="76E5061D"/>
    <w:rsid w:val="76F04BF6"/>
    <w:rsid w:val="7859644F"/>
    <w:rsid w:val="792F39E5"/>
    <w:rsid w:val="793F5645"/>
    <w:rsid w:val="79B24069"/>
    <w:rsid w:val="79E61F64"/>
    <w:rsid w:val="7A680BCB"/>
    <w:rsid w:val="7B0B7A4F"/>
    <w:rsid w:val="7B841A35"/>
    <w:rsid w:val="7E5443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center"/>
    </w:pPr>
    <w:rPr>
      <w:rFonts w:ascii="仿宋_GB2312" w:hAnsi="Calibri" w:eastAsia="仿宋_GB2312" w:cs="宋体"/>
      <w:color w:val="000000" w:themeColor="text1"/>
      <w:kern w:val="2"/>
      <w:sz w:val="32"/>
      <w:szCs w:val="32"/>
      <w:lang w:val="en-US" w:eastAsia="zh-CN" w:bidi="ar-SA"/>
      <w14:textFill>
        <w14:solidFill>
          <w14:schemeClr w14:val="tx1"/>
        </w14:solidFill>
      </w14:textFill>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4">
    <w:name w:val="Body Text"/>
    <w:basedOn w:val="1"/>
    <w:autoRedefine/>
    <w:semiHidden/>
    <w:qFormat/>
    <w:uiPriority w:val="0"/>
    <w:rPr>
      <w:rFonts w:ascii="仿宋" w:hAnsi="仿宋" w:eastAsia="仿宋" w:cs="仿宋"/>
      <w:sz w:val="31"/>
      <w:szCs w:val="31"/>
      <w:lang w:val="en-US" w:eastAsia="en-US" w:bidi="ar-SA"/>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10">
    <w:name w:val="Strong"/>
    <w:basedOn w:val="9"/>
    <w:autoRedefine/>
    <w:qFormat/>
    <w:uiPriority w:val="0"/>
    <w:rPr>
      <w:b/>
    </w:rPr>
  </w:style>
  <w:style w:type="character" w:styleId="11">
    <w:name w:val="FollowedHyperlink"/>
    <w:basedOn w:val="9"/>
    <w:autoRedefine/>
    <w:qFormat/>
    <w:uiPriority w:val="0"/>
    <w:rPr>
      <w:color w:val="800080"/>
      <w:u w:val="none"/>
    </w:rPr>
  </w:style>
  <w:style w:type="character" w:styleId="12">
    <w:name w:val="Hyperlink"/>
    <w:basedOn w:val="9"/>
    <w:autoRedefine/>
    <w:qFormat/>
    <w:uiPriority w:val="0"/>
    <w:rPr>
      <w:color w:val="0000FF"/>
      <w:u w:val="none"/>
    </w:rPr>
  </w:style>
  <w:style w:type="paragraph" w:customStyle="1" w:styleId="13">
    <w:name w:val="Table Text"/>
    <w:basedOn w:val="1"/>
    <w:autoRedefine/>
    <w:semiHidden/>
    <w:qFormat/>
    <w:uiPriority w:val="0"/>
    <w:rPr>
      <w:rFonts w:ascii="仿宋" w:hAnsi="仿宋" w:eastAsia="仿宋" w:cs="仿宋"/>
      <w:sz w:val="28"/>
      <w:szCs w:val="28"/>
      <w:lang w:val="en-US" w:eastAsia="en-US" w:bidi="ar-SA"/>
    </w:rPr>
  </w:style>
  <w:style w:type="table" w:customStyle="1" w:styleId="14">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34</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2024-04-10T02:38:00Z</dcterms:created>
  <dc:creator>Administrator</dc:creator>
  <cp:lastModifiedBy>敏</cp:lastModifiedBy>
  <cp:lastPrinted>2024-04-18T04:02:00Z</cp:lastPrinted>
  <dcterms:modified xsi:type="dcterms:W3CDTF">2024-04-26T07:42:16Z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F99218911AAF47E68A412D525E19CDB5_13</vt:lpwstr>
  </property>
</Properties>
</file>