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汕尾市气象灾害防御规定</w:t>
      </w:r>
    </w:p>
    <w:p>
      <w:pPr>
        <w:pStyle w:val="11"/>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（2024年3月3日汕尾市人民政府令第12号公布 自2024年5月1日起施行）</w:t>
      </w:r>
    </w:p>
    <w:p>
      <w:pPr>
        <w:pStyle w:val="11"/>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157" w:beforeLines="50"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第一条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为了加强气象灾害防御，避免、减轻气象灾害造成的损失，保障人民生命和财产安全，根据《中华人民共和国气象法》《气象灾害防御条例》《广东省气象灾害防御条例》等</w:t>
      </w:r>
      <w:r>
        <w:rPr>
          <w:rFonts w:hint="eastAsia" w:ascii="仿宋" w:hAnsi="仿宋" w:eastAsia="仿宋" w:cs="仿宋"/>
          <w:b w:val="0"/>
          <w:bCs w:val="0"/>
          <w:color w:val="auto"/>
          <w:kern w:val="0"/>
          <w:sz w:val="32"/>
          <w:szCs w:val="32"/>
          <w:highlight w:val="none"/>
          <w:u w:val="none"/>
          <w:lang w:val="en-US" w:eastAsia="zh-CN"/>
        </w:rPr>
        <w:t>有关</w:t>
      </w:r>
      <w:r>
        <w:rPr>
          <w:rFonts w:hint="eastAsia" w:ascii="仿宋" w:hAnsi="仿宋" w:eastAsia="仿宋" w:cs="仿宋"/>
          <w:b w:val="0"/>
          <w:bCs w:val="0"/>
          <w:color w:val="auto"/>
          <w:kern w:val="0"/>
          <w:sz w:val="32"/>
          <w:szCs w:val="32"/>
          <w:highlight w:val="none"/>
          <w:u w:val="none"/>
        </w:rPr>
        <w:t>法律</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法规，结合本市实际，制定本规定。</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第二条</w:t>
      </w:r>
      <w:r>
        <w:rPr>
          <w:rFonts w:hint="eastAsia" w:ascii="仿宋" w:hAnsi="仿宋" w:eastAsia="仿宋" w:cs="仿宋"/>
          <w:b w:val="0"/>
          <w:bCs w:val="0"/>
          <w:color w:val="auto"/>
          <w:kern w:val="0"/>
          <w:sz w:val="32"/>
          <w:szCs w:val="32"/>
          <w:highlight w:val="none"/>
          <w:u w:val="none"/>
          <w:lang w:val="en-US" w:eastAsia="zh-CN"/>
        </w:rPr>
        <w:t xml:space="preserve">  本规定适用于本市行政区域和管辖海域内的气象灾害防御活动。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firstLine="640" w:firstLineChars="200"/>
        <w:jc w:val="both"/>
        <w:textAlignment w:val="auto"/>
        <w:rPr>
          <w:rFonts w:hint="eastAsia" w:ascii="仿宋" w:hAnsi="仿宋" w:eastAsia="仿宋" w:cs="仿宋"/>
          <w:b w:val="0"/>
          <w:bCs w:val="0"/>
          <w:color w:val="auto"/>
          <w:kern w:val="0"/>
          <w:sz w:val="32"/>
          <w:szCs w:val="32"/>
          <w:highlight w:val="none"/>
          <w:u w:val="none"/>
          <w:lang w:val="en-US" w:eastAsia="zh-CN" w:bidi="ar-SA"/>
        </w:rPr>
      </w:pPr>
      <w:r>
        <w:rPr>
          <w:rFonts w:hint="eastAsia" w:ascii="仿宋" w:hAnsi="仿宋" w:eastAsia="仿宋" w:cs="仿宋"/>
          <w:b w:val="0"/>
          <w:bCs w:val="0"/>
          <w:color w:val="auto"/>
          <w:kern w:val="0"/>
          <w:sz w:val="32"/>
          <w:szCs w:val="32"/>
          <w:highlight w:val="none"/>
          <w:u w:val="none"/>
          <w:lang w:val="en-US" w:eastAsia="zh-CN" w:bidi="ar-SA"/>
        </w:rPr>
        <w:t>本规定所称气象灾害，是指台风、大风、龙卷风、暴雨、高温、干旱、雷电、大雾、灰霾、寒冷、道路结冰和冰雹等所造成的灾害。</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第三条</w:t>
      </w:r>
      <w:r>
        <w:rPr>
          <w:rFonts w:hint="eastAsia" w:ascii="仿宋" w:hAnsi="仿宋" w:eastAsia="仿宋" w:cs="仿宋"/>
          <w:b w:val="0"/>
          <w:bCs w:val="0"/>
          <w:color w:val="auto"/>
          <w:kern w:val="0"/>
          <w:sz w:val="32"/>
          <w:szCs w:val="32"/>
          <w:highlight w:val="none"/>
          <w:u w:val="none"/>
          <w:lang w:val="en-US" w:eastAsia="zh-CN"/>
        </w:rPr>
        <w:t xml:space="preserve">  市、县级人民政府应当加强对气象灾害防御工作的组织、领导和协调，建立健全气象灾害防御政府主导、部门联动、分级负责的工作机制，制定和完善气象灾害专项防御方案和应急预案，将气象灾害防御工作纳入本级国民经济和社会发展规划以及安全生产责任制考核，并将气象灾害防御工作经费纳入本级财政预算。</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镇人民政府、街道办事处应当建立健全气象灾害防御工作机制，协助气象主管机构和有关部门开展气象灾害防御知识宣传、信息传递、应急联络、应急处置、灾害报告和灾情调查等工作，指导和支持村（居）民委员会做好气象灾害防御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功能区管理委员会按照规定职责做好气象灾害防御的有关工作。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第四条</w:t>
      </w:r>
      <w:r>
        <w:rPr>
          <w:rFonts w:hint="eastAsia" w:ascii="仿宋" w:hAnsi="仿宋" w:eastAsia="仿宋" w:cs="仿宋"/>
          <w:b w:val="0"/>
          <w:bCs w:val="0"/>
          <w:color w:val="auto"/>
          <w:kern w:val="0"/>
          <w:sz w:val="32"/>
          <w:szCs w:val="32"/>
          <w:highlight w:val="none"/>
          <w:u w:val="none"/>
          <w:lang w:val="en-US" w:eastAsia="zh-CN"/>
        </w:rPr>
        <w:t xml:space="preserve">  气象主管机构负责本行政区域内灾害性天气的监测、预报、预警以及气候可行性论证、气象灾害风险评估、人工影响天气等气象灾害防御的管理、服务和监督工作。未设立气象主管机构的城区人民政府，应当指定具体的职能部门配合市气象主管机构做好上述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发展改革、教育、工业和信息化、公安、民政、自然资源、住房城乡建设、交通运输、水务、农业农村、文化旅游、卫生健康、应急管理、林业、海事、消防救援、水文、电力、供水、通信等有关部门和单位应当按照职责分工，共同做好气象灾害防御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 xml:space="preserve">第五条 </w:t>
      </w:r>
      <w:r>
        <w:rPr>
          <w:rFonts w:hint="eastAsia" w:ascii="仿宋" w:hAnsi="仿宋" w:eastAsia="仿宋" w:cs="仿宋"/>
          <w:b w:val="0"/>
          <w:bCs w:val="0"/>
          <w:color w:val="auto"/>
          <w:kern w:val="0"/>
          <w:sz w:val="32"/>
          <w:szCs w:val="32"/>
          <w:highlight w:val="none"/>
          <w:u w:val="none"/>
          <w:lang w:val="en-US" w:eastAsia="zh-CN"/>
        </w:rPr>
        <w:t xml:space="preserve"> 市、县级人民政府及有关部门应当采取多种形式，向社会宣传普及气象灾害防御知识，提高公众的防灾减灾意识和能力。</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学校应当把气象灾害防御知识纳入教育内容，国家机关、企业事业单位应当把气象灾害防御知识纳入培训课程，教育、人力资源社会保障、气象等部门应当给予指导和监督。</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第六条</w:t>
      </w:r>
      <w:r>
        <w:rPr>
          <w:rFonts w:hint="eastAsia" w:ascii="仿宋" w:hAnsi="仿宋" w:eastAsia="仿宋" w:cs="仿宋"/>
          <w:b w:val="0"/>
          <w:bCs w:val="0"/>
          <w:color w:val="auto"/>
          <w:kern w:val="0"/>
          <w:sz w:val="32"/>
          <w:szCs w:val="32"/>
          <w:highlight w:val="none"/>
          <w:u w:val="none"/>
          <w:lang w:val="en-US" w:eastAsia="zh-CN"/>
        </w:rPr>
        <w:t xml:space="preserve">  公民、法人和其他组织应当配合并参与气象灾害防御工作，提高风险防范意识和避灾避险能力，在气象灾害发生后开展自救互救。</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鼓励单位和个人通过保险等方式减少气象灾害造成的损失。鼓励保险机构推出适合本地气象灾害特点的巨灾保险、政策性农业保险等气象指数保险险种。</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对在气象灾害防御工作中做出突出贡献的单位和个人，按照国家和省有关规定给予表彰和奖励。</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第七条</w:t>
      </w:r>
      <w:r>
        <w:rPr>
          <w:rFonts w:hint="eastAsia" w:ascii="仿宋" w:hAnsi="仿宋" w:eastAsia="仿宋" w:cs="仿宋"/>
          <w:b w:val="0"/>
          <w:bCs w:val="0"/>
          <w:color w:val="auto"/>
          <w:kern w:val="0"/>
          <w:sz w:val="32"/>
          <w:szCs w:val="32"/>
          <w:highlight w:val="none"/>
          <w:u w:val="none"/>
          <w:lang w:val="en-US" w:eastAsia="zh-CN"/>
        </w:rPr>
        <w:t xml:space="preserve">  市、县级人民政府应当鼓励和支持气象灾害防御的科学技术研究，加强气象科技创新平台建设，推进气象科技成果的转化及推广应用，提高气象灾害防御的科技水平。</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第八条</w:t>
      </w:r>
      <w:r>
        <w:rPr>
          <w:rFonts w:hint="eastAsia" w:ascii="仿宋" w:hAnsi="仿宋" w:eastAsia="仿宋" w:cs="仿宋"/>
          <w:b w:val="0"/>
          <w:bCs w:val="0"/>
          <w:color w:val="auto"/>
          <w:kern w:val="0"/>
          <w:sz w:val="32"/>
          <w:szCs w:val="32"/>
          <w:highlight w:val="none"/>
          <w:u w:val="none"/>
          <w:lang w:val="en-US" w:eastAsia="zh-CN"/>
        </w:rPr>
        <w:t xml:space="preserve">  市、县级人民政府应当组织气象主管机构和有关部门定期开展气象灾害普查，建立气象灾害数据库并及时更新，进行气象灾害风险评估，划定气象灾害风险区划，确定气象灾害防御重点区域，建立气象灾害风险阈值库，并依法向社会公布气象灾害数据库、风险区划、防御重点区域和风险阈值等信息。</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line="336" w:lineRule="auto"/>
        <w:ind w:firstLine="640" w:firstLineChars="200"/>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第九条</w:t>
      </w:r>
      <w:r>
        <w:rPr>
          <w:rFonts w:hint="eastAsia" w:ascii="仿宋" w:hAnsi="仿宋" w:eastAsia="仿宋" w:cs="仿宋"/>
          <w:b w:val="0"/>
          <w:bCs w:val="0"/>
          <w:color w:val="auto"/>
          <w:kern w:val="0"/>
          <w:sz w:val="32"/>
          <w:szCs w:val="32"/>
          <w:highlight w:val="none"/>
          <w:u w:val="none"/>
          <w:lang w:val="en-US" w:eastAsia="zh-CN"/>
        </w:rPr>
        <w:t xml:space="preserve">  各级人民政府及有关部门应当加强易受台风、暴雨等气象灾害影响区域的堤防、避风港、防护林、避风锚地、山塘、水库、紧急避难场所等防御设施建设，提高对台风、暴雨等气象灾害的应急处置能力。</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第十条</w:t>
      </w:r>
      <w:r>
        <w:rPr>
          <w:rFonts w:hint="eastAsia" w:ascii="仿宋" w:hAnsi="仿宋" w:eastAsia="仿宋" w:cs="仿宋"/>
          <w:b w:val="0"/>
          <w:bCs w:val="0"/>
          <w:color w:val="auto"/>
          <w:kern w:val="0"/>
          <w:sz w:val="32"/>
          <w:szCs w:val="32"/>
          <w:highlight w:val="none"/>
          <w:u w:val="none"/>
          <w:lang w:val="en-US" w:eastAsia="zh-CN"/>
        </w:rPr>
        <w:t xml:space="preserve">  市、县级人民政府应当组织气象主管机构和有关部门确定气象灾害防御重点单位，向社会公布，并加强对气象灾害防御重点单位的指导和监督检查。</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气象灾害防御重点单位应当执行《广东省气象灾害防御重点单位气象安全管理办法》相关规定。</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第十一条</w:t>
      </w:r>
      <w:r>
        <w:rPr>
          <w:rFonts w:hint="eastAsia" w:ascii="仿宋" w:hAnsi="仿宋" w:eastAsia="仿宋" w:cs="仿宋"/>
          <w:b w:val="0"/>
          <w:bCs w:val="0"/>
          <w:color w:val="auto"/>
          <w:kern w:val="0"/>
          <w:sz w:val="32"/>
          <w:szCs w:val="32"/>
          <w:highlight w:val="none"/>
          <w:u w:val="none"/>
          <w:lang w:val="en-US" w:eastAsia="zh-CN"/>
        </w:rPr>
        <w:t xml:space="preserve">  编制国土空间规划、重点领域或者区域发展建设规划，以及市级以上重大建设工程、重大区域性经济开发项目和大型太阳能、风能等气候资源开发利用项目立项，有关部门应当统筹考虑气候可行性和气象灾害的风险性，避免和减少气象灾害、气候变化的影响。</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第十二条</w:t>
      </w:r>
      <w:r>
        <w:rPr>
          <w:rFonts w:hint="eastAsia" w:ascii="仿宋" w:hAnsi="仿宋" w:eastAsia="仿宋" w:cs="仿宋"/>
          <w:b w:val="0"/>
          <w:bCs w:val="0"/>
          <w:color w:val="auto"/>
          <w:kern w:val="0"/>
          <w:sz w:val="32"/>
          <w:szCs w:val="32"/>
          <w:highlight w:val="none"/>
          <w:u w:val="none"/>
          <w:lang w:val="en-US" w:eastAsia="zh-CN"/>
        </w:rPr>
        <w:t xml:space="preserve">  下列建设项目应当依照国家和省有关规定开展雷电灾害风险评估：</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（一）大型建设工程、重点工程。</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（二）各类体育场馆、医院、学校、影剧院、商场、宾馆、汽车站、火车站等人员密集场所。</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（三）油库、气库、弹药库、化学品仓库和烟花爆竹、石化等爆炸和火灾危险环境场所。</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 xml:space="preserve">第十三条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各类开发区等功能区及其他有条件的区域推行工程建设项目区域性气候可行性论证</w:t>
      </w:r>
      <w:r>
        <w:rPr>
          <w:rFonts w:hint="eastAsia" w:ascii="仿宋" w:hAnsi="仿宋" w:eastAsia="仿宋" w:cs="仿宋"/>
          <w:b w:val="0"/>
          <w:bCs w:val="0"/>
          <w:color w:val="auto"/>
          <w:kern w:val="0"/>
          <w:sz w:val="32"/>
          <w:szCs w:val="32"/>
          <w:highlight w:val="none"/>
          <w:u w:val="none"/>
          <w:lang w:val="en-US"/>
        </w:rPr>
        <w:t>和</w:t>
      </w:r>
      <w:r>
        <w:rPr>
          <w:rFonts w:hint="eastAsia" w:ascii="仿宋" w:hAnsi="仿宋" w:eastAsia="仿宋" w:cs="仿宋"/>
          <w:b w:val="0"/>
          <w:bCs w:val="0"/>
          <w:color w:val="auto"/>
          <w:kern w:val="0"/>
          <w:sz w:val="32"/>
          <w:szCs w:val="32"/>
          <w:highlight w:val="none"/>
          <w:u w:val="none"/>
        </w:rPr>
        <w:t>雷电灾害风险评估，由</w:t>
      </w:r>
      <w:r>
        <w:rPr>
          <w:rFonts w:hint="eastAsia" w:ascii="仿宋" w:hAnsi="仿宋" w:eastAsia="仿宋" w:cs="仿宋"/>
          <w:b w:val="0"/>
          <w:bCs w:val="0"/>
          <w:color w:val="auto"/>
          <w:kern w:val="0"/>
          <w:sz w:val="32"/>
          <w:szCs w:val="32"/>
          <w:highlight w:val="none"/>
          <w:u w:val="none"/>
          <w:lang w:val="en-US" w:eastAsia="zh-CN"/>
        </w:rPr>
        <w:t>承担</w:t>
      </w:r>
      <w:r>
        <w:rPr>
          <w:rFonts w:hint="eastAsia" w:ascii="仿宋" w:hAnsi="仿宋" w:eastAsia="仿宋" w:cs="仿宋"/>
          <w:b w:val="0"/>
          <w:bCs w:val="0"/>
          <w:color w:val="auto"/>
          <w:kern w:val="0"/>
          <w:sz w:val="32"/>
          <w:szCs w:val="32"/>
          <w:highlight w:val="none"/>
          <w:u w:val="none"/>
        </w:rPr>
        <w:t>区域管理</w:t>
      </w:r>
      <w:r>
        <w:rPr>
          <w:rFonts w:hint="eastAsia" w:ascii="仿宋" w:hAnsi="仿宋" w:eastAsia="仿宋" w:cs="仿宋"/>
          <w:b w:val="0"/>
          <w:bCs w:val="0"/>
          <w:color w:val="auto"/>
          <w:kern w:val="0"/>
          <w:sz w:val="32"/>
          <w:szCs w:val="32"/>
          <w:highlight w:val="none"/>
          <w:u w:val="none"/>
          <w:lang w:val="en-US" w:eastAsia="zh-CN"/>
        </w:rPr>
        <w:t>职责的</w:t>
      </w:r>
      <w:r>
        <w:rPr>
          <w:rFonts w:hint="eastAsia" w:ascii="仿宋" w:hAnsi="仿宋" w:eastAsia="仿宋" w:cs="仿宋"/>
          <w:b w:val="0"/>
          <w:bCs w:val="0"/>
          <w:color w:val="auto"/>
          <w:kern w:val="0"/>
          <w:sz w:val="32"/>
          <w:szCs w:val="32"/>
          <w:highlight w:val="none"/>
          <w:u w:val="none"/>
        </w:rPr>
        <w:t>机构</w:t>
      </w:r>
      <w:r>
        <w:rPr>
          <w:rFonts w:hint="eastAsia" w:ascii="仿宋" w:hAnsi="仿宋" w:eastAsia="仿宋" w:cs="仿宋"/>
          <w:b w:val="0"/>
          <w:bCs w:val="0"/>
          <w:color w:val="auto"/>
          <w:kern w:val="0"/>
          <w:sz w:val="32"/>
          <w:szCs w:val="32"/>
          <w:highlight w:val="none"/>
          <w:u w:val="none"/>
          <w:lang w:val="en-US" w:eastAsia="zh-CN"/>
        </w:rPr>
        <w:t>或者市、县级人民政府指定的部门</w:t>
      </w:r>
      <w:r>
        <w:rPr>
          <w:rFonts w:hint="eastAsia" w:ascii="仿宋" w:hAnsi="仿宋" w:eastAsia="仿宋" w:cs="仿宋"/>
          <w:b w:val="0"/>
          <w:bCs w:val="0"/>
          <w:color w:val="auto"/>
          <w:kern w:val="0"/>
          <w:sz w:val="32"/>
          <w:szCs w:val="32"/>
          <w:highlight w:val="none"/>
          <w:u w:val="none"/>
        </w:rPr>
        <w:t>组织实施。</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36" w:lineRule="auto"/>
        <w:ind w:left="0" w:leftChars="0" w:firstLine="640" w:firstLineChars="200"/>
        <w:jc w:val="both"/>
        <w:textAlignment w:val="auto"/>
        <w:outlineLvl w:val="9"/>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符合条件的工程建设项目不再单独进行</w:t>
      </w:r>
      <w:r>
        <w:rPr>
          <w:rFonts w:hint="eastAsia" w:ascii="仿宋" w:hAnsi="仿宋" w:eastAsia="仿宋" w:cs="仿宋"/>
          <w:b w:val="0"/>
          <w:bCs w:val="0"/>
          <w:color w:val="auto"/>
          <w:sz w:val="32"/>
          <w:szCs w:val="32"/>
          <w:highlight w:val="none"/>
          <w:u w:val="none"/>
        </w:rPr>
        <w:t>气候可行性论证或者</w:t>
      </w:r>
      <w:r>
        <w:rPr>
          <w:rFonts w:hint="eastAsia" w:ascii="仿宋" w:hAnsi="仿宋" w:eastAsia="仿宋" w:cs="仿宋"/>
          <w:b w:val="0"/>
          <w:bCs w:val="0"/>
          <w:color w:val="auto"/>
          <w:kern w:val="0"/>
          <w:sz w:val="32"/>
          <w:szCs w:val="32"/>
          <w:highlight w:val="none"/>
          <w:u w:val="none"/>
        </w:rPr>
        <w:t>雷电灾害风险评估。</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line="336" w:lineRule="auto"/>
        <w:ind w:firstLine="640" w:firstLineChars="200"/>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 xml:space="preserve">第十四条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新建、改建、扩建建</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构</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筑物、场所和设施应当按照有关标准和规定安装雷电防护装置，并与主体工程同时设计、同时施工、同时投入使用。建设单位应当委托有相应资质的雷电防护装置检测机构根据施工进度进行分项检测。建设工程雷电防护装置的建设、设计、施工、监理、检测单位，按照相应职责承担建设工程雷电防护装置质量安全责任。</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line="336" w:lineRule="auto"/>
        <w:ind w:firstLine="640" w:firstLineChars="200"/>
        <w:textAlignment w:val="auto"/>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已</w:t>
      </w:r>
      <w:r>
        <w:rPr>
          <w:rFonts w:hint="eastAsia" w:ascii="仿宋" w:hAnsi="仿宋" w:eastAsia="仿宋" w:cs="仿宋"/>
          <w:b w:val="0"/>
          <w:bCs w:val="0"/>
          <w:color w:val="auto"/>
          <w:kern w:val="0"/>
          <w:sz w:val="32"/>
          <w:szCs w:val="32"/>
          <w:highlight w:val="none"/>
          <w:u w:val="none"/>
        </w:rPr>
        <w:t>安装雷电防护装置的单位或者个人应当做好雷电防护装置的日常维护工作，委托有相应资质的雷电防护装置检测单位进行定期检测。雷电防护装置应当每年检测一次，爆炸和火灾危险环境场所的雷电防护装置应当每半年检测一次。雷电防护装置检测</w:t>
      </w:r>
      <w:r>
        <w:rPr>
          <w:rFonts w:hint="eastAsia" w:ascii="仿宋" w:hAnsi="仿宋" w:eastAsia="仿宋" w:cs="仿宋"/>
          <w:b w:val="0"/>
          <w:bCs w:val="0"/>
          <w:color w:val="auto"/>
          <w:kern w:val="0"/>
          <w:sz w:val="32"/>
          <w:szCs w:val="32"/>
          <w:highlight w:val="none"/>
          <w:u w:val="none"/>
          <w:lang w:val="en-US" w:eastAsia="zh-CN"/>
        </w:rPr>
        <w:t>单位</w:t>
      </w:r>
      <w:r>
        <w:rPr>
          <w:rFonts w:hint="eastAsia" w:ascii="仿宋" w:hAnsi="仿宋" w:eastAsia="仿宋" w:cs="仿宋"/>
          <w:b w:val="0"/>
          <w:bCs w:val="0"/>
          <w:color w:val="auto"/>
          <w:kern w:val="0"/>
          <w:sz w:val="32"/>
          <w:szCs w:val="32"/>
          <w:highlight w:val="none"/>
          <w:u w:val="none"/>
        </w:rPr>
        <w:t>应当按照有关标准和规范进行检测，出具检测报告和检测标识，并对检测报告的真实性负责</w:t>
      </w:r>
      <w:r>
        <w:rPr>
          <w:rFonts w:hint="eastAsia" w:ascii="仿宋" w:hAnsi="仿宋" w:eastAsia="仿宋" w:cs="仿宋"/>
          <w:b w:val="0"/>
          <w:bCs w:val="0"/>
          <w:color w:val="auto"/>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firstLine="640" w:firstLineChars="200"/>
        <w:jc w:val="both"/>
        <w:textAlignment w:val="auto"/>
        <w:outlineLvl w:val="9"/>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lang w:eastAsia="zh-CN"/>
        </w:rPr>
        <w:t>气象主管机构应当建立信用管理制度，将雷电防护装置检测</w:t>
      </w:r>
      <w:r>
        <w:rPr>
          <w:rFonts w:hint="eastAsia" w:ascii="仿宋" w:hAnsi="仿宋" w:eastAsia="仿宋" w:cs="仿宋"/>
          <w:b w:val="0"/>
          <w:bCs w:val="0"/>
          <w:color w:val="auto"/>
          <w:kern w:val="0"/>
          <w:sz w:val="32"/>
          <w:szCs w:val="32"/>
          <w:highlight w:val="none"/>
          <w:u w:val="none"/>
          <w:lang w:val="en-US" w:eastAsia="zh-CN"/>
        </w:rPr>
        <w:t>单位</w:t>
      </w:r>
      <w:r>
        <w:rPr>
          <w:rFonts w:hint="eastAsia" w:ascii="仿宋" w:hAnsi="仿宋" w:eastAsia="仿宋" w:cs="仿宋"/>
          <w:b w:val="0"/>
          <w:bCs w:val="0"/>
          <w:color w:val="auto"/>
          <w:kern w:val="0"/>
          <w:sz w:val="32"/>
          <w:szCs w:val="32"/>
          <w:highlight w:val="none"/>
          <w:u w:val="none"/>
          <w:lang w:eastAsia="zh-CN"/>
        </w:rPr>
        <w:t>的检测活动、检测质量监督</w:t>
      </w:r>
      <w:r>
        <w:rPr>
          <w:rFonts w:hint="eastAsia" w:ascii="仿宋" w:hAnsi="仿宋" w:eastAsia="仿宋" w:cs="仿宋"/>
          <w:b w:val="0"/>
          <w:bCs w:val="0"/>
          <w:color w:val="auto"/>
          <w:kern w:val="0"/>
          <w:sz w:val="32"/>
          <w:szCs w:val="32"/>
          <w:highlight w:val="none"/>
          <w:u w:val="none"/>
          <w:lang w:val="en-US" w:eastAsia="zh-CN"/>
        </w:rPr>
        <w:t>检查</w:t>
      </w:r>
      <w:r>
        <w:rPr>
          <w:rFonts w:hint="eastAsia" w:ascii="仿宋" w:hAnsi="仿宋" w:eastAsia="仿宋" w:cs="仿宋"/>
          <w:b w:val="0"/>
          <w:bCs w:val="0"/>
          <w:color w:val="auto"/>
          <w:kern w:val="0"/>
          <w:sz w:val="32"/>
          <w:szCs w:val="32"/>
          <w:highlight w:val="none"/>
          <w:u w:val="none"/>
          <w:lang w:eastAsia="zh-CN"/>
        </w:rPr>
        <w:t>结果纳入信用档案，</w:t>
      </w:r>
      <w:r>
        <w:rPr>
          <w:rFonts w:hint="eastAsia" w:ascii="仿宋" w:hAnsi="仿宋" w:eastAsia="仿宋" w:cs="仿宋"/>
          <w:b w:val="0"/>
          <w:bCs w:val="0"/>
          <w:color w:val="auto"/>
          <w:kern w:val="0"/>
          <w:sz w:val="32"/>
          <w:szCs w:val="32"/>
          <w:highlight w:val="none"/>
          <w:u w:val="none"/>
          <w:lang w:val="en-US" w:eastAsia="zh-CN"/>
        </w:rPr>
        <w:t>并</w:t>
      </w:r>
      <w:r>
        <w:rPr>
          <w:rFonts w:hint="eastAsia" w:ascii="仿宋" w:hAnsi="仿宋" w:eastAsia="仿宋" w:cs="仿宋"/>
          <w:b w:val="0"/>
          <w:bCs w:val="0"/>
          <w:color w:val="auto"/>
          <w:kern w:val="0"/>
          <w:sz w:val="32"/>
          <w:szCs w:val="32"/>
          <w:highlight w:val="none"/>
          <w:u w:val="none"/>
          <w:lang w:eastAsia="zh-CN"/>
        </w:rPr>
        <w:t>将雷电防护装置检测</w:t>
      </w:r>
      <w:r>
        <w:rPr>
          <w:rFonts w:hint="eastAsia" w:ascii="仿宋" w:hAnsi="仿宋" w:eastAsia="仿宋" w:cs="仿宋"/>
          <w:b w:val="0"/>
          <w:bCs w:val="0"/>
          <w:color w:val="auto"/>
          <w:kern w:val="0"/>
          <w:sz w:val="32"/>
          <w:szCs w:val="32"/>
          <w:highlight w:val="none"/>
          <w:u w:val="none"/>
          <w:lang w:val="en-US" w:eastAsia="zh-CN"/>
        </w:rPr>
        <w:t>单位</w:t>
      </w:r>
      <w:r>
        <w:rPr>
          <w:rFonts w:hint="eastAsia" w:ascii="仿宋" w:hAnsi="仿宋" w:eastAsia="仿宋" w:cs="仿宋"/>
          <w:b w:val="0"/>
          <w:bCs w:val="0"/>
          <w:color w:val="auto"/>
          <w:kern w:val="0"/>
          <w:sz w:val="32"/>
          <w:szCs w:val="32"/>
          <w:highlight w:val="none"/>
          <w:u w:val="none"/>
          <w:lang w:eastAsia="zh-CN"/>
        </w:rPr>
        <w:t>的违法失信信息，通过信用信息公示系统</w:t>
      </w:r>
      <w:r>
        <w:rPr>
          <w:rFonts w:hint="eastAsia" w:ascii="仿宋" w:hAnsi="仿宋" w:eastAsia="仿宋" w:cs="仿宋"/>
          <w:b w:val="0"/>
          <w:bCs w:val="0"/>
          <w:color w:val="auto"/>
          <w:kern w:val="0"/>
          <w:sz w:val="32"/>
          <w:szCs w:val="32"/>
          <w:highlight w:val="none"/>
          <w:u w:val="none"/>
          <w:lang w:val="en-US" w:eastAsia="zh-CN"/>
        </w:rPr>
        <w:t>依法</w:t>
      </w:r>
      <w:r>
        <w:rPr>
          <w:rFonts w:hint="eastAsia" w:ascii="仿宋" w:hAnsi="仿宋" w:eastAsia="仿宋" w:cs="仿宋"/>
          <w:b w:val="0"/>
          <w:bCs w:val="0"/>
          <w:color w:val="auto"/>
          <w:kern w:val="0"/>
          <w:sz w:val="32"/>
          <w:szCs w:val="32"/>
          <w:highlight w:val="none"/>
          <w:u w:val="none"/>
          <w:lang w:eastAsia="zh-CN"/>
        </w:rPr>
        <w:t>公示。</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line="336" w:lineRule="auto"/>
        <w:ind w:firstLine="640" w:firstLineChars="200"/>
        <w:textAlignment w:val="auto"/>
        <w:outlineLvl w:val="1"/>
        <w:rPr>
          <w:rFonts w:hint="eastAsia" w:ascii="仿宋" w:hAnsi="仿宋" w:eastAsia="仿宋" w:cs="仿宋"/>
          <w:color w:val="auto"/>
          <w:sz w:val="32"/>
          <w:szCs w:val="32"/>
          <w:lang w:val="en-US" w:eastAsia="zh-CN"/>
        </w:rPr>
      </w:pPr>
      <w:r>
        <w:rPr>
          <w:rFonts w:hint="eastAsia" w:ascii="黑体" w:hAnsi="黑体" w:eastAsia="黑体" w:cs="黑体"/>
          <w:b w:val="0"/>
          <w:bCs w:val="0"/>
          <w:color w:val="auto"/>
          <w:kern w:val="0"/>
          <w:sz w:val="32"/>
          <w:szCs w:val="32"/>
          <w:highlight w:val="none"/>
          <w:u w:val="none"/>
          <w:lang w:val="en-US" w:eastAsia="zh-CN"/>
        </w:rPr>
        <w:t>第十五条</w:t>
      </w:r>
      <w:r>
        <w:rPr>
          <w:rFonts w:hint="eastAsia" w:ascii="仿宋" w:hAnsi="仿宋" w:eastAsia="仿宋" w:cs="仿宋"/>
          <w:b w:val="0"/>
          <w:bCs w:val="0"/>
          <w:color w:val="auto"/>
          <w:kern w:val="0"/>
          <w:sz w:val="32"/>
          <w:szCs w:val="32"/>
          <w:highlight w:val="none"/>
          <w:u w:val="none"/>
          <w:lang w:val="en-US" w:eastAsia="zh-CN"/>
        </w:rPr>
        <w:t xml:space="preserve">  市、县级人民政府应当根据气象灾害防御的需要，加强气象灾害综合监测设施建设，完善气象灾害监测体系。新建、改建、扩建机场、铁路、高速公路、大型桥梁和配置大型港口机械的港口等，应当根据气象灾害防御的需要，将气象灾害监测、预警及防御设施纳入工程建设投资计划，与主体工程同时设计、同时施工、同时投入使用。</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line="336" w:lineRule="auto"/>
        <w:ind w:firstLine="640" w:firstLineChars="200"/>
        <w:textAlignment w:val="auto"/>
        <w:outlineLvl w:val="9"/>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市、县级人民政府应当组织气象主管机构及有关部门建立健全气象灾害信息共享机制，通过信息共享平台整合、交换和共享气象信息。政府有关部门和单位应当及时提供水旱灾害、森林火险、农业灾害、地质灾害、环境污染、电网故障、交通监控、城乡积涝等与气象灾害有关的信息，以及对大气、水文、环境、生态、海洋等进行监测的信息和其他基础信息。</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第十六条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本市实行灾害性天气风险预判通报制度。</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line="336" w:lineRule="auto"/>
        <w:ind w:leftChars="0" w:firstLine="640" w:firstLineChars="200"/>
        <w:textAlignment w:val="auto"/>
        <w:outlineLvl w:val="9"/>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台风、暴雨等灾害性天气可能对本市产生较大影响，但尚未达到气象灾害预警信号发布标准时，气象主管机构应当将风险预判信息提前向本级人民政府和有关部门通报。本级人民政府和有关部门应当提前采取气象灾害防御措施，做好应急预案启动准备。</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第十七条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市、县级人民政府应当加强预警发布能力建设，应用</w:t>
      </w:r>
      <w:r>
        <w:rPr>
          <w:rFonts w:hint="eastAsia" w:ascii="仿宋" w:hAnsi="仿宋" w:eastAsia="仿宋" w:cs="仿宋"/>
          <w:b w:val="0"/>
          <w:bCs w:val="0"/>
          <w:color w:val="auto"/>
          <w:kern w:val="0"/>
          <w:sz w:val="32"/>
          <w:szCs w:val="32"/>
          <w:highlight w:val="none"/>
          <w:u w:val="none"/>
          <w:lang w:val="en-US" w:eastAsia="zh-CN"/>
        </w:rPr>
        <w:t>新型</w:t>
      </w:r>
      <w:r>
        <w:rPr>
          <w:rFonts w:hint="eastAsia" w:ascii="仿宋" w:hAnsi="仿宋" w:eastAsia="仿宋" w:cs="仿宋"/>
          <w:b w:val="0"/>
          <w:bCs w:val="0"/>
          <w:color w:val="auto"/>
          <w:kern w:val="0"/>
          <w:sz w:val="32"/>
          <w:szCs w:val="32"/>
          <w:highlight w:val="none"/>
          <w:u w:val="none"/>
        </w:rPr>
        <w:t>移动通信技术</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推进预警信息靶向发布，提升突发事件预警信息发布时效性、精准度。</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36" w:lineRule="auto"/>
        <w:ind w:leftChars="0" w:firstLine="640" w:firstLineChars="200"/>
        <w:textAlignment w:val="auto"/>
        <w:outlineLvl w:val="9"/>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气象主管机构所属气象台站应当</w:t>
      </w:r>
      <w:r>
        <w:rPr>
          <w:rFonts w:hint="eastAsia" w:ascii="仿宋" w:hAnsi="仿宋" w:eastAsia="仿宋" w:cs="仿宋"/>
          <w:b w:val="0"/>
          <w:bCs w:val="0"/>
          <w:color w:val="auto"/>
          <w:kern w:val="0"/>
          <w:sz w:val="32"/>
          <w:szCs w:val="32"/>
          <w:highlight w:val="none"/>
          <w:u w:val="none"/>
        </w:rPr>
        <w:t>以镇（街）为单位</w:t>
      </w:r>
      <w:r>
        <w:rPr>
          <w:rFonts w:hint="eastAsia" w:ascii="仿宋" w:hAnsi="仿宋" w:eastAsia="仿宋" w:cs="仿宋"/>
          <w:b w:val="0"/>
          <w:bCs w:val="0"/>
          <w:color w:val="auto"/>
          <w:kern w:val="0"/>
          <w:sz w:val="32"/>
          <w:szCs w:val="32"/>
          <w:highlight w:val="none"/>
          <w:u w:val="none"/>
          <w:lang w:val="en-US" w:eastAsia="zh-CN"/>
        </w:rPr>
        <w:t>分区域向社会统一公布</w:t>
      </w:r>
      <w:r>
        <w:rPr>
          <w:rFonts w:hint="eastAsia" w:ascii="仿宋" w:hAnsi="仿宋" w:eastAsia="仿宋" w:cs="仿宋"/>
          <w:b w:val="0"/>
          <w:bCs w:val="0"/>
          <w:color w:val="auto"/>
          <w:kern w:val="0"/>
          <w:sz w:val="32"/>
          <w:szCs w:val="32"/>
          <w:highlight w:val="none"/>
          <w:u w:val="none"/>
        </w:rPr>
        <w:t>动态实时的灾害性天气警报和气象灾害预警信号</w:t>
      </w:r>
      <w:r>
        <w:rPr>
          <w:rFonts w:hint="eastAsia" w:ascii="仿宋" w:hAnsi="仿宋" w:eastAsia="仿宋" w:cs="仿宋"/>
          <w:b w:val="0"/>
          <w:bCs w:val="0"/>
          <w:color w:val="auto"/>
          <w:kern w:val="0"/>
          <w:sz w:val="32"/>
          <w:szCs w:val="32"/>
          <w:highlight w:val="none"/>
          <w:u w:val="none"/>
          <w:lang w:val="en-US" w:eastAsia="zh-CN"/>
        </w:rPr>
        <w:t>，及时向气象灾害防御有关部门通报，</w:t>
      </w:r>
      <w:r>
        <w:rPr>
          <w:rFonts w:hint="eastAsia" w:ascii="仿宋" w:hAnsi="仿宋" w:eastAsia="仿宋" w:cs="仿宋"/>
          <w:b w:val="0"/>
          <w:bCs w:val="0"/>
          <w:color w:val="auto"/>
          <w:kern w:val="0"/>
          <w:sz w:val="32"/>
          <w:szCs w:val="32"/>
          <w:highlight w:val="none"/>
          <w:u w:val="none"/>
        </w:rPr>
        <w:t>并根据天气变化情况</w:t>
      </w:r>
      <w:r>
        <w:rPr>
          <w:rFonts w:hint="eastAsia" w:ascii="仿宋" w:hAnsi="仿宋" w:eastAsia="仿宋" w:cs="仿宋"/>
          <w:b w:val="0"/>
          <w:bCs w:val="0"/>
          <w:color w:val="auto"/>
          <w:kern w:val="0"/>
          <w:sz w:val="32"/>
          <w:szCs w:val="32"/>
          <w:highlight w:val="none"/>
          <w:u w:val="none"/>
          <w:lang w:val="en-US" w:eastAsia="zh-CN"/>
        </w:rPr>
        <w:t>及时更新或者解除灾害性天气警报和气象灾害预警信号。</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 w:hAnsi="仿宋" w:eastAsia="仿宋" w:cs="仿宋"/>
          <w:b w:val="0"/>
          <w:bCs w:val="0"/>
          <w:strike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气象灾害预警信号的名称、图标、含义和防御指引，依照《广东省气象灾害预警信号发布规定》</w:t>
      </w:r>
      <w:r>
        <w:rPr>
          <w:rFonts w:hint="eastAsia" w:ascii="仿宋" w:hAnsi="仿宋" w:eastAsia="仿宋" w:cs="仿宋"/>
          <w:b w:val="0"/>
          <w:bCs w:val="0"/>
          <w:color w:val="auto"/>
          <w:kern w:val="0"/>
          <w:sz w:val="32"/>
          <w:szCs w:val="32"/>
          <w:highlight w:val="none"/>
          <w:u w:val="none"/>
          <w:lang w:val="en-US" w:eastAsia="zh-CN"/>
        </w:rPr>
        <w:t>的有关</w:t>
      </w:r>
      <w:r>
        <w:rPr>
          <w:rFonts w:hint="eastAsia" w:ascii="仿宋" w:hAnsi="仿宋" w:eastAsia="仿宋" w:cs="仿宋"/>
          <w:b w:val="0"/>
          <w:bCs w:val="0"/>
          <w:color w:val="auto"/>
          <w:kern w:val="0"/>
          <w:sz w:val="32"/>
          <w:szCs w:val="32"/>
          <w:highlight w:val="none"/>
          <w:u w:val="none"/>
        </w:rPr>
        <w:t>规定执行。</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line="336" w:lineRule="auto"/>
        <w:ind w:firstLine="640" w:firstLineChars="200"/>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第十八条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广播、电视、报纸、网络等媒体和通信运营单位应当及时、准确、无偿地传播当地气象主管机构所属气象台站提供的灾害性天气警报、气象灾害预警信号，标明发布时间和发布的气象台站名称，并根据当地气象台站要求及时增播、播报或者刊登。</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有关部门接收到当地气象台站发布的灾害性天气警报和气象灾害预警信号后</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应当及时向本行业、本系统传播，并组织做好防御工作。</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镇人民政府、街道办事处、村（居）民委员会在收到当地气象台站发布的灾害性天气警报和气象灾害预警信号后，应当利用</w:t>
      </w:r>
      <w:r>
        <w:rPr>
          <w:rFonts w:hint="eastAsia" w:ascii="仿宋" w:hAnsi="仿宋" w:eastAsia="仿宋" w:cs="仿宋"/>
          <w:b w:val="0"/>
          <w:bCs w:val="0"/>
          <w:color w:val="auto"/>
          <w:kern w:val="0"/>
          <w:sz w:val="32"/>
          <w:szCs w:val="32"/>
          <w:highlight w:val="none"/>
          <w:u w:val="none"/>
          <w:lang w:val="en-US" w:eastAsia="zh-CN"/>
        </w:rPr>
        <w:t>有线</w:t>
      </w:r>
      <w:r>
        <w:rPr>
          <w:rFonts w:hint="eastAsia" w:ascii="仿宋" w:hAnsi="仿宋" w:eastAsia="仿宋" w:cs="仿宋"/>
          <w:b w:val="0"/>
          <w:bCs w:val="0"/>
          <w:color w:val="auto"/>
          <w:kern w:val="0"/>
          <w:sz w:val="32"/>
          <w:szCs w:val="32"/>
          <w:highlight w:val="none"/>
          <w:u w:val="none"/>
        </w:rPr>
        <w:t>广播、</w:t>
      </w:r>
      <w:r>
        <w:rPr>
          <w:rFonts w:hint="eastAsia" w:ascii="仿宋" w:hAnsi="仿宋" w:eastAsia="仿宋" w:cs="仿宋"/>
          <w:b w:val="0"/>
          <w:bCs w:val="0"/>
          <w:color w:val="auto"/>
          <w:kern w:val="0"/>
          <w:sz w:val="32"/>
          <w:szCs w:val="32"/>
          <w:highlight w:val="none"/>
          <w:u w:val="none"/>
          <w:lang w:val="en-US" w:eastAsia="zh-CN"/>
        </w:rPr>
        <w:t>高音</w:t>
      </w:r>
      <w:r>
        <w:rPr>
          <w:rFonts w:hint="eastAsia" w:ascii="仿宋" w:hAnsi="仿宋" w:eastAsia="仿宋" w:cs="仿宋"/>
          <w:b w:val="0"/>
          <w:bCs w:val="0"/>
          <w:color w:val="auto"/>
          <w:kern w:val="0"/>
          <w:sz w:val="32"/>
          <w:szCs w:val="32"/>
          <w:highlight w:val="none"/>
          <w:u w:val="none"/>
        </w:rPr>
        <w:t>喇叭、鸣锣吹哨等多种方式及时传播气象灾害预警信息。</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学校、医院、企业、矿区、车站、港口、高速公路、旅游景点等场所的管理单位在收到当地气象台站发布的灾害性天气警报和气象灾害预警信号后，应当利用电子显示装置、广播等途径，及时在其管辖区域内传播。</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鼓励</w:t>
      </w:r>
      <w:r>
        <w:rPr>
          <w:rFonts w:hint="eastAsia" w:ascii="仿宋" w:hAnsi="仿宋" w:eastAsia="仿宋" w:cs="仿宋"/>
          <w:b w:val="0"/>
          <w:bCs w:val="0"/>
          <w:color w:val="auto"/>
          <w:kern w:val="0"/>
          <w:sz w:val="32"/>
          <w:szCs w:val="32"/>
          <w:highlight w:val="none"/>
          <w:u w:val="none"/>
          <w:lang w:val="en-US" w:eastAsia="zh-CN"/>
        </w:rPr>
        <w:t>社会</w:t>
      </w:r>
      <w:r>
        <w:rPr>
          <w:rFonts w:hint="eastAsia" w:ascii="仿宋" w:hAnsi="仿宋" w:eastAsia="仿宋" w:cs="仿宋"/>
          <w:b w:val="0"/>
          <w:bCs w:val="0"/>
          <w:color w:val="auto"/>
          <w:kern w:val="0"/>
          <w:sz w:val="32"/>
          <w:szCs w:val="32"/>
          <w:highlight w:val="none"/>
          <w:u w:val="none"/>
        </w:rPr>
        <w:t>组织、机构和个人通过</w:t>
      </w:r>
      <w:r>
        <w:rPr>
          <w:rFonts w:hint="eastAsia" w:ascii="仿宋" w:hAnsi="仿宋" w:eastAsia="仿宋" w:cs="仿宋"/>
          <w:b w:val="0"/>
          <w:bCs w:val="0"/>
          <w:color w:val="auto"/>
          <w:kern w:val="0"/>
          <w:sz w:val="32"/>
          <w:szCs w:val="32"/>
          <w:highlight w:val="none"/>
          <w:u w:val="none"/>
          <w:lang w:val="en-US" w:eastAsia="zh-CN"/>
        </w:rPr>
        <w:t>微信</w:t>
      </w:r>
      <w:r>
        <w:rPr>
          <w:rFonts w:hint="eastAsia" w:ascii="仿宋" w:hAnsi="仿宋" w:eastAsia="仿宋" w:cs="仿宋"/>
          <w:b w:val="0"/>
          <w:bCs w:val="0"/>
          <w:color w:val="auto"/>
          <w:kern w:val="0"/>
          <w:sz w:val="32"/>
          <w:szCs w:val="32"/>
          <w:highlight w:val="none"/>
          <w:u w:val="none"/>
        </w:rPr>
        <w:t>等信息传播方式，以转发的形式</w:t>
      </w:r>
      <w:r>
        <w:rPr>
          <w:rFonts w:hint="eastAsia" w:ascii="仿宋" w:hAnsi="仿宋" w:eastAsia="仿宋" w:cs="仿宋"/>
          <w:b w:val="0"/>
          <w:bCs w:val="0"/>
          <w:color w:val="auto"/>
          <w:kern w:val="0"/>
          <w:sz w:val="32"/>
          <w:szCs w:val="32"/>
          <w:highlight w:val="none"/>
          <w:u w:val="none"/>
          <w:lang w:val="en-US" w:eastAsia="zh-CN"/>
        </w:rPr>
        <w:t>及时、</w:t>
      </w:r>
      <w:r>
        <w:rPr>
          <w:rFonts w:hint="eastAsia" w:ascii="仿宋" w:hAnsi="仿宋" w:eastAsia="仿宋" w:cs="仿宋"/>
          <w:b w:val="0"/>
          <w:bCs w:val="0"/>
          <w:color w:val="auto"/>
          <w:kern w:val="0"/>
          <w:sz w:val="32"/>
          <w:szCs w:val="32"/>
          <w:highlight w:val="none"/>
          <w:u w:val="none"/>
        </w:rPr>
        <w:t>准确</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lang w:val="en-US" w:eastAsia="zh-CN"/>
        </w:rPr>
        <w:t>规范地</w:t>
      </w:r>
      <w:r>
        <w:rPr>
          <w:rFonts w:hint="eastAsia" w:ascii="仿宋" w:hAnsi="仿宋" w:eastAsia="仿宋" w:cs="仿宋"/>
          <w:b w:val="0"/>
          <w:bCs w:val="0"/>
          <w:color w:val="auto"/>
          <w:kern w:val="0"/>
          <w:sz w:val="32"/>
          <w:szCs w:val="32"/>
          <w:highlight w:val="none"/>
          <w:u w:val="none"/>
        </w:rPr>
        <w:t>传播气象灾害预警信息。</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第十九条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台风预警信号生效时，有关部门、单位和人员应当做好以下应对措施：</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（一）住房城乡建设部门应当指导、督促房屋建筑和市政基础设施在建工地的施工单位开展防风避险工作，对存在安全隐患的施工设施，督促责任单位落实整改，消除隐患</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（二）城市管理综合执法部门应当督促有关管理单位、业主加强户外广告和招牌的检查和加固</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（三）林业和住房城乡建设部门应当加强对树木、设施的排查，及时加固或者清除存在安全隐患的树木、设施等，督促市政公园及时暂停开放并做好已入园游客的安全防护工作</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（四）交通运输部门应当协调公路客运站场、公交站场等交通运输</w:t>
      </w:r>
      <w:r>
        <w:rPr>
          <w:rFonts w:hint="eastAsia" w:ascii="仿宋" w:hAnsi="仿宋" w:eastAsia="仿宋" w:cs="仿宋"/>
          <w:b w:val="0"/>
          <w:bCs w:val="0"/>
          <w:color w:val="auto"/>
          <w:kern w:val="0"/>
          <w:sz w:val="32"/>
          <w:szCs w:val="32"/>
          <w:highlight w:val="none"/>
          <w:u w:val="none"/>
          <w:lang w:val="en-US" w:eastAsia="zh-CN"/>
        </w:rPr>
        <w:t>机构</w:t>
      </w:r>
      <w:r>
        <w:rPr>
          <w:rFonts w:hint="eastAsia" w:ascii="仿宋" w:hAnsi="仿宋" w:eastAsia="仿宋" w:cs="仿宋"/>
          <w:b w:val="0"/>
          <w:bCs w:val="0"/>
          <w:color w:val="auto"/>
          <w:kern w:val="0"/>
          <w:sz w:val="32"/>
          <w:szCs w:val="32"/>
          <w:highlight w:val="none"/>
          <w:u w:val="none"/>
        </w:rPr>
        <w:t>，适时调整或者取消车次，妥善安置滞留旅客，及时组织修复受灾中断的公路和相关交通设施</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（五）发展改革、农业农村、交通运输、海事等部门应当按照各自职责督促船舶避风避险，督促海水养殖、海上作业人员撤离，并做好防御措施</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六）教育、培训、托管等主管部门应当密切关注台风最新消息和政府及有关部门最新发布的防御台风通知，并加强监督中小学校、幼儿园、托儿所、托管和培训机构等单位落实台风防御工作。当发布台风黄色以上预警信号时，中小学校、幼儿园、托儿所应当停课，未启程上学的学生不必到校上课；上学、放学途中的学生应当就近到安全场所暂避或者在安全情况下回家；学校应当妥善安置在校学生（含校车上、寄宿），在确保安全的情况下安排学生离校回家</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（七）水务部门应当督促水库、河道、堤防、涵闸、排涝泵站、小水电等管理单位加强巡查，重点监视堤围险段、病险水库等重要部位，及时处置险情、灾情</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（八）公安、民政</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文化旅游、应急管理、卫生健康、生态环境</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气象等有关部门和抢险单位应当加强值班，密切监视灾情，落实应对措施，做好应急抢险救灾工作。</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（九）台风黄色</w:t>
      </w:r>
      <w:r>
        <w:rPr>
          <w:rFonts w:hint="eastAsia" w:ascii="仿宋" w:hAnsi="仿宋" w:eastAsia="仿宋" w:cs="仿宋"/>
          <w:b w:val="0"/>
          <w:bCs w:val="0"/>
          <w:color w:val="auto"/>
          <w:kern w:val="0"/>
          <w:sz w:val="32"/>
          <w:szCs w:val="32"/>
          <w:highlight w:val="none"/>
          <w:u w:val="none"/>
          <w:lang w:val="en-US" w:eastAsia="zh-CN"/>
        </w:rPr>
        <w:t>以上</w:t>
      </w:r>
      <w:r>
        <w:rPr>
          <w:rFonts w:hint="eastAsia" w:ascii="仿宋" w:hAnsi="仿宋" w:eastAsia="仿宋" w:cs="仿宋"/>
          <w:b w:val="0"/>
          <w:bCs w:val="0"/>
          <w:color w:val="auto"/>
          <w:kern w:val="0"/>
          <w:sz w:val="32"/>
          <w:szCs w:val="32"/>
          <w:highlight w:val="none"/>
          <w:u w:val="none"/>
        </w:rPr>
        <w:t>预警信号生效期间，公众应当根据气象灾害预警信号以及防御指引，减少或者停止户外活动；处于危险地带和危房中的人员应当及时撤离；公园、景区、游乐场等户外场所应当适时停止营业，关闭相关区域，组织人员避险</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（十）台风黄色</w:t>
      </w:r>
      <w:r>
        <w:rPr>
          <w:rFonts w:hint="eastAsia" w:ascii="仿宋" w:hAnsi="仿宋" w:eastAsia="仿宋" w:cs="仿宋"/>
          <w:b w:val="0"/>
          <w:bCs w:val="0"/>
          <w:color w:val="auto"/>
          <w:kern w:val="0"/>
          <w:sz w:val="32"/>
          <w:szCs w:val="32"/>
          <w:highlight w:val="none"/>
          <w:u w:val="none"/>
          <w:lang w:val="en-US" w:eastAsia="zh-CN"/>
        </w:rPr>
        <w:t>以上</w:t>
      </w:r>
      <w:r>
        <w:rPr>
          <w:rFonts w:hint="eastAsia" w:ascii="仿宋" w:hAnsi="仿宋" w:eastAsia="仿宋" w:cs="仿宋"/>
          <w:b w:val="0"/>
          <w:bCs w:val="0"/>
          <w:color w:val="auto"/>
          <w:kern w:val="0"/>
          <w:sz w:val="32"/>
          <w:szCs w:val="32"/>
          <w:highlight w:val="none"/>
          <w:u w:val="none"/>
        </w:rPr>
        <w:t>预警信号生效期间，除必需在岗的工作人员外，用人单位应当根据工作地点、工作性质、防灾避灾需要等情况安排工作人员推迟上班、提前下班或者停工，并为在岗工作人员以及因天气原因滞留单位的工作人员提供安全的避风场所。</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第二十条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暴雨预警信号生效时，有关部门、单位和人员应当做好以下应对措施：</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（一）住房城乡建设部门应当</w:t>
      </w:r>
      <w:r>
        <w:rPr>
          <w:rFonts w:hint="eastAsia" w:ascii="仿宋" w:hAnsi="仿宋" w:eastAsia="仿宋" w:cs="仿宋"/>
          <w:b w:val="0"/>
          <w:bCs w:val="0"/>
          <w:color w:val="auto"/>
          <w:kern w:val="0"/>
          <w:sz w:val="32"/>
          <w:szCs w:val="32"/>
          <w:highlight w:val="none"/>
          <w:u w:val="none"/>
          <w:lang w:val="en-US" w:eastAsia="zh-CN"/>
        </w:rPr>
        <w:t>指导企业事业单位和居民做好防涝排涝工作</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二）住房城乡建设、城市管理综合执法、水务、公安、交通运输等部门应当按照各自职责对建筑工地、危旧房屋、低洼地带、桥梁道路涵洞、城市交通干道等经常出现积涝的地区及时疏通排水管网，确保排水畅通。水务部门应当督促水库、河道、堤防、涵闸、排涝泵站、小水电等管理单位加强巡查，重点监视堤围险段、病险水库等重要部位，及时处置险情、灾情</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（三）山洪、地质灾害防治主管部门应当加强巡查，防范因暴雨引发山洪、滑坡、泥石流等灾害，配合有关部门做好山洪、地质灾害应急救援工作</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（四）公共场所供用电设施产权和维护单位应当对存在漏电风险的供用电设施加强巡查，避免因供用电设施绝缘破损、漏电保护配置不当等引发触电险情，紧急情况时可以切断电源，及时消除安全隐患</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五）教育、培训、托管等主管部门应当密切关注暴雨最新消息和政府及有关部门最新发布的防御暴雨通知，加强监督中小学校、幼儿园、托儿所、托管和培训机构落实暴雨防御工作。当发布暴雨红色预警信号时，中小学校、幼儿园、托儿所应当停课，未启程上学的学生不必到校上课；上学、放学途中的学生应当在安全情况下回家或者就近到安全场所暂避；学校应当保障在校学生（含校车上、寄宿）的安全</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六）暴雨红色预警信号生效期间，除必需在岗的工作人员外，用人单位应当根据工作地点、工作性质、防灾避灾需要等情况安排工作人员推迟上班、提前下班或者停工，并为在岗以及因天气原因滞留单位的工作人员提供必要的避险措施。</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 xml:space="preserve">第二十一条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雷雨大风预警信号生效时，有关部门、单位和人员应当做好以下应对措施：</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一）文化旅游、市场监督管理、住房城乡建设、城市管理综合执法等部门应当严密关注雷雨大风最新消息和有关防御通知，依法迅速组织公园、景区、游乐场等户外场所发出警示信息，适时关闭相关区域，停止营业，组织人员避险</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（二）住房城乡建设、交通运输、水务等部门应当加强在建工地防护措施的检查，督促施工单位加强工棚、脚手架、井架等设施和塔吊、龙门吊、升降机等机械、电器设备的安全防护，保障人员安全</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（三）轨道交通、高速公路、港口码头等行政主管部门应当督促经营管理单位迅速采取措施，确保安全</w:t>
      </w:r>
      <w:r>
        <w:rPr>
          <w:rFonts w:hint="eastAsia" w:ascii="仿宋" w:hAnsi="仿宋" w:eastAsia="仿宋" w:cs="仿宋"/>
          <w:b w:val="0"/>
          <w:bCs w:val="0"/>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480" w:firstLineChars="15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四）公众应当关紧门窗，妥善安置室外搁置物和悬挂物，避免外出，远离户外广告牌、棚架、铁皮屋、板房等易被大风吹动的搭建物，切勿在树下、电杆下、塔吊下躲避，应当留在有雷电防护装置的安全场所暂避。遭受雷击的单位或者个人应当及时向当地气象主管机构报告，并协助气象主管机构对雷电灾害进行调查与鉴定。</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第二十二条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高温预警信号生效时，用人单位应当依照《广东省高温天气劳动保护办法》有关规定</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合理安排工作时间，适时减少或者停止户外作业，做好防暑降温工作，保障劳动者身体健康和生命安全。</w:t>
      </w:r>
    </w:p>
    <w:p>
      <w:pPr>
        <w:pStyle w:val="3"/>
        <w:keepNext w:val="0"/>
        <w:keepLines w:val="0"/>
        <w:pageBreakBefore w:val="0"/>
        <w:widowControl w:val="0"/>
        <w:kinsoku/>
        <w:wordWrap/>
        <w:overflowPunct/>
        <w:topLinePunct w:val="0"/>
        <w:autoSpaceDE/>
        <w:autoSpaceDN/>
        <w:bidi w:val="0"/>
        <w:adjustRightInd w:val="0"/>
        <w:snapToGrid w:val="0"/>
        <w:spacing w:beforeAutospacing="0" w:after="0" w:line="336" w:lineRule="auto"/>
        <w:ind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森林火险预警信号生效时，林业</w:t>
      </w:r>
      <w:r>
        <w:rPr>
          <w:rFonts w:hint="eastAsia" w:ascii="仿宋" w:hAnsi="仿宋" w:eastAsia="仿宋" w:cs="仿宋"/>
          <w:b w:val="0"/>
          <w:bCs w:val="0"/>
          <w:color w:val="auto"/>
          <w:kern w:val="0"/>
          <w:sz w:val="32"/>
          <w:szCs w:val="32"/>
          <w:highlight w:val="none"/>
          <w:u w:val="none"/>
          <w:lang w:val="en-US" w:eastAsia="zh-CN"/>
        </w:rPr>
        <w:t>和</w:t>
      </w:r>
      <w:r>
        <w:rPr>
          <w:rFonts w:hint="eastAsia" w:ascii="仿宋" w:hAnsi="仿宋" w:eastAsia="仿宋" w:cs="仿宋"/>
          <w:b w:val="0"/>
          <w:bCs w:val="0"/>
          <w:color w:val="auto"/>
          <w:kern w:val="0"/>
          <w:sz w:val="32"/>
          <w:szCs w:val="32"/>
          <w:highlight w:val="none"/>
          <w:u w:val="none"/>
        </w:rPr>
        <w:t>应急管理</w:t>
      </w:r>
      <w:r>
        <w:rPr>
          <w:rFonts w:hint="eastAsia" w:ascii="仿宋" w:hAnsi="仿宋" w:eastAsia="仿宋" w:cs="仿宋"/>
          <w:b w:val="0"/>
          <w:bCs w:val="0"/>
          <w:color w:val="auto"/>
          <w:kern w:val="0"/>
          <w:sz w:val="32"/>
          <w:szCs w:val="32"/>
          <w:highlight w:val="none"/>
          <w:u w:val="none"/>
          <w:lang w:val="en-US" w:eastAsia="zh-CN"/>
        </w:rPr>
        <w:t>等</w:t>
      </w:r>
      <w:r>
        <w:rPr>
          <w:rFonts w:hint="eastAsia" w:ascii="仿宋" w:hAnsi="仿宋" w:eastAsia="仿宋" w:cs="仿宋"/>
          <w:b w:val="0"/>
          <w:bCs w:val="0"/>
          <w:color w:val="auto"/>
          <w:kern w:val="0"/>
          <w:sz w:val="32"/>
          <w:szCs w:val="32"/>
          <w:highlight w:val="none"/>
          <w:u w:val="none"/>
        </w:rPr>
        <w:t>部门应当加强森林防火宣传教育，提高公众森林防火意识</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lang w:val="en-US" w:eastAsia="zh-CN"/>
        </w:rPr>
        <w:t>应急管理和</w:t>
      </w:r>
      <w:r>
        <w:rPr>
          <w:rFonts w:hint="eastAsia" w:ascii="仿宋" w:hAnsi="仿宋" w:eastAsia="仿宋" w:cs="仿宋"/>
          <w:b w:val="0"/>
          <w:bCs w:val="0"/>
          <w:color w:val="auto"/>
          <w:kern w:val="0"/>
          <w:sz w:val="32"/>
          <w:szCs w:val="32"/>
          <w:highlight w:val="none"/>
          <w:u w:val="none"/>
          <w:lang w:eastAsia="zh-CN"/>
        </w:rPr>
        <w:t>林业部门</w:t>
      </w:r>
      <w:r>
        <w:rPr>
          <w:rFonts w:hint="eastAsia" w:ascii="仿宋" w:hAnsi="仿宋" w:eastAsia="仿宋" w:cs="仿宋"/>
          <w:b w:val="0"/>
          <w:bCs w:val="0"/>
          <w:color w:val="auto"/>
          <w:kern w:val="0"/>
          <w:sz w:val="32"/>
          <w:szCs w:val="32"/>
          <w:highlight w:val="none"/>
          <w:u w:val="none"/>
          <w:lang w:val="en-US" w:eastAsia="zh-CN"/>
        </w:rPr>
        <w:t>应当</w:t>
      </w:r>
      <w:r>
        <w:rPr>
          <w:rFonts w:hint="eastAsia" w:ascii="仿宋" w:hAnsi="仿宋" w:eastAsia="仿宋" w:cs="仿宋"/>
          <w:b w:val="0"/>
          <w:bCs w:val="0"/>
          <w:color w:val="auto"/>
          <w:kern w:val="0"/>
          <w:sz w:val="32"/>
          <w:szCs w:val="32"/>
          <w:highlight w:val="none"/>
          <w:u w:val="none"/>
          <w:lang w:eastAsia="zh-CN"/>
        </w:rPr>
        <w:t>督促有关单位</w:t>
      </w:r>
      <w:r>
        <w:rPr>
          <w:rFonts w:hint="eastAsia" w:ascii="仿宋" w:hAnsi="仿宋" w:eastAsia="仿宋" w:cs="仿宋"/>
          <w:b w:val="0"/>
          <w:bCs w:val="0"/>
          <w:color w:val="auto"/>
          <w:kern w:val="0"/>
          <w:sz w:val="32"/>
          <w:szCs w:val="32"/>
          <w:highlight w:val="none"/>
          <w:u w:val="none"/>
        </w:rPr>
        <w:t>加强值班调度</w:t>
      </w:r>
      <w:r>
        <w:rPr>
          <w:rFonts w:hint="eastAsia" w:ascii="仿宋" w:hAnsi="仿宋" w:eastAsia="仿宋" w:cs="仿宋"/>
          <w:b w:val="0"/>
          <w:bCs w:val="0"/>
          <w:color w:val="auto"/>
          <w:kern w:val="0"/>
          <w:sz w:val="32"/>
          <w:szCs w:val="32"/>
          <w:highlight w:val="none"/>
          <w:u w:val="none"/>
          <w:lang w:val="en-US" w:eastAsia="zh-CN"/>
        </w:rPr>
        <w:t>和</w:t>
      </w:r>
      <w:r>
        <w:rPr>
          <w:rFonts w:hint="eastAsia" w:ascii="仿宋" w:hAnsi="仿宋" w:eastAsia="仿宋" w:cs="仿宋"/>
          <w:b w:val="0"/>
          <w:bCs w:val="0"/>
          <w:color w:val="auto"/>
          <w:kern w:val="0"/>
          <w:sz w:val="32"/>
          <w:szCs w:val="32"/>
          <w:highlight w:val="none"/>
          <w:u w:val="none"/>
        </w:rPr>
        <w:t>巡山护林，密切注意林火信息动态，落实各项防范措施，及时消除森林火灾隐患；森林消防队伍</w:t>
      </w:r>
      <w:r>
        <w:rPr>
          <w:rFonts w:hint="eastAsia" w:ascii="仿宋" w:hAnsi="仿宋" w:eastAsia="仿宋" w:cs="仿宋"/>
          <w:b w:val="0"/>
          <w:bCs w:val="0"/>
          <w:color w:val="auto"/>
          <w:kern w:val="0"/>
          <w:sz w:val="32"/>
          <w:szCs w:val="32"/>
          <w:highlight w:val="none"/>
          <w:u w:val="none"/>
          <w:lang w:val="en-US" w:eastAsia="zh-CN"/>
        </w:rPr>
        <w:t>应当</w:t>
      </w:r>
      <w:r>
        <w:rPr>
          <w:rFonts w:hint="eastAsia" w:ascii="仿宋" w:hAnsi="仿宋" w:eastAsia="仿宋" w:cs="仿宋"/>
          <w:b w:val="0"/>
          <w:bCs w:val="0"/>
          <w:color w:val="auto"/>
          <w:kern w:val="0"/>
          <w:sz w:val="32"/>
          <w:szCs w:val="32"/>
          <w:highlight w:val="none"/>
          <w:u w:val="none"/>
        </w:rPr>
        <w:t>做好扑火救灾的充分准备工作。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sz w:val="32"/>
          <w:szCs w:val="32"/>
          <w:highlight w:val="none"/>
          <w:u w:val="none"/>
          <w:lang w:eastAsia="zh-CN"/>
        </w:rPr>
      </w:pPr>
      <w:r>
        <w:rPr>
          <w:rFonts w:hint="eastAsia" w:ascii="黑体" w:hAnsi="黑体" w:eastAsia="黑体" w:cs="黑体"/>
          <w:b w:val="0"/>
          <w:bCs w:val="0"/>
          <w:color w:val="auto"/>
          <w:kern w:val="0"/>
          <w:sz w:val="32"/>
          <w:szCs w:val="32"/>
          <w:highlight w:val="none"/>
          <w:u w:val="none"/>
          <w:lang w:val="en-US" w:eastAsia="zh-CN"/>
        </w:rPr>
        <w:t xml:space="preserve">第二十三条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寒</w:t>
      </w:r>
      <w:r>
        <w:rPr>
          <w:rFonts w:hint="eastAsia" w:ascii="仿宋" w:hAnsi="仿宋" w:eastAsia="仿宋" w:cs="仿宋"/>
          <w:b w:val="0"/>
          <w:bCs w:val="0"/>
          <w:color w:val="auto"/>
          <w:sz w:val="32"/>
          <w:szCs w:val="32"/>
          <w:highlight w:val="none"/>
          <w:u w:val="none"/>
        </w:rPr>
        <w:t>冷预警信号生效时，</w:t>
      </w:r>
      <w:r>
        <w:rPr>
          <w:rFonts w:hint="eastAsia" w:ascii="仿宋" w:hAnsi="仿宋" w:eastAsia="仿宋" w:cs="仿宋"/>
          <w:b w:val="0"/>
          <w:bCs w:val="0"/>
          <w:color w:val="auto"/>
          <w:kern w:val="0"/>
          <w:sz w:val="32"/>
          <w:szCs w:val="32"/>
          <w:highlight w:val="none"/>
          <w:u w:val="none"/>
        </w:rPr>
        <w:t>广播、电视、报纸、网络等媒体和通信运营单位</w:t>
      </w:r>
      <w:r>
        <w:rPr>
          <w:rFonts w:hint="eastAsia" w:ascii="仿宋" w:hAnsi="仿宋" w:eastAsia="仿宋" w:cs="仿宋"/>
          <w:b w:val="0"/>
          <w:bCs w:val="0"/>
          <w:color w:val="auto"/>
          <w:sz w:val="32"/>
          <w:szCs w:val="32"/>
          <w:highlight w:val="none"/>
          <w:u w:val="none"/>
          <w:lang w:eastAsia="zh-CN"/>
        </w:rPr>
        <w:t>在播报寒冷预警信号时，应当提示公众做好防寒保暖措施；</w:t>
      </w:r>
      <w:r>
        <w:rPr>
          <w:rFonts w:hint="eastAsia" w:ascii="仿宋" w:hAnsi="仿宋" w:eastAsia="仿宋" w:cs="仿宋"/>
          <w:b w:val="0"/>
          <w:bCs w:val="0"/>
          <w:color w:val="auto"/>
          <w:sz w:val="32"/>
          <w:szCs w:val="32"/>
          <w:highlight w:val="none"/>
          <w:u w:val="none"/>
        </w:rPr>
        <w:t>民政、应急管理等部门应当开放救助站和应急避难场所，做好困难人员以及流浪乞讨人员的防寒防冻措施</w:t>
      </w:r>
      <w:r>
        <w:rPr>
          <w:rFonts w:hint="eastAsia" w:ascii="仿宋" w:hAnsi="仿宋" w:eastAsia="仿宋" w:cs="仿宋"/>
          <w:b w:val="0"/>
          <w:bCs w:val="0"/>
          <w:color w:val="auto"/>
          <w:sz w:val="32"/>
          <w:szCs w:val="32"/>
          <w:highlight w:val="none"/>
          <w:u w:val="none"/>
          <w:lang w:eastAsia="zh-CN"/>
        </w:rPr>
        <w:t>；农业</w:t>
      </w:r>
      <w:r>
        <w:rPr>
          <w:rFonts w:hint="eastAsia" w:ascii="仿宋" w:hAnsi="仿宋" w:eastAsia="仿宋" w:cs="仿宋"/>
          <w:b w:val="0"/>
          <w:bCs w:val="0"/>
          <w:color w:val="auto"/>
          <w:sz w:val="32"/>
          <w:szCs w:val="32"/>
          <w:highlight w:val="none"/>
          <w:u w:val="none"/>
          <w:lang w:val="en-US" w:eastAsia="zh-CN"/>
        </w:rPr>
        <w:t>农村</w:t>
      </w:r>
      <w:r>
        <w:rPr>
          <w:rFonts w:hint="eastAsia" w:ascii="仿宋" w:hAnsi="仿宋" w:eastAsia="仿宋" w:cs="仿宋"/>
          <w:b w:val="0"/>
          <w:bCs w:val="0"/>
          <w:color w:val="auto"/>
          <w:sz w:val="32"/>
          <w:szCs w:val="32"/>
          <w:highlight w:val="none"/>
          <w:u w:val="none"/>
          <w:lang w:eastAsia="zh-CN"/>
        </w:rPr>
        <w:t>、林业等部门应当指导农业、畜牧业、渔业和林业等行业采取防寒措施，做好农作物、畜禽、水生动物和古树名木的防寒防冻工作。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line="336" w:lineRule="auto"/>
        <w:ind w:firstLine="640" w:firstLineChars="200"/>
        <w:textAlignment w:val="auto"/>
        <w:outlineLvl w:val="9"/>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lang w:eastAsia="zh-CN"/>
        </w:rPr>
        <w:t>冰雹预警信号生效时，农业农村部门应当通知养殖种植户提前做好防范措施，将家禽、牲畜等赶到带有顶蓬的安全场所；公众应当妥善安置易受冰雹影响的室外物品；户外人员应当尽快到安全场所暂避。</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第二十四条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大雾、灰霾预警信号生效时，公安、交通运输、海事、</w:t>
      </w:r>
      <w:r>
        <w:rPr>
          <w:rFonts w:hint="eastAsia" w:ascii="仿宋" w:hAnsi="仿宋" w:eastAsia="仿宋" w:cs="仿宋"/>
          <w:b w:val="0"/>
          <w:bCs w:val="0"/>
          <w:color w:val="auto"/>
          <w:kern w:val="0"/>
          <w:sz w:val="32"/>
          <w:szCs w:val="32"/>
          <w:highlight w:val="none"/>
          <w:u w:val="none"/>
          <w:lang w:val="en-US"/>
        </w:rPr>
        <w:t>农业农村</w:t>
      </w:r>
      <w:r>
        <w:rPr>
          <w:rFonts w:hint="eastAsia" w:ascii="仿宋" w:hAnsi="仿宋" w:eastAsia="仿宋" w:cs="仿宋"/>
          <w:b w:val="0"/>
          <w:bCs w:val="0"/>
          <w:color w:val="auto"/>
          <w:kern w:val="0"/>
          <w:sz w:val="32"/>
          <w:szCs w:val="32"/>
          <w:highlight w:val="none"/>
          <w:u w:val="none"/>
        </w:rPr>
        <w:t>等部门应当加强车辆、船舶运行的科学调度和安全运行，必要时可以采取交通管制、停运、停航等措施。公众应当根据大雾、灰霾预警信号以及防御指引减少户外活动，避免在交通干线等地方停留。中小学校、幼儿园、托儿所适时停止户外活动。</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 xml:space="preserve">第二十五条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市、县级人民政府及应急管理部门应当</w:t>
      </w:r>
      <w:r>
        <w:rPr>
          <w:rFonts w:hint="eastAsia" w:ascii="仿宋" w:hAnsi="仿宋" w:eastAsia="仿宋" w:cs="仿宋"/>
          <w:b w:val="0"/>
          <w:bCs w:val="0"/>
          <w:color w:val="auto"/>
          <w:kern w:val="0"/>
          <w:sz w:val="32"/>
          <w:szCs w:val="32"/>
          <w:highlight w:val="none"/>
          <w:u w:val="none"/>
          <w:lang w:val="en-US" w:eastAsia="zh-CN"/>
        </w:rPr>
        <w:t>建立健全</w:t>
      </w:r>
      <w:r>
        <w:rPr>
          <w:rFonts w:hint="eastAsia" w:ascii="仿宋" w:hAnsi="仿宋" w:eastAsia="仿宋" w:cs="仿宋"/>
          <w:b w:val="0"/>
          <w:bCs w:val="0"/>
          <w:color w:val="auto"/>
          <w:kern w:val="0"/>
          <w:sz w:val="32"/>
          <w:szCs w:val="32"/>
          <w:highlight w:val="none"/>
          <w:u w:val="none"/>
        </w:rPr>
        <w:t>气象预警与应急响应联动机制，根据灾害性天气警报、气象灾害预警信号和气象灾害应急预案启动标准，及时启动相应应急预案，并报告上一级人民政府。气象灾害应急响应启动后，有关人民政府、部门和单位应当按照应急预案和各自职责做好应急处置工作。</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left="0"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大型群众性活动的</w:t>
      </w:r>
      <w:r>
        <w:rPr>
          <w:rFonts w:hint="eastAsia" w:ascii="仿宋" w:hAnsi="仿宋" w:eastAsia="仿宋" w:cs="仿宋"/>
          <w:b w:val="0"/>
          <w:bCs w:val="0"/>
          <w:color w:val="auto"/>
          <w:kern w:val="0"/>
          <w:sz w:val="32"/>
          <w:szCs w:val="32"/>
          <w:highlight w:val="none"/>
          <w:u w:val="none"/>
          <w:lang w:val="en-US" w:eastAsia="zh-CN"/>
        </w:rPr>
        <w:t>主办者或者承办者</w:t>
      </w:r>
      <w:r>
        <w:rPr>
          <w:rFonts w:hint="eastAsia" w:ascii="仿宋" w:hAnsi="仿宋" w:eastAsia="仿宋" w:cs="仿宋"/>
          <w:b w:val="0"/>
          <w:bCs w:val="0"/>
          <w:color w:val="auto"/>
          <w:kern w:val="0"/>
          <w:sz w:val="32"/>
          <w:szCs w:val="32"/>
          <w:highlight w:val="none"/>
          <w:u w:val="none"/>
        </w:rPr>
        <w:t>应当将气象灾害</w:t>
      </w:r>
      <w:r>
        <w:rPr>
          <w:rFonts w:hint="eastAsia" w:ascii="仿宋" w:hAnsi="仿宋" w:eastAsia="仿宋" w:cs="仿宋"/>
          <w:b w:val="0"/>
          <w:bCs w:val="0"/>
          <w:color w:val="auto"/>
          <w:kern w:val="0"/>
          <w:sz w:val="32"/>
          <w:szCs w:val="32"/>
          <w:highlight w:val="none"/>
          <w:u w:val="none"/>
          <w:lang w:val="en-US" w:eastAsia="zh-CN"/>
        </w:rPr>
        <w:t>影响因素</w:t>
      </w:r>
      <w:r>
        <w:rPr>
          <w:rFonts w:hint="eastAsia" w:ascii="仿宋" w:hAnsi="仿宋" w:eastAsia="仿宋" w:cs="仿宋"/>
          <w:b w:val="0"/>
          <w:bCs w:val="0"/>
          <w:color w:val="auto"/>
          <w:kern w:val="0"/>
          <w:sz w:val="32"/>
          <w:szCs w:val="32"/>
          <w:highlight w:val="none"/>
          <w:u w:val="none"/>
        </w:rPr>
        <w:t>纳入应急预案</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主动获取气象预报和气象灾害预警信息，适时调整</w:t>
      </w:r>
      <w:r>
        <w:rPr>
          <w:rFonts w:hint="eastAsia" w:ascii="仿宋" w:hAnsi="仿宋" w:eastAsia="仿宋" w:cs="仿宋"/>
          <w:b w:val="0"/>
          <w:bCs w:val="0"/>
          <w:color w:val="auto"/>
          <w:kern w:val="0"/>
          <w:sz w:val="32"/>
          <w:szCs w:val="32"/>
          <w:highlight w:val="none"/>
          <w:u w:val="none"/>
          <w:lang w:val="en-US" w:eastAsia="zh-CN"/>
        </w:rPr>
        <w:t>活动时间、</w:t>
      </w:r>
      <w:r>
        <w:rPr>
          <w:rFonts w:hint="eastAsia" w:ascii="仿宋" w:hAnsi="仿宋" w:eastAsia="仿宋" w:cs="仿宋"/>
          <w:b w:val="0"/>
          <w:bCs w:val="0"/>
          <w:color w:val="auto"/>
          <w:kern w:val="0"/>
          <w:sz w:val="32"/>
          <w:szCs w:val="32"/>
          <w:highlight w:val="none"/>
          <w:u w:val="none"/>
        </w:rPr>
        <w:t>活动方案</w:t>
      </w:r>
      <w:r>
        <w:rPr>
          <w:rFonts w:hint="eastAsia" w:ascii="仿宋" w:hAnsi="仿宋" w:eastAsia="仿宋" w:cs="仿宋"/>
          <w:b w:val="0"/>
          <w:bCs w:val="0"/>
          <w:color w:val="auto"/>
          <w:kern w:val="0"/>
          <w:sz w:val="32"/>
          <w:szCs w:val="32"/>
          <w:highlight w:val="none"/>
          <w:u w:val="none"/>
          <w:lang w:val="en-US" w:eastAsia="zh-CN"/>
        </w:rPr>
        <w:t>或者</w:t>
      </w:r>
      <w:r>
        <w:rPr>
          <w:rFonts w:hint="eastAsia" w:ascii="仿宋" w:hAnsi="仿宋" w:eastAsia="仿宋" w:cs="仿宋"/>
          <w:b w:val="0"/>
          <w:bCs w:val="0"/>
          <w:color w:val="auto"/>
          <w:kern w:val="0"/>
          <w:sz w:val="32"/>
          <w:szCs w:val="32"/>
          <w:highlight w:val="none"/>
          <w:u w:val="none"/>
        </w:rPr>
        <w:t>采取</w:t>
      </w:r>
      <w:r>
        <w:rPr>
          <w:rFonts w:hint="eastAsia" w:ascii="仿宋" w:hAnsi="仿宋" w:eastAsia="仿宋" w:cs="仿宋"/>
          <w:b w:val="0"/>
          <w:bCs w:val="0"/>
          <w:color w:val="auto"/>
          <w:kern w:val="0"/>
          <w:sz w:val="32"/>
          <w:szCs w:val="32"/>
          <w:highlight w:val="none"/>
          <w:u w:val="none"/>
          <w:lang w:val="en-US" w:eastAsia="zh-CN"/>
        </w:rPr>
        <w:t>相应的应急处置</w:t>
      </w:r>
      <w:r>
        <w:rPr>
          <w:rFonts w:hint="eastAsia" w:ascii="仿宋" w:hAnsi="仿宋" w:eastAsia="仿宋" w:cs="仿宋"/>
          <w:b w:val="0"/>
          <w:bCs w:val="0"/>
          <w:color w:val="auto"/>
          <w:kern w:val="0"/>
          <w:sz w:val="32"/>
          <w:szCs w:val="32"/>
          <w:highlight w:val="none"/>
          <w:u w:val="none"/>
        </w:rPr>
        <w:t>措施</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lang w:val="en-US" w:eastAsia="zh-CN"/>
        </w:rPr>
        <w:t>确保活动安全</w:t>
      </w:r>
      <w:r>
        <w:rPr>
          <w:rFonts w:hint="eastAsia" w:ascii="仿宋" w:hAnsi="仿宋" w:eastAsia="仿宋" w:cs="仿宋"/>
          <w:b w:val="0"/>
          <w:bCs w:val="0"/>
          <w:color w:val="auto"/>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left="0"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气象灾害应急响应的启动和终止，应当及时向社会公布。</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 xml:space="preserve">第二十六条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市、县级人民政府根据气象灾害应急处置的需要，除依照《广东省气象灾害防御条例》有关规定采取相应的应急处置措施外，还可以依法采取下列应急处置措施：</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left="0" w:firstLine="480" w:firstLineChars="15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（一）决定停课、停工、停产、停运、停业。</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left="0" w:firstLine="480" w:firstLineChars="15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（二）组织具有特定专长的人员参加应急救援和处置工作。</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left="0" w:firstLine="480" w:firstLineChars="15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sz w:val="32"/>
          <w:szCs w:val="32"/>
          <w:highlight w:val="none"/>
          <w:u w:val="none"/>
        </w:rPr>
        <w:t>（</w:t>
      </w:r>
      <w:r>
        <w:rPr>
          <w:rFonts w:hint="eastAsia" w:ascii="仿宋" w:hAnsi="仿宋" w:eastAsia="仿宋" w:cs="仿宋"/>
          <w:b w:val="0"/>
          <w:bCs w:val="0"/>
          <w:color w:val="auto"/>
          <w:kern w:val="0"/>
          <w:sz w:val="32"/>
          <w:szCs w:val="32"/>
          <w:highlight w:val="none"/>
          <w:u w:val="none"/>
        </w:rPr>
        <w:t>三）依法临时征用房屋、物资设备、运输工具</w:t>
      </w:r>
      <w:r>
        <w:rPr>
          <w:rFonts w:hint="eastAsia" w:ascii="仿宋" w:hAnsi="仿宋" w:eastAsia="仿宋" w:cs="仿宋"/>
          <w:b w:val="0"/>
          <w:bCs w:val="0"/>
          <w:color w:val="auto"/>
          <w:kern w:val="0"/>
          <w:sz w:val="32"/>
          <w:szCs w:val="32"/>
          <w:highlight w:val="none"/>
          <w:u w:val="none"/>
          <w:lang w:val="en-US" w:eastAsia="zh-CN"/>
        </w:rPr>
        <w:t>和</w:t>
      </w:r>
      <w:r>
        <w:rPr>
          <w:rFonts w:hint="eastAsia" w:ascii="仿宋" w:hAnsi="仿宋" w:eastAsia="仿宋" w:cs="仿宋"/>
          <w:b w:val="0"/>
          <w:bCs w:val="0"/>
          <w:color w:val="auto"/>
          <w:kern w:val="0"/>
          <w:sz w:val="32"/>
          <w:szCs w:val="32"/>
          <w:highlight w:val="none"/>
          <w:u w:val="none"/>
        </w:rPr>
        <w:t>场地等。</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left="0" w:firstLine="480" w:firstLineChars="15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（四）法律、法规规定</w:t>
      </w:r>
      <w:bookmarkStart w:id="0" w:name="_GoBack"/>
      <w:bookmarkEnd w:id="0"/>
      <w:r>
        <w:rPr>
          <w:rFonts w:hint="eastAsia" w:ascii="仿宋" w:hAnsi="仿宋" w:eastAsia="仿宋" w:cs="仿宋"/>
          <w:b w:val="0"/>
          <w:bCs w:val="0"/>
          <w:color w:val="auto"/>
          <w:kern w:val="0"/>
          <w:sz w:val="32"/>
          <w:szCs w:val="32"/>
          <w:highlight w:val="none"/>
          <w:u w:val="none"/>
        </w:rPr>
        <w:t>的其他应急处置措施。</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第二十七条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气象灾害应急处置工作结束后，当地人民政府应当组织气象、应急管理、民政、自然资源、住房城乡建设、交通运输、水务、电力、通信等有关部门对气象灾害造成的损失开展调查、核实、评估工作，组织受灾地区尽快恢复生产、生活、工作和社会秩序，制定恢复重建计划，完善气象灾害应急预案，修复或者加固气象灾害防御设施</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并向上一级人民政府报告。</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left="0"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气象灾害发生地的单位和个人应当向调查人员如实提供情况，不得隐瞒、谎报气象灾害情况。</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第二十八条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lang w:eastAsia="zh-CN"/>
        </w:rPr>
        <w:t>各级人民政府、气象主管机构和其他有关主管部门及其工作人员违反本规定，未依法履行气象灾害防御职责的，由有关机关责令改正；情节严重的，对直接负责的主管人员和其他直接责任人员依法给予处分；构成犯罪的，依法追究刑事责任。</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 xml:space="preserve">第二十九条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违反本规定的行为，《中华人民共和国气象法》《气象灾害防御条例》《广东省气象灾害防御条例》等法律</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法规</w:t>
      </w:r>
      <w:r>
        <w:rPr>
          <w:rFonts w:hint="eastAsia" w:ascii="仿宋" w:hAnsi="仿宋" w:eastAsia="仿宋" w:cs="仿宋"/>
          <w:b w:val="0"/>
          <w:bCs w:val="0"/>
          <w:color w:val="auto"/>
          <w:kern w:val="0"/>
          <w:sz w:val="32"/>
          <w:szCs w:val="32"/>
          <w:highlight w:val="none"/>
          <w:u w:val="none"/>
          <w:lang w:val="en-US" w:eastAsia="zh-CN"/>
        </w:rPr>
        <w:t>和规章</w:t>
      </w:r>
      <w:r>
        <w:rPr>
          <w:rFonts w:hint="eastAsia" w:ascii="仿宋" w:hAnsi="仿宋" w:eastAsia="仿宋" w:cs="仿宋"/>
          <w:b w:val="0"/>
          <w:bCs w:val="0"/>
          <w:color w:val="auto"/>
          <w:kern w:val="0"/>
          <w:sz w:val="32"/>
          <w:szCs w:val="32"/>
          <w:highlight w:val="none"/>
          <w:u w:val="none"/>
        </w:rPr>
        <w:t>已规定法律责任的，从其规定。</w:t>
      </w:r>
    </w:p>
    <w:p>
      <w:pPr>
        <w:pStyle w:val="2"/>
        <w:ind w:left="0" w:leftChars="0" w:firstLine="0" w:firstLineChars="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color w:val="auto"/>
          <w:kern w:val="0"/>
          <w:sz w:val="32"/>
          <w:szCs w:val="32"/>
          <w:highlight w:val="none"/>
          <w:u w:val="none"/>
          <w:lang w:val="en-US" w:eastAsia="zh-CN" w:bidi="ar-SA"/>
        </w:rPr>
        <w:t>　　第三十条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本规定自</w:t>
      </w:r>
      <w:r>
        <w:rPr>
          <w:rFonts w:hint="eastAsia" w:ascii="仿宋" w:hAnsi="仿宋" w:eastAsia="仿宋" w:cs="仿宋"/>
          <w:b w:val="0"/>
          <w:bCs w:val="0"/>
          <w:color w:val="auto"/>
          <w:kern w:val="0"/>
          <w:sz w:val="32"/>
          <w:szCs w:val="32"/>
          <w:highlight w:val="none"/>
          <w:u w:val="none"/>
          <w:lang w:val="en-US" w:eastAsia="zh-CN"/>
        </w:rPr>
        <w:t>2024</w:t>
      </w:r>
      <w:r>
        <w:rPr>
          <w:rFonts w:hint="eastAsia" w:ascii="仿宋" w:hAnsi="仿宋" w:eastAsia="仿宋" w:cs="仿宋"/>
          <w:b w:val="0"/>
          <w:bCs w:val="0"/>
          <w:color w:val="auto"/>
          <w:kern w:val="0"/>
          <w:sz w:val="32"/>
          <w:szCs w:val="32"/>
          <w:highlight w:val="none"/>
          <w:u w:val="none"/>
        </w:rPr>
        <w:t>年</w:t>
      </w:r>
      <w:r>
        <w:rPr>
          <w:rFonts w:hint="eastAsia" w:ascii="仿宋" w:hAnsi="仿宋" w:eastAsia="仿宋" w:cs="仿宋"/>
          <w:b w:val="0"/>
          <w:bCs w:val="0"/>
          <w:color w:val="auto"/>
          <w:kern w:val="0"/>
          <w:sz w:val="32"/>
          <w:szCs w:val="32"/>
          <w:highlight w:val="none"/>
          <w:u w:val="none"/>
          <w:lang w:val="en-US" w:eastAsia="zh-CN"/>
        </w:rPr>
        <w:t>5</w:t>
      </w:r>
      <w:r>
        <w:rPr>
          <w:rFonts w:hint="eastAsia" w:ascii="仿宋" w:hAnsi="仿宋" w:eastAsia="仿宋" w:cs="仿宋"/>
          <w:b w:val="0"/>
          <w:bCs w:val="0"/>
          <w:color w:val="auto"/>
          <w:kern w:val="0"/>
          <w:sz w:val="32"/>
          <w:szCs w:val="32"/>
          <w:highlight w:val="none"/>
          <w:u w:val="none"/>
        </w:rPr>
        <w:t>月</w:t>
      </w:r>
      <w:r>
        <w:rPr>
          <w:rFonts w:hint="eastAsia" w:ascii="仿宋" w:hAnsi="仿宋" w:eastAsia="仿宋" w:cs="仿宋"/>
          <w:b w:val="0"/>
          <w:bCs w:val="0"/>
          <w:color w:val="auto"/>
          <w:kern w:val="0"/>
          <w:sz w:val="32"/>
          <w:szCs w:val="32"/>
          <w:highlight w:val="none"/>
          <w:u w:val="none"/>
          <w:lang w:val="en-US" w:eastAsia="zh-CN"/>
        </w:rPr>
        <w:t>1</w:t>
      </w:r>
      <w:r>
        <w:rPr>
          <w:rFonts w:hint="eastAsia" w:ascii="仿宋" w:hAnsi="仿宋" w:eastAsia="仿宋" w:cs="仿宋"/>
          <w:b w:val="0"/>
          <w:bCs w:val="0"/>
          <w:color w:val="auto"/>
          <w:kern w:val="0"/>
          <w:sz w:val="32"/>
          <w:szCs w:val="32"/>
          <w:highlight w:val="none"/>
          <w:u w:val="none"/>
        </w:rPr>
        <w:t>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altName w:val="宋体"/>
    <w:panose1 w:val="02010601030101010101"/>
    <w:charset w:val="86"/>
    <w:family w:val="auto"/>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中山行书百年纪念版">
    <w:panose1 w:val="02010609000101010101"/>
    <w:charset w:val="86"/>
    <w:family w:val="auto"/>
    <w:pitch w:val="default"/>
    <w:sig w:usb0="800002BF" w:usb1="08476CFA" w:usb2="00000012" w:usb3="00000000" w:csb0="00040000" w:csb1="00000000"/>
  </w:font>
  <w:font w:name="华文仿宋">
    <w:panose1 w:val="02010600040101010101"/>
    <w:charset w:val="86"/>
    <w:family w:val="auto"/>
    <w:pitch w:val="default"/>
    <w:sig w:usb0="00000287" w:usb1="080F0000" w:usb2="00000000" w:usb3="00000000" w:csb0="0004009F" w:csb1="DFD70000"/>
  </w:font>
  <w:font w:name="方正中倩简体">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李旭科书法">
    <w:panose1 w:val="02000603000000000000"/>
    <w:charset w:val="86"/>
    <w:family w:val="auto"/>
    <w:pitch w:val="default"/>
    <w:sig w:usb0="800002BF" w:usb1="08CF7CEA" w:usb2="00000012" w:usb3="00000000" w:csb0="00040000" w:csb1="00000000"/>
  </w:font>
  <w:font w:name="汉仪国强行书W">
    <w:panose1 w:val="00020600040101010101"/>
    <w:charset w:val="86"/>
    <w:family w:val="auto"/>
    <w:pitch w:val="default"/>
    <w:sig w:usb0="A00002BF" w:usb1="18EF7CFA" w:usb2="00000016" w:usb3="00000000" w:csb0="00040000" w:csb1="00000000"/>
  </w:font>
  <w:font w:name="汉仪旗黑-55S">
    <w:panose1 w:val="00020600040101010101"/>
    <w:charset w:val="86"/>
    <w:family w:val="auto"/>
    <w:pitch w:val="default"/>
    <w:sig w:usb0="A00002BF" w:usb1="18EF7CFA" w:usb2="00000016" w:usb3="00000000" w:csb0="00040000" w:csb1="00000000"/>
  </w:font>
  <w:font w:name="汉仪旗黑X1-75W">
    <w:panose1 w:val="00020600040101010101"/>
    <w:charset w:val="86"/>
    <w:family w:val="auto"/>
    <w:pitch w:val="default"/>
    <w:sig w:usb0="A00002BF" w:usb1="1ACF7CFA" w:usb2="00000016" w:usb3="00000000" w:csb0="00040000" w:csb1="00000000"/>
  </w:font>
  <w:font w:name="汉仪旗黑X3-65W">
    <w:panose1 w:val="00020600040101010101"/>
    <w:charset w:val="86"/>
    <w:family w:val="auto"/>
    <w:pitch w:val="default"/>
    <w:sig w:usb0="A00002BF" w:usb1="1ACF7CFA" w:usb2="00000016" w:usb3="00000000" w:csb0="00040000" w:csb1="00000000"/>
  </w:font>
  <w:font w:name="汉仪旗黑X4-35W">
    <w:panose1 w:val="00020600040101010101"/>
    <w:charset w:val="86"/>
    <w:family w:val="auto"/>
    <w:pitch w:val="default"/>
    <w:sig w:usb0="A00002BF" w:usb1="1ACF7CFA" w:usb2="00000016" w:usb3="00000000" w:csb0="00040000" w:csb1="00000000"/>
  </w:font>
  <w:font w:name="汉仪旗黑Y4-35W">
    <w:panose1 w:val="00020600040101010101"/>
    <w:charset w:val="86"/>
    <w:family w:val="auto"/>
    <w:pitch w:val="default"/>
    <w:sig w:usb0="A00002BF" w:usb1="1ACF7CFA" w:usb2="00000016" w:usb3="00000000" w:csb0="00040000" w:csb1="00000000"/>
  </w:font>
  <w:font w:name="汉仪粗宋简">
    <w:panose1 w:val="02010609000101010101"/>
    <w:charset w:val="86"/>
    <w:family w:val="auto"/>
    <w:pitch w:val="default"/>
    <w:sig w:usb0="00000001" w:usb1="080E0800" w:usb2="00000002" w:usb3="00000000" w:csb0="00040000" w:csb1="00000000"/>
  </w:font>
  <w:font w:name="汉仪锦昌体简">
    <w:panose1 w:val="00020600040101010101"/>
    <w:charset w:val="86"/>
    <w:family w:val="auto"/>
    <w:pitch w:val="default"/>
    <w:sig w:usb0="A00002BF" w:usb1="18EF7CFA" w:usb2="00000016" w:usb3="00000000" w:csb0="0004009F" w:csb1="DFD70000"/>
  </w:font>
  <w:font w:name="汉仪麒麟体繁">
    <w:panose1 w:val="01010104010101010101"/>
    <w:charset w:val="86"/>
    <w:family w:val="auto"/>
    <w:pitch w:val="default"/>
    <w:sig w:usb0="800002BF" w:usb1="004F6CFA" w:usb2="00000000" w:usb3="00000000" w:csb0="00040001" w:csb1="00000000"/>
  </w:font>
  <w:font w:name="良怀行书">
    <w:panose1 w:val="02010800040101010101"/>
    <w:charset w:val="86"/>
    <w:family w:val="auto"/>
    <w:pitch w:val="default"/>
    <w:sig w:usb0="00000001" w:usb1="080F0000" w:usb2="00000000" w:usb3="00000000" w:csb0="00040000" w:csb1="00000000"/>
  </w:font>
  <w:font w:name="造字工房力黑（非商用）常规体">
    <w:panose1 w:val="00000000000000000000"/>
    <w:charset w:val="86"/>
    <w:family w:val="auto"/>
    <w:pitch w:val="default"/>
    <w:sig w:usb0="00000001" w:usb1="08010000" w:usb2="00000000" w:usb3="00000000" w:csb0="00040001" w:csb1="00000000"/>
  </w:font>
  <w:font w:name="钟齐流江毛笔草体">
    <w:panose1 w:val="02000000000000000000"/>
    <w:charset w:val="86"/>
    <w:family w:val="auto"/>
    <w:pitch w:val="default"/>
    <w:sig w:usb0="00000001" w:usb1="08000000" w:usb2="00000000" w:usb3="00000000" w:csb0="00040000" w:csb1="00000000"/>
  </w:font>
  <w:font w:name="DFHaiBaoW12-GB5">
    <w:panose1 w:val="040B0C09000000000000"/>
    <w:charset w:val="88"/>
    <w:family w:val="auto"/>
    <w:pitch w:val="default"/>
    <w:sig w:usb0="80000001" w:usb1="28091800" w:usb2="00000016" w:usb3="00000000" w:csb0="00100000" w:csb1="00000000"/>
  </w:font>
  <w:font w:name="DFPPOP3W12-GB5">
    <w:panose1 w:val="040B0C00000000000000"/>
    <w:charset w:val="88"/>
    <w:family w:val="auto"/>
    <w:pitch w:val="default"/>
    <w:sig w:usb0="80000001" w:usb1="28091800" w:usb2="00000016" w:usb3="00000000" w:csb0="00100000" w:csb1="00000000"/>
  </w:font>
  <w:font w:name="MS UI Gothic">
    <w:panose1 w:val="020B0600070205080204"/>
    <w:charset w:val="80"/>
    <w:family w:val="auto"/>
    <w:pitch w:val="default"/>
    <w:sig w:usb0="E00002FF" w:usb1="6AC7FDFB" w:usb2="08000012" w:usb3="00000000" w:csb0="4002009F" w:csb1="DFD70000"/>
  </w:font>
  <w:font w:name="Bahnschrift SemiBold Condensed">
    <w:panose1 w:val="020B0502040204020203"/>
    <w:charset w:val="00"/>
    <w:family w:val="auto"/>
    <w:pitch w:val="default"/>
    <w:sig w:usb0="A00002C7" w:usb1="00000002" w:usb2="00000000" w:usb3="00000000" w:csb0="2000019F" w:csb1="00000000"/>
  </w:font>
  <w:font w:name="Consolas">
    <w:panose1 w:val="020B0609020204030204"/>
    <w:charset w:val="00"/>
    <w:family w:val="auto"/>
    <w:pitch w:val="default"/>
    <w:sig w:usb0="E00006FF" w:usb1="0000FCFF" w:usb2="00000001" w:usb3="00000000" w:csb0="6000019F" w:csb1="DFD70000"/>
  </w:font>
  <w:font w:name="Leelawadee UI">
    <w:panose1 w:val="020B0502040204020203"/>
    <w:charset w:val="00"/>
    <w:family w:val="auto"/>
    <w:pitch w:val="default"/>
    <w:sig w:usb0="83000003" w:usb1="00000000" w:usb2="00010000" w:usb3="00000001" w:csb0="00010101" w:csb1="00000000"/>
  </w:font>
  <w:font w:name="Microsoft Sans Serif">
    <w:panose1 w:val="020B0604020202020204"/>
    <w:charset w:val="00"/>
    <w:family w:val="auto"/>
    <w:pitch w:val="default"/>
    <w:sig w:usb0="E5002EFF" w:usb1="C000605B" w:usb2="00000029" w:usb3="00000000" w:csb0="200101FF" w:csb1="20280000"/>
  </w:font>
  <w:font w:name="Segoe Script">
    <w:panose1 w:val="030B0504020000000003"/>
    <w:charset w:val="00"/>
    <w:family w:val="auto"/>
    <w:pitch w:val="default"/>
    <w:sig w:usb0="0000028F" w:usb1="00000000" w:usb2="00000000" w:usb3="00000000" w:csb0="0000009F" w:csb1="00000000"/>
  </w:font>
  <w:font w:name="Segoe UI Variable Display Semibold">
    <w:panose1 w:val="00000000000000000000"/>
    <w:charset w:val="00"/>
    <w:family w:val="auto"/>
    <w:pitch w:val="default"/>
    <w:sig w:usb0="A00002FF" w:usb1="0000000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egoe UI Variable Text Light">
    <w:panose1 w:val="00000000000000000000"/>
    <w:charset w:val="00"/>
    <w:family w:val="auto"/>
    <w:pitch w:val="default"/>
    <w:sig w:usb0="A00002FF" w:usb1="0000000B" w:usb2="00000000" w:usb3="00000000" w:csb0="2000019F" w:csb1="00000000"/>
  </w:font>
  <w:font w:name="Segoe UI Historic">
    <w:panose1 w:val="020B0502040204020203"/>
    <w:charset w:val="00"/>
    <w:family w:val="auto"/>
    <w:pitch w:val="default"/>
    <w:sig w:usb0="800001EF" w:usb1="02000002" w:usb2="0060C080" w:usb3="00000002" w:csb0="00000001" w:csb1="4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汕尾市人民政府发布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汕尾市人民政府规章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db6ffc81-4ba7-4d64-99a5-f1410ff35209"/>
  </w:docVars>
  <w:rsids>
    <w:rsidRoot w:val="00172A27"/>
    <w:rsid w:val="019E71BD"/>
    <w:rsid w:val="04B679C3"/>
    <w:rsid w:val="080F63D8"/>
    <w:rsid w:val="0820504D"/>
    <w:rsid w:val="09341458"/>
    <w:rsid w:val="0AB32057"/>
    <w:rsid w:val="0B0912D7"/>
    <w:rsid w:val="0EBE3B42"/>
    <w:rsid w:val="152D2DCA"/>
    <w:rsid w:val="16A77235"/>
    <w:rsid w:val="1B2E09A4"/>
    <w:rsid w:val="1DEC284C"/>
    <w:rsid w:val="1E6523AC"/>
    <w:rsid w:val="21683340"/>
    <w:rsid w:val="22440422"/>
    <w:rsid w:val="28ED3EC6"/>
    <w:rsid w:val="293D641F"/>
    <w:rsid w:val="31A15F24"/>
    <w:rsid w:val="37C8622A"/>
    <w:rsid w:val="395347B5"/>
    <w:rsid w:val="39A232A0"/>
    <w:rsid w:val="39E745AA"/>
    <w:rsid w:val="3B5A6BBB"/>
    <w:rsid w:val="3EDA13A6"/>
    <w:rsid w:val="42F058B7"/>
    <w:rsid w:val="436109F6"/>
    <w:rsid w:val="441A38D4"/>
    <w:rsid w:val="44A63579"/>
    <w:rsid w:val="4BC77339"/>
    <w:rsid w:val="4C03387D"/>
    <w:rsid w:val="4C9236C5"/>
    <w:rsid w:val="4D3A5987"/>
    <w:rsid w:val="505C172E"/>
    <w:rsid w:val="52F46F0B"/>
    <w:rsid w:val="53D8014D"/>
    <w:rsid w:val="55E064E0"/>
    <w:rsid w:val="572C6D10"/>
    <w:rsid w:val="5DC34279"/>
    <w:rsid w:val="608816D1"/>
    <w:rsid w:val="60EF4E7F"/>
    <w:rsid w:val="665233C1"/>
    <w:rsid w:val="69114E28"/>
    <w:rsid w:val="6AD9688B"/>
    <w:rsid w:val="6BED4DC1"/>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widowControl/>
      <w:adjustRightInd w:val="0"/>
      <w:snapToGrid w:val="0"/>
      <w:spacing w:before="100" w:beforeAutospacing="1"/>
      <w:ind w:firstLine="420" w:firstLineChars="100"/>
      <w:jc w:val="left"/>
    </w:pPr>
    <w:rPr>
      <w:rFonts w:ascii="Tahoma" w:hAnsi="Tahoma" w:eastAsia="方正姚体" w:cs="Tahoma"/>
      <w:b/>
      <w:color w:val="FF0000"/>
      <w:kern w:val="0"/>
      <w:sz w:val="22"/>
      <w:lang w:eastAsia="en-US" w:bidi="en-US"/>
    </w:rPr>
  </w:style>
  <w:style w:type="paragraph" w:styleId="3">
    <w:name w:val="Body Text"/>
    <w:basedOn w:val="1"/>
    <w:next w:val="1"/>
    <w:qFormat/>
    <w:uiPriority w:val="0"/>
    <w:pPr>
      <w:spacing w:line="240" w:lineRule="auto"/>
      <w:ind w:firstLine="0" w:firstLineChars="0"/>
    </w:pPr>
    <w:rPr>
      <w:rFonts w:ascii="Times New Roman" w:hAnsi="Times New Roman" w:eastAsia="宋体" w:cs="Times New Roman"/>
      <w:sz w:val="32"/>
      <w:szCs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semiHidden/>
    <w:qFormat/>
    <w:uiPriority w:val="0"/>
    <w:pPr>
      <w:ind w:leftChars="200"/>
    </w:pPr>
  </w:style>
  <w:style w:type="character" w:styleId="10">
    <w:name w:val="page number"/>
    <w:basedOn w:val="9"/>
    <w:qFormat/>
    <w:uiPriority w:val="0"/>
  </w:style>
  <w:style w:type="paragraph" w:customStyle="1" w:styleId="11">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6741</Words>
  <Characters>6751</Characters>
  <Lines>1</Lines>
  <Paragraphs>1</Paragraphs>
  <TotalTime>7</TotalTime>
  <ScaleCrop>false</ScaleCrop>
  <LinksUpToDate>false</LinksUpToDate>
  <CharactersWithSpaces>6812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徐建冬</cp:lastModifiedBy>
  <cp:lastPrinted>2021-10-26T03:30:00Z</cp:lastPrinted>
  <dcterms:modified xsi:type="dcterms:W3CDTF">2024-03-22T07:44:03Z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ECFE4D5FD32F4F0EAE67B7AF7BECACCE_13</vt:lpwstr>
  </property>
</Properties>
</file>