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p>
    <w:p>
      <w:pPr>
        <w:keepNext w:val="0"/>
        <w:keepLines w:val="0"/>
        <w:pageBreakBefore w:val="0"/>
        <w:widowControl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方正小标宋简体" w:hAnsi="方正小标宋简体" w:eastAsia="方正小标宋简体" w:cs="方正小标宋简体"/>
          <w:color w:val="auto"/>
          <w:sz w:val="44"/>
          <w:szCs w:val="44"/>
          <w:shd w:val="clear" w:color="auto" w:fill="auto"/>
          <w:lang w:val="en-US" w:eastAsia="zh-CN"/>
        </w:rPr>
        <w:t>深圳市—汕尾市共建产业转移合作园区</w:t>
      </w:r>
    </w:p>
    <w:p>
      <w:pPr>
        <w:keepNext w:val="0"/>
        <w:keepLines w:val="0"/>
        <w:pageBreakBefore w:val="0"/>
        <w:widowControl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方正小标宋简体" w:hAnsi="方正小标宋简体" w:eastAsia="方正小标宋简体" w:cs="方正小标宋简体"/>
          <w:color w:val="auto"/>
          <w:sz w:val="44"/>
          <w:szCs w:val="44"/>
          <w:shd w:val="clear" w:color="auto" w:fill="auto"/>
          <w:lang w:val="en-US" w:eastAsia="zh-CN"/>
        </w:rPr>
        <w:t>招商政策（第二次</w:t>
      </w:r>
      <w:bookmarkStart w:id="0" w:name="_GoBack"/>
      <w:bookmarkEnd w:id="0"/>
      <w:r>
        <w:rPr>
          <w:rFonts w:hint="eastAsia" w:ascii="方正小标宋简体" w:hAnsi="方正小标宋简体" w:eastAsia="方正小标宋简体" w:cs="方正小标宋简体"/>
          <w:color w:val="auto"/>
          <w:sz w:val="44"/>
          <w:szCs w:val="44"/>
          <w:shd w:val="clear" w:color="auto" w:fill="auto"/>
          <w:lang w:val="en-US" w:eastAsia="zh-CN"/>
        </w:rPr>
        <w:t>征求意见稿）</w:t>
      </w:r>
    </w:p>
    <w:p>
      <w:pPr>
        <w:keepNext w:val="0"/>
        <w:keepLines w:val="0"/>
        <w:pageBreakBefore w:val="0"/>
        <w:widowControl w:val="0"/>
        <w:kinsoku/>
        <w:wordWrap/>
        <w:overflowPunct/>
        <w:topLinePunct w:val="0"/>
        <w:autoSpaceDE w:val="0"/>
        <w:autoSpaceDN w:val="0"/>
        <w:bidi w:val="0"/>
        <w:adjustRightInd w:val="0"/>
        <w:snapToGrid w:val="0"/>
        <w:spacing w:before="157" w:beforeLines="50" w:line="560" w:lineRule="exact"/>
        <w:jc w:val="center"/>
        <w:textAlignment w:val="auto"/>
        <w:rPr>
          <w:rFonts w:hint="eastAsia" w:ascii="楷体_GB2312" w:hAnsi="楷体_GB2312" w:eastAsia="楷体_GB2312" w:cs="楷体_GB2312"/>
          <w:b w:val="0"/>
          <w:bCs w:val="0"/>
          <w:snapToGrid w:val="0"/>
          <w:color w:val="auto"/>
          <w:kern w:val="0"/>
          <w:sz w:val="32"/>
          <w:szCs w:val="32"/>
          <w:shd w:val="clear" w:color="auto" w:fill="auto"/>
          <w:lang w:val="en-US" w:eastAsia="zh-CN"/>
        </w:rPr>
      </w:pPr>
      <w:r>
        <w:rPr>
          <w:rFonts w:hint="eastAsia" w:ascii="楷体_GB2312" w:hAnsi="楷体_GB2312" w:eastAsia="楷体_GB2312" w:cs="楷体_GB2312"/>
          <w:b w:val="0"/>
          <w:bCs w:val="0"/>
          <w:snapToGrid w:val="0"/>
          <w:color w:val="auto"/>
          <w:kern w:val="0"/>
          <w:sz w:val="32"/>
          <w:szCs w:val="32"/>
          <w:shd w:val="clear" w:color="auto" w:fill="auto"/>
          <w:lang w:val="en-US" w:eastAsia="zh-CN"/>
        </w:rPr>
        <w:t>（简称“招商16条”）</w:t>
      </w:r>
    </w:p>
    <w:p>
      <w:pPr>
        <w:keepNext w:val="0"/>
        <w:keepLines w:val="0"/>
        <w:pageBreakBefore w:val="0"/>
        <w:widowControl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rPr>
        <w:t>为贯彻落实省委、省政府《关于印发〈珠三角地区与粤东粤西粤北地区对口帮扶协作实施方案（2023年-2025年）〉的通知》要求，充分发挥深汕特别合作区产业辐射带动作用，推动产业有序转移，促进区域协调发展，打造国际一流、国内领先的高端产业集聚区</w:t>
      </w:r>
      <w:r>
        <w:rPr>
          <w:rFonts w:hint="eastAsia" w:ascii="仿宋_GB2312" w:hAnsi="仿宋_GB2312" w:eastAsia="仿宋_GB2312" w:cs="仿宋_GB2312"/>
          <w:snapToGrid w:val="0"/>
          <w:color w:val="auto"/>
          <w:kern w:val="0"/>
          <w:sz w:val="32"/>
          <w:szCs w:val="32"/>
          <w:shd w:val="clear" w:color="auto" w:fill="auto"/>
          <w:lang w:eastAsia="zh-CN"/>
        </w:rPr>
        <w:t>，</w:t>
      </w:r>
      <w:r>
        <w:rPr>
          <w:rFonts w:hint="eastAsia" w:ascii="仿宋_GB2312" w:hAnsi="仿宋_GB2312" w:eastAsia="仿宋_GB2312" w:cs="仿宋_GB2312"/>
          <w:snapToGrid w:val="0"/>
          <w:color w:val="auto"/>
          <w:kern w:val="0"/>
          <w:sz w:val="32"/>
          <w:szCs w:val="32"/>
          <w:shd w:val="clear" w:color="auto" w:fill="auto"/>
        </w:rPr>
        <w:t>结合</w:t>
      </w:r>
      <w:r>
        <w:rPr>
          <w:rFonts w:hint="eastAsia" w:ascii="仿宋_GB2312" w:hAnsi="仿宋_GB2312" w:eastAsia="仿宋_GB2312" w:cs="仿宋_GB2312"/>
          <w:snapToGrid w:val="0"/>
          <w:color w:val="auto"/>
          <w:kern w:val="0"/>
          <w:sz w:val="32"/>
          <w:szCs w:val="32"/>
          <w:shd w:val="clear" w:color="auto" w:fill="auto"/>
          <w:lang w:val="en-US" w:eastAsia="zh-CN"/>
        </w:rPr>
        <w:t>园区</w:t>
      </w:r>
      <w:r>
        <w:rPr>
          <w:rFonts w:hint="eastAsia" w:ascii="仿宋_GB2312" w:hAnsi="仿宋_GB2312" w:eastAsia="仿宋_GB2312" w:cs="仿宋_GB2312"/>
          <w:snapToGrid w:val="0"/>
          <w:color w:val="auto"/>
          <w:kern w:val="0"/>
          <w:sz w:val="32"/>
          <w:szCs w:val="32"/>
          <w:shd w:val="clear" w:color="auto" w:fill="auto"/>
        </w:rPr>
        <w:t>实际，制定本</w:t>
      </w:r>
      <w:r>
        <w:rPr>
          <w:rFonts w:hint="eastAsia" w:ascii="仿宋_GB2312" w:hAnsi="仿宋_GB2312" w:eastAsia="仿宋_GB2312" w:cs="仿宋_GB2312"/>
          <w:snapToGrid w:val="0"/>
          <w:color w:val="auto"/>
          <w:kern w:val="0"/>
          <w:sz w:val="32"/>
          <w:szCs w:val="32"/>
          <w:shd w:val="clear" w:color="auto" w:fill="auto"/>
          <w:lang w:val="en-US" w:eastAsia="zh-CN"/>
        </w:rPr>
        <w:t>政策</w:t>
      </w:r>
      <w:r>
        <w:rPr>
          <w:rFonts w:hint="eastAsia" w:ascii="仿宋_GB2312" w:hAnsi="仿宋_GB2312" w:eastAsia="仿宋_GB2312" w:cs="仿宋_GB2312"/>
          <w:snapToGrid w:val="0"/>
          <w:color w:val="auto"/>
          <w:kern w:val="0"/>
          <w:sz w:val="32"/>
          <w:szCs w:val="32"/>
          <w:shd w:val="clear" w:color="auto" w:fill="auto"/>
        </w:rPr>
        <w:t>。本</w:t>
      </w:r>
      <w:r>
        <w:rPr>
          <w:rFonts w:hint="eastAsia" w:ascii="仿宋_GB2312" w:hAnsi="仿宋_GB2312" w:eastAsia="仿宋_GB2312" w:cs="仿宋_GB2312"/>
          <w:snapToGrid w:val="0"/>
          <w:color w:val="auto"/>
          <w:kern w:val="0"/>
          <w:sz w:val="32"/>
          <w:szCs w:val="32"/>
          <w:shd w:val="clear" w:color="auto" w:fill="auto"/>
          <w:lang w:val="en-US" w:eastAsia="zh-CN"/>
        </w:rPr>
        <w:t>政策</w:t>
      </w:r>
      <w:r>
        <w:rPr>
          <w:rFonts w:hint="eastAsia" w:ascii="仿宋_GB2312" w:hAnsi="仿宋_GB2312" w:eastAsia="仿宋_GB2312" w:cs="仿宋_GB2312"/>
          <w:snapToGrid w:val="0"/>
          <w:color w:val="auto"/>
          <w:kern w:val="0"/>
          <w:sz w:val="32"/>
          <w:szCs w:val="32"/>
          <w:shd w:val="clear" w:color="auto" w:fill="auto"/>
          <w:lang w:eastAsia="zh-CN"/>
        </w:rPr>
        <w:t>适用范围为深圳市—汕尾</w:t>
      </w:r>
      <w:r>
        <w:rPr>
          <w:rFonts w:hint="eastAsia" w:ascii="仿宋_GB2312" w:hAnsi="仿宋_GB2312" w:eastAsia="仿宋_GB2312" w:cs="仿宋_GB2312"/>
          <w:snapToGrid w:val="0"/>
          <w:color w:val="auto"/>
          <w:kern w:val="0"/>
          <w:sz w:val="32"/>
          <w:szCs w:val="32"/>
          <w:shd w:val="clear" w:color="auto" w:fill="auto"/>
        </w:rPr>
        <w:t>市</w:t>
      </w:r>
      <w:r>
        <w:rPr>
          <w:rFonts w:hint="eastAsia" w:ascii="仿宋_GB2312" w:hAnsi="仿宋_GB2312" w:eastAsia="仿宋_GB2312" w:cs="仿宋_GB2312"/>
          <w:snapToGrid w:val="0"/>
          <w:color w:val="auto"/>
          <w:kern w:val="0"/>
          <w:sz w:val="32"/>
          <w:szCs w:val="32"/>
          <w:shd w:val="clear" w:color="auto" w:fill="auto"/>
          <w:lang w:eastAsia="zh-CN"/>
        </w:rPr>
        <w:t>产业转移合作园区（</w:t>
      </w:r>
      <w:r>
        <w:rPr>
          <w:rFonts w:hint="eastAsia" w:ascii="仿宋_GB2312" w:hAnsi="仿宋_GB2312" w:eastAsia="仿宋_GB2312" w:cs="仿宋_GB2312"/>
          <w:snapToGrid w:val="0"/>
          <w:color w:val="auto"/>
          <w:kern w:val="0"/>
          <w:sz w:val="32"/>
          <w:szCs w:val="32"/>
          <w:shd w:val="clear" w:color="auto" w:fill="auto"/>
          <w:lang w:val="en-US" w:eastAsia="zh-CN"/>
        </w:rPr>
        <w:t>下简称“园区”</w:t>
      </w:r>
      <w:r>
        <w:rPr>
          <w:rFonts w:hint="eastAsia" w:ascii="仿宋_GB2312" w:hAnsi="仿宋_GB2312" w:eastAsia="仿宋_GB2312" w:cs="仿宋_GB2312"/>
          <w:snapToGrid w:val="0"/>
          <w:color w:val="auto"/>
          <w:kern w:val="0"/>
          <w:sz w:val="32"/>
          <w:szCs w:val="32"/>
          <w:shd w:val="clear" w:color="auto" w:fill="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黑体" w:hAnsi="黑体" w:eastAsia="黑体" w:cs="黑体"/>
          <w:snapToGrid w:val="0"/>
          <w:color w:val="auto"/>
          <w:kern w:val="0"/>
          <w:sz w:val="32"/>
          <w:szCs w:val="32"/>
          <w:shd w:val="clear" w:color="auto" w:fill="auto"/>
          <w:lang w:val="en-US" w:eastAsia="zh-CN"/>
        </w:rPr>
      </w:pPr>
      <w:r>
        <w:rPr>
          <w:rFonts w:hint="eastAsia" w:ascii="黑体" w:hAnsi="黑体" w:eastAsia="黑体" w:cs="黑体"/>
          <w:snapToGrid w:val="0"/>
          <w:color w:val="auto"/>
          <w:kern w:val="0"/>
          <w:sz w:val="32"/>
          <w:szCs w:val="32"/>
          <w:shd w:val="clear" w:color="auto" w:fill="auto"/>
          <w:lang w:val="en-US" w:eastAsia="zh-CN"/>
        </w:rPr>
        <w:t>一、固定资产投资奖补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napToGrid w:val="0"/>
          <w:color w:val="auto"/>
          <w:kern w:val="0"/>
          <w:sz w:val="32"/>
          <w:szCs w:val="32"/>
          <w:shd w:val="clear" w:color="auto" w:fill="auto"/>
          <w:lang w:eastAsia="zh-CN"/>
        </w:rPr>
      </w:pPr>
      <w:r>
        <w:rPr>
          <w:rFonts w:hint="eastAsia" w:ascii="仿宋_GB2312" w:hAnsi="仿宋_GB2312" w:eastAsia="仿宋_GB2312" w:cs="仿宋_GB2312"/>
          <w:snapToGrid w:val="0"/>
          <w:color w:val="auto"/>
          <w:kern w:val="0"/>
          <w:sz w:val="32"/>
          <w:szCs w:val="32"/>
          <w:shd w:val="clear" w:color="auto" w:fill="auto"/>
          <w:lang w:eastAsia="zh-CN"/>
        </w:rPr>
        <w:t>（一）</w:t>
      </w:r>
      <w:r>
        <w:rPr>
          <w:rFonts w:hint="eastAsia" w:ascii="仿宋_GB2312" w:hAnsi="仿宋_GB2312" w:eastAsia="仿宋_GB2312" w:cs="仿宋_GB2312"/>
          <w:snapToGrid w:val="0"/>
          <w:color w:val="auto"/>
          <w:kern w:val="0"/>
          <w:sz w:val="32"/>
          <w:szCs w:val="32"/>
          <w:shd w:val="clear" w:color="auto" w:fill="auto"/>
        </w:rPr>
        <w:t>对新设立或新迁入的企业，</w:t>
      </w:r>
      <w:r>
        <w:rPr>
          <w:rFonts w:hint="eastAsia" w:ascii="仿宋_GB2312" w:hAnsi="仿宋_GB2312" w:eastAsia="仿宋_GB2312" w:cs="仿宋_GB2312"/>
          <w:snapToGrid w:val="0"/>
          <w:color w:val="auto"/>
          <w:kern w:val="0"/>
          <w:sz w:val="32"/>
          <w:szCs w:val="32"/>
          <w:shd w:val="clear" w:color="auto" w:fill="auto"/>
          <w:lang w:val="en-US" w:eastAsia="zh-CN"/>
        </w:rPr>
        <w:t>在园区</w:t>
      </w:r>
      <w:r>
        <w:rPr>
          <w:rFonts w:hint="eastAsia" w:ascii="仿宋_GB2312" w:hAnsi="仿宋_GB2312" w:eastAsia="仿宋_GB2312" w:cs="仿宋_GB2312"/>
          <w:snapToGrid w:val="0"/>
          <w:color w:val="auto"/>
          <w:kern w:val="0"/>
          <w:sz w:val="32"/>
          <w:szCs w:val="32"/>
          <w:shd w:val="clear" w:color="auto" w:fill="auto"/>
        </w:rPr>
        <w:t>无自有产业用地，且落户当年或第一个会计年度实际固定资产投资2</w:t>
      </w:r>
      <w:r>
        <w:rPr>
          <w:rFonts w:hint="eastAsia" w:ascii="仿宋_GB2312" w:hAnsi="仿宋_GB2312" w:eastAsia="仿宋_GB2312" w:cs="仿宋_GB2312"/>
          <w:snapToGrid w:val="0"/>
          <w:color w:val="auto"/>
          <w:kern w:val="0"/>
          <w:sz w:val="32"/>
          <w:szCs w:val="32"/>
          <w:highlight w:val="none"/>
          <w:shd w:val="clear" w:color="auto" w:fill="auto"/>
        </w:rPr>
        <w:t>000万元以上的，按实际固定资产投资额的</w:t>
      </w:r>
      <w:r>
        <w:rPr>
          <w:rFonts w:hint="eastAsia" w:ascii="仿宋_GB2312" w:hAnsi="仿宋_GB2312" w:eastAsia="仿宋_GB2312" w:cs="仿宋_GB2312"/>
          <w:snapToGrid w:val="0"/>
          <w:color w:val="auto"/>
          <w:kern w:val="0"/>
          <w:sz w:val="32"/>
          <w:szCs w:val="32"/>
          <w:highlight w:val="none"/>
          <w:shd w:val="clear" w:color="auto" w:fill="auto"/>
          <w:lang w:val="en-US" w:eastAsia="zh-CN"/>
        </w:rPr>
        <w:t>2</w:t>
      </w:r>
      <w:r>
        <w:rPr>
          <w:rFonts w:hint="eastAsia" w:ascii="仿宋_GB2312" w:hAnsi="仿宋_GB2312" w:eastAsia="仿宋_GB2312" w:cs="仿宋_GB2312"/>
          <w:snapToGrid w:val="0"/>
          <w:color w:val="auto"/>
          <w:kern w:val="0"/>
          <w:sz w:val="32"/>
          <w:szCs w:val="32"/>
          <w:highlight w:val="none"/>
          <w:shd w:val="clear" w:color="auto" w:fill="auto"/>
        </w:rPr>
        <w:t>%，给予最高</w:t>
      </w:r>
      <w:r>
        <w:rPr>
          <w:rFonts w:hint="eastAsia" w:ascii="仿宋_GB2312" w:hAnsi="仿宋_GB2312" w:eastAsia="仿宋_GB2312" w:cs="仿宋_GB2312"/>
          <w:snapToGrid w:val="0"/>
          <w:color w:val="auto"/>
          <w:kern w:val="0"/>
          <w:sz w:val="32"/>
          <w:szCs w:val="32"/>
          <w:highlight w:val="none"/>
          <w:shd w:val="clear" w:color="auto" w:fill="auto"/>
          <w:lang w:val="en-US" w:eastAsia="zh-CN"/>
        </w:rPr>
        <w:t>400</w:t>
      </w:r>
      <w:r>
        <w:rPr>
          <w:rFonts w:hint="eastAsia" w:ascii="仿宋_GB2312" w:hAnsi="仿宋_GB2312" w:eastAsia="仿宋_GB2312" w:cs="仿宋_GB2312"/>
          <w:snapToGrid w:val="0"/>
          <w:color w:val="auto"/>
          <w:kern w:val="0"/>
          <w:sz w:val="32"/>
          <w:szCs w:val="32"/>
          <w:highlight w:val="none"/>
          <w:shd w:val="clear" w:color="auto" w:fill="auto"/>
        </w:rPr>
        <w:t>万元一</w:t>
      </w:r>
      <w:r>
        <w:rPr>
          <w:rFonts w:hint="eastAsia" w:ascii="仿宋_GB2312" w:hAnsi="仿宋_GB2312" w:eastAsia="仿宋_GB2312" w:cs="仿宋_GB2312"/>
          <w:snapToGrid w:val="0"/>
          <w:color w:val="auto"/>
          <w:kern w:val="0"/>
          <w:sz w:val="32"/>
          <w:szCs w:val="32"/>
          <w:shd w:val="clear" w:color="auto" w:fill="auto"/>
        </w:rPr>
        <w:t>次性资助</w:t>
      </w:r>
      <w:r>
        <w:rPr>
          <w:rFonts w:hint="eastAsia" w:ascii="仿宋_GB2312" w:hAnsi="仿宋_GB2312" w:eastAsia="仿宋_GB2312" w:cs="仿宋_GB2312"/>
          <w:snapToGrid w:val="0"/>
          <w:color w:val="auto"/>
          <w:kern w:val="0"/>
          <w:sz w:val="32"/>
          <w:szCs w:val="32"/>
          <w:shd w:val="clear" w:color="auto" w:fill="auto"/>
          <w:lang w:eastAsia="zh-CN"/>
        </w:rPr>
        <w:t>。</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napToGrid w:val="0"/>
          <w:color w:val="auto"/>
          <w:kern w:val="0"/>
          <w:sz w:val="32"/>
          <w:szCs w:val="32"/>
          <w:shd w:val="clear" w:color="auto" w:fill="auto"/>
          <w:lang w:eastAsia="zh-CN"/>
        </w:rPr>
      </w:pPr>
      <w:r>
        <w:rPr>
          <w:rFonts w:hint="eastAsia" w:ascii="仿宋_GB2312" w:hAnsi="仿宋_GB2312" w:eastAsia="仿宋_GB2312" w:cs="仿宋_GB2312"/>
          <w:i w:val="0"/>
          <w:caps w:val="0"/>
          <w:snapToGrid w:val="0"/>
          <w:color w:val="auto"/>
          <w:spacing w:val="0"/>
          <w:kern w:val="0"/>
          <w:sz w:val="32"/>
          <w:szCs w:val="32"/>
          <w:shd w:val="clear" w:color="auto" w:fill="auto"/>
          <w:lang w:eastAsia="zh-CN"/>
        </w:rPr>
        <w:t>（二）</w:t>
      </w:r>
      <w:r>
        <w:rPr>
          <w:rFonts w:hint="eastAsia" w:ascii="仿宋_GB2312" w:hAnsi="仿宋_GB2312" w:eastAsia="仿宋_GB2312" w:cs="仿宋_GB2312"/>
          <w:i w:val="0"/>
          <w:caps w:val="0"/>
          <w:snapToGrid w:val="0"/>
          <w:color w:val="auto"/>
          <w:spacing w:val="0"/>
          <w:kern w:val="0"/>
          <w:sz w:val="32"/>
          <w:szCs w:val="32"/>
          <w:shd w:val="clear" w:color="auto" w:fill="auto"/>
        </w:rPr>
        <w:t>对</w:t>
      </w:r>
      <w:r>
        <w:rPr>
          <w:rFonts w:hint="eastAsia" w:ascii="仿宋_GB2312" w:hAnsi="仿宋_GB2312" w:eastAsia="仿宋_GB2312" w:cs="仿宋_GB2312"/>
          <w:i w:val="0"/>
          <w:caps w:val="0"/>
          <w:snapToGrid w:val="0"/>
          <w:color w:val="auto"/>
          <w:spacing w:val="0"/>
          <w:kern w:val="0"/>
          <w:sz w:val="32"/>
          <w:szCs w:val="32"/>
          <w:shd w:val="clear" w:color="auto" w:fill="auto"/>
          <w:lang w:val="en-US" w:eastAsia="zh-CN"/>
        </w:rPr>
        <w:t>五大主导</w:t>
      </w:r>
      <w:r>
        <w:rPr>
          <w:rFonts w:hint="eastAsia" w:ascii="仿宋_GB2312" w:hAnsi="仿宋_GB2312" w:eastAsia="仿宋_GB2312" w:cs="仿宋_GB2312"/>
          <w:i w:val="0"/>
          <w:caps w:val="0"/>
          <w:snapToGrid w:val="0"/>
          <w:color w:val="auto"/>
          <w:spacing w:val="0"/>
          <w:kern w:val="0"/>
          <w:sz w:val="32"/>
          <w:szCs w:val="32"/>
          <w:shd w:val="clear" w:color="auto" w:fill="auto"/>
        </w:rPr>
        <w:t>产业</w:t>
      </w:r>
      <w:r>
        <w:rPr>
          <w:rFonts w:hint="eastAsia" w:ascii="仿宋_GB2312" w:hAnsi="仿宋_GB2312" w:eastAsia="仿宋_GB2312" w:cs="仿宋_GB2312"/>
          <w:i w:val="0"/>
          <w:caps w:val="0"/>
          <w:snapToGrid w:val="0"/>
          <w:color w:val="auto"/>
          <w:spacing w:val="0"/>
          <w:kern w:val="0"/>
          <w:sz w:val="32"/>
          <w:szCs w:val="32"/>
          <w:shd w:val="clear" w:color="auto" w:fill="auto"/>
          <w:lang w:eastAsia="zh-CN"/>
        </w:rPr>
        <w:t>（新能源汽车配套、新材料、新一代信息技术、高端装备制造、现代农业）</w:t>
      </w:r>
      <w:r>
        <w:rPr>
          <w:rFonts w:hint="eastAsia" w:ascii="仿宋_GB2312" w:hAnsi="仿宋_GB2312" w:eastAsia="仿宋_GB2312" w:cs="仿宋_GB2312"/>
          <w:i w:val="0"/>
          <w:caps w:val="0"/>
          <w:snapToGrid w:val="0"/>
          <w:color w:val="auto"/>
          <w:spacing w:val="0"/>
          <w:kern w:val="0"/>
          <w:sz w:val="32"/>
          <w:szCs w:val="32"/>
          <w:shd w:val="clear" w:color="auto" w:fill="auto"/>
        </w:rPr>
        <w:t>内固定资产投资</w:t>
      </w:r>
      <w:r>
        <w:rPr>
          <w:rFonts w:hint="eastAsia" w:ascii="仿宋_GB2312" w:hAnsi="仿宋_GB2312" w:eastAsia="仿宋_GB2312" w:cs="仿宋_GB2312"/>
          <w:i w:val="0"/>
          <w:caps w:val="0"/>
          <w:snapToGrid w:val="0"/>
          <w:color w:val="auto"/>
          <w:spacing w:val="0"/>
          <w:kern w:val="0"/>
          <w:sz w:val="32"/>
          <w:szCs w:val="32"/>
          <w:shd w:val="clear" w:color="auto" w:fill="auto"/>
          <w:lang w:eastAsia="zh-CN"/>
        </w:rPr>
        <w:t>（</w:t>
      </w:r>
      <w:r>
        <w:rPr>
          <w:rFonts w:hint="eastAsia" w:ascii="仿宋_GB2312" w:hAnsi="仿宋_GB2312" w:eastAsia="仿宋_GB2312" w:cs="仿宋_GB2312"/>
          <w:i w:val="0"/>
          <w:caps w:val="0"/>
          <w:snapToGrid w:val="0"/>
          <w:color w:val="auto"/>
          <w:spacing w:val="0"/>
          <w:kern w:val="0"/>
          <w:sz w:val="32"/>
          <w:szCs w:val="32"/>
          <w:shd w:val="clear" w:color="auto" w:fill="auto"/>
        </w:rPr>
        <w:t>企业土建、软硬件设备实际投入</w:t>
      </w:r>
      <w:r>
        <w:rPr>
          <w:rFonts w:hint="eastAsia" w:ascii="仿宋_GB2312" w:hAnsi="仿宋_GB2312" w:eastAsia="仿宋_GB2312" w:cs="仿宋_GB2312"/>
          <w:i w:val="0"/>
          <w:caps w:val="0"/>
          <w:snapToGrid w:val="0"/>
          <w:color w:val="auto"/>
          <w:spacing w:val="0"/>
          <w:kern w:val="0"/>
          <w:sz w:val="32"/>
          <w:szCs w:val="32"/>
          <w:shd w:val="clear" w:color="auto" w:fill="auto"/>
          <w:lang w:eastAsia="zh-CN"/>
        </w:rPr>
        <w:t>）</w:t>
      </w:r>
      <w:r>
        <w:rPr>
          <w:rFonts w:hint="eastAsia" w:ascii="仿宋_GB2312" w:hAnsi="仿宋_GB2312" w:eastAsia="仿宋_GB2312" w:cs="仿宋_GB2312"/>
          <w:i w:val="0"/>
          <w:caps w:val="0"/>
          <w:snapToGrid w:val="0"/>
          <w:color w:val="auto"/>
          <w:spacing w:val="0"/>
          <w:kern w:val="0"/>
          <w:sz w:val="32"/>
          <w:szCs w:val="32"/>
          <w:shd w:val="clear" w:color="auto" w:fill="auto"/>
        </w:rPr>
        <w:t>超5亿元的新建重大制造业项目，三年内竣工投产，纳入规模以上工业企业统计的，按固定资产投资额的1%，一次性给予最高</w:t>
      </w:r>
      <w:r>
        <w:rPr>
          <w:rFonts w:hint="eastAsia" w:ascii="仿宋_GB2312" w:hAnsi="仿宋_GB2312" w:eastAsia="仿宋_GB2312" w:cs="仿宋_GB2312"/>
          <w:i w:val="0"/>
          <w:caps w:val="0"/>
          <w:snapToGrid w:val="0"/>
          <w:color w:val="auto"/>
          <w:spacing w:val="0"/>
          <w:kern w:val="0"/>
          <w:sz w:val="32"/>
          <w:szCs w:val="32"/>
          <w:shd w:val="clear" w:color="auto" w:fill="auto"/>
          <w:lang w:val="en-US" w:eastAsia="zh-CN"/>
        </w:rPr>
        <w:t>5000</w:t>
      </w:r>
      <w:r>
        <w:rPr>
          <w:rFonts w:hint="eastAsia" w:ascii="仿宋_GB2312" w:hAnsi="仿宋_GB2312" w:eastAsia="仿宋_GB2312" w:cs="仿宋_GB2312"/>
          <w:i w:val="0"/>
          <w:caps w:val="0"/>
          <w:snapToGrid w:val="0"/>
          <w:color w:val="auto"/>
          <w:spacing w:val="0"/>
          <w:kern w:val="0"/>
          <w:sz w:val="32"/>
          <w:szCs w:val="32"/>
          <w:shd w:val="clear" w:color="auto" w:fill="auto"/>
        </w:rPr>
        <w:t>万元奖励。</w:t>
      </w:r>
      <w:r>
        <w:rPr>
          <w:rFonts w:hint="eastAsia" w:ascii="仿宋_GB2312" w:hAnsi="仿宋_GB2312" w:eastAsia="仿宋_GB2312" w:cs="仿宋_GB2312"/>
          <w:i w:val="0"/>
          <w:caps w:val="0"/>
          <w:snapToGrid w:val="0"/>
          <w:color w:val="auto"/>
          <w:spacing w:val="0"/>
          <w:kern w:val="0"/>
          <w:sz w:val="32"/>
          <w:szCs w:val="32"/>
          <w:shd w:val="clear" w:color="auto" w:fill="auto"/>
          <w:lang w:val="en-US" w:eastAsia="zh-CN"/>
        </w:rPr>
        <w:t>符合本条款的不再享受前款，</w:t>
      </w:r>
      <w:r>
        <w:rPr>
          <w:rFonts w:hint="eastAsia" w:ascii="仿宋_GB2312" w:hAnsi="仿宋_GB2312" w:eastAsia="仿宋_GB2312" w:cs="仿宋_GB2312"/>
          <w:snapToGrid w:val="0"/>
          <w:color w:val="auto"/>
          <w:kern w:val="0"/>
          <w:sz w:val="32"/>
          <w:szCs w:val="32"/>
          <w:shd w:val="clear" w:color="auto" w:fill="auto"/>
          <w:lang w:eastAsia="zh-CN"/>
        </w:rPr>
        <w:t>奖励就高不就低，不</w:t>
      </w:r>
      <w:r>
        <w:rPr>
          <w:rFonts w:hint="eastAsia" w:ascii="仿宋_GB2312" w:hAnsi="仿宋_GB2312" w:eastAsia="仿宋_GB2312" w:cs="仿宋_GB2312"/>
          <w:snapToGrid w:val="0"/>
          <w:color w:val="auto"/>
          <w:kern w:val="0"/>
          <w:sz w:val="32"/>
          <w:szCs w:val="32"/>
          <w:shd w:val="clear" w:color="auto" w:fill="auto"/>
          <w:lang w:val="en-US" w:eastAsia="zh-CN"/>
        </w:rPr>
        <w:t>重复</w:t>
      </w:r>
      <w:r>
        <w:rPr>
          <w:rFonts w:hint="eastAsia" w:ascii="仿宋_GB2312" w:hAnsi="仿宋_GB2312" w:eastAsia="仿宋_GB2312" w:cs="仿宋_GB2312"/>
          <w:snapToGrid w:val="0"/>
          <w:color w:val="auto"/>
          <w:kern w:val="0"/>
          <w:sz w:val="32"/>
          <w:szCs w:val="32"/>
          <w:shd w:val="clear" w:color="auto" w:fill="auto"/>
          <w:lang w:eastAsia="zh-CN"/>
        </w:rPr>
        <w:t>奖励。</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eastAsia="zh-CN"/>
        </w:rPr>
        <w:t>（三）</w:t>
      </w:r>
      <w:r>
        <w:rPr>
          <w:rFonts w:hint="eastAsia" w:ascii="仿宋_GB2312" w:hAnsi="仿宋_GB2312" w:eastAsia="仿宋_GB2312" w:cs="仿宋_GB2312"/>
          <w:snapToGrid w:val="0"/>
          <w:color w:val="auto"/>
          <w:kern w:val="0"/>
          <w:sz w:val="32"/>
          <w:szCs w:val="32"/>
          <w:shd w:val="clear" w:color="auto" w:fill="auto"/>
        </w:rPr>
        <w:t>对</w:t>
      </w:r>
      <w:r>
        <w:rPr>
          <w:rFonts w:hint="eastAsia" w:ascii="仿宋_GB2312" w:hAnsi="仿宋_GB2312" w:eastAsia="仿宋_GB2312" w:cs="仿宋_GB2312"/>
          <w:snapToGrid w:val="0"/>
          <w:color w:val="auto"/>
          <w:kern w:val="0"/>
          <w:sz w:val="32"/>
          <w:szCs w:val="32"/>
          <w:shd w:val="clear" w:color="auto" w:fill="auto"/>
          <w:lang w:eastAsia="zh-CN"/>
        </w:rPr>
        <w:t>园区注册落户的新取得用地工业企业，企业项目在发改部门备案的固定资产投资不低于</w:t>
      </w:r>
      <w:r>
        <w:rPr>
          <w:rFonts w:hint="eastAsia" w:ascii="仿宋_GB2312" w:hAnsi="仿宋_GB2312" w:eastAsia="仿宋_GB2312" w:cs="仿宋_GB2312"/>
          <w:snapToGrid w:val="0"/>
          <w:color w:val="auto"/>
          <w:kern w:val="0"/>
          <w:sz w:val="32"/>
          <w:szCs w:val="32"/>
          <w:shd w:val="clear" w:color="auto" w:fill="auto"/>
          <w:lang w:val="en-US" w:eastAsia="zh-CN"/>
        </w:rPr>
        <w:t>1亿元，</w:t>
      </w:r>
      <w:r>
        <w:rPr>
          <w:rFonts w:hint="eastAsia" w:ascii="仿宋_GB2312" w:hAnsi="仿宋_GB2312" w:eastAsia="仿宋_GB2312" w:cs="仿宋_GB2312"/>
          <w:snapToGrid w:val="0"/>
          <w:color w:val="auto"/>
          <w:kern w:val="0"/>
          <w:sz w:val="32"/>
          <w:szCs w:val="32"/>
          <w:shd w:val="clear" w:color="auto" w:fill="auto"/>
          <w:lang w:eastAsia="zh-CN"/>
        </w:rPr>
        <w:t>按照项目投资协议投产</w:t>
      </w:r>
      <w:r>
        <w:rPr>
          <w:rFonts w:hint="eastAsia" w:ascii="仿宋_GB2312" w:hAnsi="仿宋_GB2312" w:eastAsia="仿宋_GB2312" w:cs="仿宋_GB2312"/>
          <w:snapToGrid w:val="0"/>
          <w:color w:val="auto"/>
          <w:kern w:val="0"/>
          <w:sz w:val="32"/>
          <w:szCs w:val="32"/>
          <w:shd w:val="clear" w:color="auto" w:fill="auto"/>
        </w:rPr>
        <w:t>首年</w:t>
      </w:r>
      <w:r>
        <w:rPr>
          <w:rFonts w:hint="eastAsia" w:ascii="仿宋_GB2312" w:hAnsi="仿宋_GB2312" w:eastAsia="仿宋_GB2312" w:cs="仿宋_GB2312"/>
          <w:snapToGrid w:val="0"/>
          <w:color w:val="auto"/>
          <w:kern w:val="0"/>
          <w:sz w:val="32"/>
          <w:szCs w:val="32"/>
          <w:shd w:val="clear" w:color="auto" w:fill="auto"/>
          <w:lang w:eastAsia="zh-CN"/>
        </w:rPr>
        <w:t>达产，</w:t>
      </w:r>
      <w:r>
        <w:rPr>
          <w:rFonts w:hint="eastAsia" w:ascii="仿宋_GB2312" w:hAnsi="仿宋_GB2312" w:eastAsia="仿宋_GB2312" w:cs="仿宋_GB2312"/>
          <w:snapToGrid w:val="0"/>
          <w:color w:val="auto"/>
          <w:kern w:val="0"/>
          <w:sz w:val="32"/>
          <w:szCs w:val="32"/>
          <w:shd w:val="clear" w:color="auto" w:fill="auto"/>
        </w:rPr>
        <w:t>给予50万元一次性奖励。</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黑体" w:hAnsi="黑体" w:eastAsia="黑体" w:cs="黑体"/>
          <w:b w:val="0"/>
          <w:bCs w:val="0"/>
          <w:snapToGrid w:val="0"/>
          <w:color w:val="auto"/>
          <w:kern w:val="0"/>
          <w:sz w:val="32"/>
          <w:szCs w:val="32"/>
          <w:shd w:val="clear" w:color="auto" w:fill="auto"/>
          <w:lang w:val="en-US" w:eastAsia="zh-CN"/>
        </w:rPr>
      </w:pPr>
      <w:r>
        <w:rPr>
          <w:rFonts w:hint="eastAsia" w:ascii="黑体" w:hAnsi="黑体" w:eastAsia="黑体" w:cs="黑体"/>
          <w:b w:val="0"/>
          <w:bCs w:val="0"/>
          <w:snapToGrid w:val="0"/>
          <w:color w:val="auto"/>
          <w:kern w:val="0"/>
          <w:sz w:val="32"/>
          <w:szCs w:val="32"/>
          <w:shd w:val="clear" w:color="auto" w:fill="auto"/>
          <w:lang w:val="en-US" w:eastAsia="zh-CN"/>
        </w:rPr>
        <w:t>二、搬迁奖补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snapToGrid w:val="0"/>
          <w:color w:val="auto"/>
          <w:kern w:val="0"/>
          <w:sz w:val="32"/>
          <w:szCs w:val="32"/>
          <w:shd w:val="clear" w:color="auto" w:fill="auto"/>
          <w:lang w:eastAsia="zh-CN"/>
        </w:rPr>
      </w:pPr>
      <w:r>
        <w:rPr>
          <w:rFonts w:hint="eastAsia" w:ascii="仿宋_GB2312" w:hAnsi="仿宋_GB2312" w:eastAsia="仿宋_GB2312" w:cs="仿宋_GB2312"/>
          <w:snapToGrid w:val="0"/>
          <w:color w:val="auto"/>
          <w:kern w:val="0"/>
          <w:sz w:val="32"/>
          <w:szCs w:val="32"/>
          <w:shd w:val="clear" w:color="auto" w:fill="auto"/>
          <w:lang w:val="en-US" w:eastAsia="zh-CN"/>
        </w:rPr>
        <w:t>（四）</w:t>
      </w:r>
      <w:r>
        <w:rPr>
          <w:rFonts w:hint="default" w:ascii="仿宋_GB2312" w:hAnsi="仿宋_GB2312" w:eastAsia="仿宋_GB2312" w:cs="仿宋_GB2312"/>
          <w:snapToGrid w:val="0"/>
          <w:color w:val="auto"/>
          <w:kern w:val="0"/>
          <w:sz w:val="32"/>
          <w:szCs w:val="32"/>
          <w:shd w:val="clear" w:color="auto" w:fill="auto"/>
          <w:lang w:val="en-US" w:eastAsia="zh-CN"/>
        </w:rPr>
        <w:t>对新引进从</w:t>
      </w:r>
      <w:r>
        <w:rPr>
          <w:rFonts w:hint="eastAsia" w:ascii="仿宋_GB2312" w:hAnsi="仿宋_GB2312" w:eastAsia="仿宋_GB2312" w:cs="仿宋_GB2312"/>
          <w:snapToGrid w:val="0"/>
          <w:color w:val="auto"/>
          <w:kern w:val="0"/>
          <w:sz w:val="32"/>
          <w:szCs w:val="32"/>
          <w:shd w:val="clear" w:color="auto" w:fill="auto"/>
          <w:lang w:val="en-US" w:eastAsia="zh-CN"/>
        </w:rPr>
        <w:t>汕尾</w:t>
      </w:r>
      <w:r>
        <w:rPr>
          <w:rFonts w:hint="default" w:ascii="仿宋_GB2312" w:hAnsi="仿宋_GB2312" w:eastAsia="仿宋_GB2312" w:cs="仿宋_GB2312"/>
          <w:snapToGrid w:val="0"/>
          <w:color w:val="auto"/>
          <w:kern w:val="0"/>
          <w:sz w:val="32"/>
          <w:szCs w:val="32"/>
          <w:shd w:val="clear" w:color="auto" w:fill="auto"/>
          <w:lang w:val="en-US" w:eastAsia="zh-CN"/>
        </w:rPr>
        <w:t>以外整体搬迁落户的，且在12个月内搬迁价值1亿元（原值）以上</w:t>
      </w:r>
      <w:r>
        <w:rPr>
          <w:rFonts w:hint="eastAsia" w:ascii="仿宋_GB2312" w:hAnsi="仿宋_GB2312" w:eastAsia="仿宋_GB2312" w:cs="仿宋_GB2312"/>
          <w:snapToGrid w:val="0"/>
          <w:color w:val="auto"/>
          <w:kern w:val="0"/>
          <w:sz w:val="32"/>
          <w:szCs w:val="32"/>
          <w:shd w:val="clear" w:color="auto" w:fill="auto"/>
          <w:lang w:val="en-US" w:eastAsia="zh-CN"/>
        </w:rPr>
        <w:t>设备</w:t>
      </w:r>
      <w:r>
        <w:rPr>
          <w:rFonts w:hint="default" w:ascii="仿宋_GB2312" w:hAnsi="仿宋_GB2312" w:eastAsia="仿宋_GB2312" w:cs="仿宋_GB2312"/>
          <w:snapToGrid w:val="0"/>
          <w:color w:val="auto"/>
          <w:kern w:val="0"/>
          <w:sz w:val="32"/>
          <w:szCs w:val="32"/>
          <w:shd w:val="clear" w:color="auto" w:fill="auto"/>
          <w:lang w:val="en-US" w:eastAsia="zh-CN"/>
        </w:rPr>
        <w:t>的，按设备评估值或固定投资折旧后的5%给予搬迁</w:t>
      </w:r>
      <w:r>
        <w:rPr>
          <w:rFonts w:hint="eastAsia" w:ascii="仿宋_GB2312" w:hAnsi="仿宋_GB2312" w:eastAsia="仿宋_GB2312" w:cs="仿宋_GB2312"/>
          <w:snapToGrid w:val="0"/>
          <w:color w:val="auto"/>
          <w:kern w:val="0"/>
          <w:sz w:val="32"/>
          <w:szCs w:val="32"/>
          <w:shd w:val="clear" w:color="auto" w:fill="auto"/>
          <w:lang w:val="en-US" w:eastAsia="zh-CN"/>
        </w:rPr>
        <w:t>叠加</w:t>
      </w:r>
      <w:r>
        <w:rPr>
          <w:rFonts w:hint="default" w:ascii="仿宋_GB2312" w:hAnsi="仿宋_GB2312" w:eastAsia="仿宋_GB2312" w:cs="仿宋_GB2312"/>
          <w:snapToGrid w:val="0"/>
          <w:color w:val="auto"/>
          <w:kern w:val="0"/>
          <w:sz w:val="32"/>
          <w:szCs w:val="32"/>
          <w:shd w:val="clear" w:color="auto" w:fill="auto"/>
          <w:lang w:val="en-US" w:eastAsia="zh-CN"/>
        </w:rPr>
        <w:t>补助,最高补助500万元。搬迁支持政策在设备安装完成后兑现50%,按合同约定投产后兑现50%。</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黑体" w:hAnsi="黑体" w:eastAsia="黑体" w:cs="黑体"/>
          <w:snapToGrid w:val="0"/>
          <w:color w:val="auto"/>
          <w:kern w:val="0"/>
          <w:sz w:val="32"/>
          <w:szCs w:val="32"/>
          <w:shd w:val="clear" w:color="auto" w:fill="auto"/>
          <w:lang w:val="en-US" w:eastAsia="zh-CN"/>
        </w:rPr>
      </w:pPr>
      <w:r>
        <w:rPr>
          <w:rFonts w:hint="eastAsia" w:ascii="黑体" w:hAnsi="黑体" w:eastAsia="黑体" w:cs="黑体"/>
          <w:snapToGrid w:val="0"/>
          <w:color w:val="auto"/>
          <w:kern w:val="0"/>
          <w:sz w:val="32"/>
          <w:szCs w:val="32"/>
          <w:shd w:val="clear" w:color="auto" w:fill="auto"/>
          <w:lang w:val="en-US" w:eastAsia="zh-CN"/>
        </w:rPr>
        <w:t>三、产值奖补</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eastAsia="zh-CN"/>
        </w:rPr>
        <w:t>（五）</w:t>
      </w:r>
      <w:r>
        <w:rPr>
          <w:rFonts w:hint="eastAsia" w:ascii="仿宋_GB2312" w:hAnsi="仿宋_GB2312" w:eastAsia="仿宋_GB2312" w:cs="仿宋_GB2312"/>
          <w:snapToGrid w:val="0"/>
          <w:color w:val="auto"/>
          <w:kern w:val="0"/>
          <w:sz w:val="32"/>
          <w:szCs w:val="32"/>
          <w:shd w:val="clear" w:color="auto" w:fill="auto"/>
        </w:rPr>
        <w:t>企业入园投产起第1-</w:t>
      </w:r>
      <w:r>
        <w:rPr>
          <w:rFonts w:hint="eastAsia" w:ascii="仿宋_GB2312" w:hAnsi="仿宋_GB2312" w:eastAsia="仿宋_GB2312" w:cs="仿宋_GB2312"/>
          <w:snapToGrid w:val="0"/>
          <w:color w:val="auto"/>
          <w:kern w:val="0"/>
          <w:sz w:val="32"/>
          <w:szCs w:val="32"/>
          <w:shd w:val="clear" w:color="auto" w:fill="auto"/>
          <w:lang w:val="en-US" w:eastAsia="zh-CN"/>
        </w:rPr>
        <w:t>2</w:t>
      </w:r>
      <w:r>
        <w:rPr>
          <w:rFonts w:hint="eastAsia" w:ascii="仿宋_GB2312" w:hAnsi="仿宋_GB2312" w:eastAsia="仿宋_GB2312" w:cs="仿宋_GB2312"/>
          <w:snapToGrid w:val="0"/>
          <w:color w:val="auto"/>
          <w:kern w:val="0"/>
          <w:sz w:val="32"/>
          <w:szCs w:val="32"/>
          <w:shd w:val="clear" w:color="auto" w:fill="auto"/>
        </w:rPr>
        <w:t>年，</w:t>
      </w:r>
      <w:r>
        <w:rPr>
          <w:rFonts w:hint="eastAsia" w:ascii="仿宋_GB2312" w:hAnsi="仿宋_GB2312" w:eastAsia="仿宋_GB2312" w:cs="仿宋_GB2312"/>
          <w:snapToGrid w:val="0"/>
          <w:color w:val="auto"/>
          <w:kern w:val="0"/>
          <w:sz w:val="32"/>
          <w:szCs w:val="32"/>
          <w:shd w:val="clear" w:color="auto" w:fill="auto"/>
          <w:lang w:val="en-US" w:eastAsia="zh-CN"/>
        </w:rPr>
        <w:t>企业</w:t>
      </w:r>
      <w:r>
        <w:rPr>
          <w:rFonts w:hint="eastAsia" w:ascii="仿宋_GB2312" w:hAnsi="仿宋_GB2312" w:eastAsia="仿宋_GB2312" w:cs="仿宋_GB2312"/>
          <w:snapToGrid w:val="0"/>
          <w:color w:val="auto"/>
          <w:kern w:val="0"/>
          <w:sz w:val="32"/>
          <w:szCs w:val="32"/>
          <w:shd w:val="clear" w:color="auto" w:fill="auto"/>
        </w:rPr>
        <w:t>入园投产</w:t>
      </w:r>
      <w:r>
        <w:rPr>
          <w:rFonts w:hint="eastAsia" w:ascii="仿宋_GB2312" w:hAnsi="仿宋_GB2312" w:eastAsia="仿宋_GB2312" w:cs="仿宋_GB2312"/>
          <w:snapToGrid w:val="0"/>
          <w:color w:val="auto"/>
          <w:kern w:val="0"/>
          <w:sz w:val="32"/>
          <w:szCs w:val="32"/>
          <w:shd w:val="clear" w:color="auto" w:fill="auto"/>
          <w:lang w:val="en-US" w:eastAsia="zh-CN"/>
        </w:rPr>
        <w:t>年产值达到3亿元以上、不超过5亿元，达产年度给予100万元奖励；企业年产值达到5亿元以上、不超过10亿元，达产年度给予200万元奖励；企业年产值达到10亿元以上的，达产年度给予500万元奖励。</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黑体" w:hAnsi="黑体" w:eastAsia="黑体" w:cs="黑体"/>
          <w:snapToGrid w:val="0"/>
          <w:color w:val="auto"/>
          <w:kern w:val="0"/>
          <w:sz w:val="32"/>
          <w:szCs w:val="32"/>
          <w:shd w:val="clear" w:color="auto" w:fill="auto"/>
          <w:lang w:val="en-US" w:eastAsia="zh-CN"/>
        </w:rPr>
      </w:pPr>
      <w:r>
        <w:rPr>
          <w:rFonts w:hint="eastAsia" w:ascii="黑体" w:hAnsi="黑体" w:eastAsia="黑体" w:cs="黑体"/>
          <w:snapToGrid w:val="0"/>
          <w:color w:val="auto"/>
          <w:kern w:val="0"/>
          <w:sz w:val="32"/>
          <w:szCs w:val="32"/>
          <w:shd w:val="clear" w:color="auto" w:fill="auto"/>
          <w:lang w:val="en-US" w:eastAsia="zh-CN"/>
        </w:rPr>
        <w:t>四、租赁厂房奖补</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val="en-US" w:eastAsia="zh-CN"/>
        </w:rPr>
        <w:t>（六）企业在园区租赁厂房，</w:t>
      </w:r>
      <w:r>
        <w:rPr>
          <w:rFonts w:hint="eastAsia" w:ascii="仿宋_GB2312" w:hAnsi="仿宋_GB2312" w:eastAsia="仿宋_GB2312" w:cs="仿宋_GB2312"/>
          <w:snapToGrid w:val="0"/>
          <w:color w:val="auto"/>
          <w:kern w:val="0"/>
          <w:sz w:val="32"/>
          <w:szCs w:val="32"/>
          <w:shd w:val="clear" w:color="auto" w:fill="auto"/>
          <w:lang w:eastAsia="zh-CN"/>
        </w:rPr>
        <w:t>每平方米每月租金均价约</w:t>
      </w:r>
      <w:r>
        <w:rPr>
          <w:rFonts w:hint="eastAsia" w:ascii="仿宋_GB2312" w:hAnsi="仿宋_GB2312" w:eastAsia="仿宋_GB2312" w:cs="仿宋_GB2312"/>
          <w:snapToGrid w:val="0"/>
          <w:color w:val="auto"/>
          <w:kern w:val="0"/>
          <w:sz w:val="32"/>
          <w:szCs w:val="32"/>
          <w:shd w:val="clear" w:color="auto" w:fill="auto"/>
          <w:lang w:val="en-US" w:eastAsia="zh-CN"/>
        </w:rPr>
        <w:t>20</w:t>
      </w:r>
      <w:r>
        <w:rPr>
          <w:rFonts w:hint="eastAsia" w:ascii="仿宋_GB2312" w:hAnsi="仿宋_GB2312" w:eastAsia="仿宋_GB2312" w:cs="仿宋_GB2312"/>
          <w:snapToGrid w:val="0"/>
          <w:color w:val="auto"/>
          <w:kern w:val="0"/>
          <w:sz w:val="32"/>
          <w:szCs w:val="32"/>
          <w:shd w:val="clear" w:color="auto" w:fill="auto"/>
          <w:lang w:eastAsia="zh-CN"/>
        </w:rPr>
        <w:t>元；半年装修期免租金；达产奖励：年创税达到每平方米100元的，每年按年标准租金总额</w:t>
      </w:r>
      <w:r>
        <w:rPr>
          <w:rFonts w:hint="eastAsia" w:ascii="仿宋_GB2312" w:hAnsi="仿宋_GB2312" w:eastAsia="仿宋_GB2312" w:cs="仿宋_GB2312"/>
          <w:snapToGrid w:val="0"/>
          <w:color w:val="auto"/>
          <w:kern w:val="0"/>
          <w:sz w:val="32"/>
          <w:szCs w:val="32"/>
          <w:shd w:val="clear" w:color="auto" w:fill="auto"/>
          <w:lang w:val="en-US" w:eastAsia="zh-CN"/>
        </w:rPr>
        <w:t>30</w:t>
      </w:r>
      <w:r>
        <w:rPr>
          <w:rFonts w:hint="eastAsia" w:ascii="仿宋_GB2312" w:hAnsi="仿宋_GB2312" w:eastAsia="仿宋_GB2312" w:cs="仿宋_GB2312"/>
          <w:snapToGrid w:val="0"/>
          <w:color w:val="auto"/>
          <w:kern w:val="0"/>
          <w:sz w:val="32"/>
          <w:szCs w:val="32"/>
          <w:shd w:val="clear" w:color="auto" w:fill="auto"/>
          <w:lang w:eastAsia="zh-CN"/>
        </w:rPr>
        <w:t>％给予奖励；入驻企业年</w:t>
      </w:r>
      <w:r>
        <w:rPr>
          <w:rFonts w:hint="eastAsia" w:ascii="仿宋_GB2312" w:hAnsi="仿宋_GB2312" w:eastAsia="仿宋_GB2312" w:cs="仿宋_GB2312"/>
          <w:snapToGrid w:val="0"/>
          <w:color w:val="auto"/>
          <w:kern w:val="0"/>
          <w:sz w:val="32"/>
          <w:szCs w:val="32"/>
          <w:highlight w:val="none"/>
          <w:shd w:val="clear" w:color="auto" w:fill="auto"/>
          <w:lang w:eastAsia="zh-CN"/>
        </w:rPr>
        <w:t>产值</w:t>
      </w:r>
      <w:r>
        <w:rPr>
          <w:rFonts w:hint="eastAsia" w:ascii="仿宋_GB2312" w:hAnsi="仿宋_GB2312" w:eastAsia="仿宋_GB2312" w:cs="仿宋_GB2312"/>
          <w:snapToGrid w:val="0"/>
          <w:color w:val="auto"/>
          <w:kern w:val="0"/>
          <w:sz w:val="32"/>
          <w:szCs w:val="32"/>
          <w:shd w:val="clear" w:color="auto" w:fill="auto"/>
          <w:lang w:eastAsia="zh-CN"/>
        </w:rPr>
        <w:t>达到2000万元以上，并已纳入规模以上企业统计的，每年按年标准租金总额返回</w:t>
      </w:r>
      <w:r>
        <w:rPr>
          <w:rFonts w:hint="eastAsia" w:ascii="仿宋_GB2312" w:hAnsi="仿宋_GB2312" w:eastAsia="仿宋_GB2312" w:cs="仿宋_GB2312"/>
          <w:snapToGrid w:val="0"/>
          <w:color w:val="auto"/>
          <w:kern w:val="0"/>
          <w:sz w:val="32"/>
          <w:szCs w:val="32"/>
          <w:shd w:val="clear" w:color="auto" w:fill="auto"/>
          <w:lang w:val="en-US" w:eastAsia="zh-CN"/>
        </w:rPr>
        <w:t>20</w:t>
      </w:r>
      <w:r>
        <w:rPr>
          <w:rFonts w:hint="eastAsia" w:ascii="仿宋_GB2312" w:hAnsi="仿宋_GB2312" w:eastAsia="仿宋_GB2312" w:cs="仿宋_GB2312"/>
          <w:snapToGrid w:val="0"/>
          <w:color w:val="auto"/>
          <w:kern w:val="0"/>
          <w:sz w:val="32"/>
          <w:szCs w:val="32"/>
          <w:shd w:val="clear" w:color="auto" w:fill="auto"/>
          <w:lang w:eastAsia="zh-CN"/>
        </w:rPr>
        <w:t>％；每年申报一次，累计申报年限不超过</w:t>
      </w:r>
      <w:r>
        <w:rPr>
          <w:rFonts w:hint="eastAsia" w:ascii="仿宋_GB2312" w:hAnsi="仿宋_GB2312" w:eastAsia="仿宋_GB2312" w:cs="仿宋_GB2312"/>
          <w:snapToGrid w:val="0"/>
          <w:color w:val="auto"/>
          <w:kern w:val="0"/>
          <w:sz w:val="32"/>
          <w:szCs w:val="32"/>
          <w:shd w:val="clear" w:color="auto" w:fill="auto"/>
          <w:lang w:val="en-US" w:eastAsia="zh-CN"/>
        </w:rPr>
        <w:t>3</w:t>
      </w:r>
      <w:r>
        <w:rPr>
          <w:rFonts w:hint="eastAsia" w:ascii="仿宋_GB2312" w:hAnsi="仿宋_GB2312" w:eastAsia="仿宋_GB2312" w:cs="仿宋_GB2312"/>
          <w:snapToGrid w:val="0"/>
          <w:color w:val="auto"/>
          <w:kern w:val="0"/>
          <w:sz w:val="32"/>
          <w:szCs w:val="32"/>
          <w:shd w:val="clear" w:color="auto" w:fill="auto"/>
          <w:lang w:eastAsia="zh-CN"/>
        </w:rPr>
        <w:t>年。</w:t>
      </w:r>
      <w:r>
        <w:rPr>
          <w:rFonts w:hint="eastAsia" w:ascii="仿宋_GB2312" w:hAnsi="仿宋_GB2312" w:eastAsia="仿宋_GB2312" w:cs="仿宋_GB2312"/>
          <w:snapToGrid w:val="0"/>
          <w:color w:val="auto"/>
          <w:kern w:val="0"/>
          <w:sz w:val="32"/>
          <w:szCs w:val="32"/>
          <w:shd w:val="clear" w:color="auto" w:fill="auto"/>
        </w:rPr>
        <w:t>对新迁入的国家专精特新“小巨人”企业、省市专精特新企业、落户当年或第一个会计年度产值</w:t>
      </w:r>
      <w:r>
        <w:rPr>
          <w:rFonts w:hint="eastAsia" w:ascii="仿宋_GB2312" w:hAnsi="仿宋_GB2312" w:eastAsia="仿宋_GB2312" w:cs="仿宋_GB2312"/>
          <w:snapToGrid w:val="0"/>
          <w:color w:val="auto"/>
          <w:kern w:val="0"/>
          <w:sz w:val="32"/>
          <w:szCs w:val="32"/>
          <w:shd w:val="clear" w:color="auto" w:fill="auto"/>
          <w:lang w:val="en-US" w:eastAsia="zh-CN"/>
        </w:rPr>
        <w:t>2</w:t>
      </w:r>
      <w:r>
        <w:rPr>
          <w:rFonts w:hint="eastAsia" w:ascii="仿宋_GB2312" w:hAnsi="仿宋_GB2312" w:eastAsia="仿宋_GB2312" w:cs="仿宋_GB2312"/>
          <w:snapToGrid w:val="0"/>
          <w:color w:val="auto"/>
          <w:kern w:val="0"/>
          <w:sz w:val="32"/>
          <w:szCs w:val="32"/>
          <w:shd w:val="clear" w:color="auto" w:fill="auto"/>
        </w:rPr>
        <w:t>亿元以上的企业，租赁</w:t>
      </w:r>
      <w:r>
        <w:rPr>
          <w:rFonts w:hint="eastAsia" w:ascii="仿宋_GB2312" w:hAnsi="仿宋_GB2312" w:eastAsia="仿宋_GB2312" w:cs="仿宋_GB2312"/>
          <w:snapToGrid w:val="0"/>
          <w:color w:val="auto"/>
          <w:kern w:val="0"/>
          <w:sz w:val="32"/>
          <w:szCs w:val="32"/>
          <w:shd w:val="clear" w:color="auto" w:fill="auto"/>
          <w:lang w:eastAsia="zh-CN"/>
        </w:rPr>
        <w:t>本园区</w:t>
      </w:r>
      <w:r>
        <w:rPr>
          <w:rFonts w:hint="eastAsia" w:ascii="仿宋_GB2312" w:hAnsi="仿宋_GB2312" w:eastAsia="仿宋_GB2312" w:cs="仿宋_GB2312"/>
          <w:snapToGrid w:val="0"/>
          <w:color w:val="auto"/>
          <w:kern w:val="0"/>
          <w:sz w:val="32"/>
          <w:szCs w:val="32"/>
          <w:shd w:val="clear" w:color="auto" w:fill="auto"/>
        </w:rPr>
        <w:t>物业2000平方米以上作为自用产业用房（不含附属和配套用房）的，按实际租金且不超过</w:t>
      </w:r>
      <w:r>
        <w:rPr>
          <w:rFonts w:hint="eastAsia" w:ascii="仿宋_GB2312" w:hAnsi="仿宋_GB2312" w:eastAsia="仿宋_GB2312" w:cs="仿宋_GB2312"/>
          <w:snapToGrid w:val="0"/>
          <w:color w:val="auto"/>
          <w:kern w:val="0"/>
          <w:sz w:val="32"/>
          <w:szCs w:val="32"/>
          <w:shd w:val="clear" w:color="auto" w:fill="auto"/>
          <w:lang w:val="en-US" w:eastAsia="zh-CN"/>
        </w:rPr>
        <w:t>30</w:t>
      </w:r>
      <w:r>
        <w:rPr>
          <w:rFonts w:hint="eastAsia" w:ascii="仿宋_GB2312" w:hAnsi="仿宋_GB2312" w:eastAsia="仿宋_GB2312" w:cs="仿宋_GB2312"/>
          <w:snapToGrid w:val="0"/>
          <w:color w:val="auto"/>
          <w:kern w:val="0"/>
          <w:sz w:val="32"/>
          <w:szCs w:val="32"/>
          <w:shd w:val="clear" w:color="auto" w:fill="auto"/>
        </w:rPr>
        <w:t>元/平方米/月的标准，给予一年租金资助，单个企业最高资助</w:t>
      </w:r>
      <w:r>
        <w:rPr>
          <w:rFonts w:hint="eastAsia" w:ascii="仿宋_GB2312" w:hAnsi="仿宋_GB2312" w:eastAsia="仿宋_GB2312" w:cs="仿宋_GB2312"/>
          <w:snapToGrid w:val="0"/>
          <w:color w:val="auto"/>
          <w:kern w:val="0"/>
          <w:sz w:val="32"/>
          <w:szCs w:val="32"/>
          <w:shd w:val="clear" w:color="auto" w:fill="auto"/>
          <w:lang w:val="en-US" w:eastAsia="zh-CN"/>
        </w:rPr>
        <w:t>300</w:t>
      </w:r>
      <w:r>
        <w:rPr>
          <w:rFonts w:hint="eastAsia" w:ascii="仿宋_GB2312" w:hAnsi="仿宋_GB2312" w:eastAsia="仿宋_GB2312" w:cs="仿宋_GB2312"/>
          <w:snapToGrid w:val="0"/>
          <w:color w:val="auto"/>
          <w:kern w:val="0"/>
          <w:sz w:val="32"/>
          <w:szCs w:val="32"/>
          <w:shd w:val="clear" w:color="auto" w:fill="auto"/>
        </w:rPr>
        <w:t>万元。</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黑体" w:hAnsi="黑体" w:eastAsia="黑体" w:cs="黑体"/>
          <w:snapToGrid w:val="0"/>
          <w:color w:val="auto"/>
          <w:kern w:val="0"/>
          <w:sz w:val="32"/>
          <w:szCs w:val="32"/>
          <w:shd w:val="clear" w:color="auto" w:fill="auto"/>
          <w:lang w:val="en-US" w:eastAsia="zh-CN"/>
        </w:rPr>
      </w:pPr>
      <w:r>
        <w:rPr>
          <w:rFonts w:hint="eastAsia" w:ascii="黑体" w:hAnsi="黑体" w:eastAsia="黑体" w:cs="黑体"/>
          <w:snapToGrid w:val="0"/>
          <w:color w:val="auto"/>
          <w:kern w:val="0"/>
          <w:sz w:val="32"/>
          <w:szCs w:val="32"/>
          <w:shd w:val="clear" w:color="auto" w:fill="auto"/>
          <w:lang w:val="en-US" w:eastAsia="zh-CN"/>
        </w:rPr>
        <w:t>五、自建厂房奖补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eastAsia="zh-CN"/>
        </w:rPr>
        <w:t>（七）</w:t>
      </w:r>
      <w:r>
        <w:rPr>
          <w:rFonts w:hint="eastAsia" w:ascii="仿宋_GB2312" w:hAnsi="仿宋_GB2312" w:eastAsia="仿宋_GB2312" w:cs="仿宋_GB2312"/>
          <w:snapToGrid w:val="0"/>
          <w:color w:val="auto"/>
          <w:kern w:val="0"/>
          <w:sz w:val="32"/>
          <w:szCs w:val="32"/>
          <w:shd w:val="clear" w:color="auto" w:fill="auto"/>
        </w:rPr>
        <w:t>企业购地新建生产厂房两层及以上[含建设一层厂房层高（屋檐滴水高度）达到8m及以上，可享受扶持措施，按一层计算面积]，符合规划建设要求，且在签订《国有建设用地使用权出让合同》后</w:t>
      </w:r>
      <w:r>
        <w:rPr>
          <w:rFonts w:hint="eastAsia" w:ascii="仿宋_GB2312" w:hAnsi="仿宋_GB2312" w:eastAsia="仿宋_GB2312" w:cs="仿宋_GB2312"/>
          <w:snapToGrid w:val="0"/>
          <w:color w:val="auto"/>
          <w:kern w:val="0"/>
          <w:sz w:val="32"/>
          <w:szCs w:val="32"/>
          <w:shd w:val="clear" w:color="auto" w:fill="auto"/>
          <w:lang w:val="en-US" w:eastAsia="zh-CN"/>
        </w:rPr>
        <w:t>18</w:t>
      </w:r>
      <w:r>
        <w:rPr>
          <w:rFonts w:hint="eastAsia" w:ascii="仿宋_GB2312" w:hAnsi="仿宋_GB2312" w:eastAsia="仿宋_GB2312" w:cs="仿宋_GB2312"/>
          <w:snapToGrid w:val="0"/>
          <w:color w:val="auto"/>
          <w:kern w:val="0"/>
          <w:sz w:val="32"/>
          <w:szCs w:val="32"/>
          <w:shd w:val="clear" w:color="auto" w:fill="auto"/>
        </w:rPr>
        <w:t>个月内建成并投产的项目，按照厂房建筑面积给予厂房建设补助，奖励标准为</w:t>
      </w:r>
      <w:r>
        <w:rPr>
          <w:rFonts w:hint="eastAsia" w:ascii="仿宋_GB2312" w:hAnsi="仿宋_GB2312" w:eastAsia="仿宋_GB2312" w:cs="仿宋_GB2312"/>
          <w:snapToGrid w:val="0"/>
          <w:color w:val="auto"/>
          <w:kern w:val="0"/>
          <w:sz w:val="32"/>
          <w:szCs w:val="32"/>
          <w:shd w:val="clear" w:color="auto" w:fill="auto"/>
          <w:lang w:eastAsia="zh-CN"/>
        </w:rPr>
        <w:t>根据企业固定资产投资额分档次给予</w:t>
      </w:r>
      <w:r>
        <w:rPr>
          <w:rFonts w:hint="eastAsia" w:ascii="仿宋_GB2312" w:hAnsi="仿宋_GB2312" w:eastAsia="仿宋_GB2312" w:cs="仿宋_GB2312"/>
          <w:snapToGrid w:val="0"/>
          <w:color w:val="auto"/>
          <w:kern w:val="0"/>
          <w:sz w:val="32"/>
          <w:szCs w:val="32"/>
          <w:shd w:val="clear" w:color="auto" w:fill="auto"/>
          <w:lang w:val="en-US" w:eastAsia="zh-CN"/>
        </w:rPr>
        <w:t>60元至</w:t>
      </w:r>
      <w:r>
        <w:rPr>
          <w:rFonts w:hint="eastAsia" w:ascii="仿宋_GB2312" w:hAnsi="仿宋_GB2312" w:eastAsia="仿宋_GB2312" w:cs="仿宋_GB2312"/>
          <w:snapToGrid w:val="0"/>
          <w:color w:val="auto"/>
          <w:kern w:val="0"/>
          <w:sz w:val="32"/>
          <w:szCs w:val="32"/>
          <w:shd w:val="clear" w:color="auto" w:fill="auto"/>
        </w:rPr>
        <w:t>150元</w:t>
      </w:r>
      <w:r>
        <w:rPr>
          <w:rFonts w:hint="eastAsia" w:ascii="仿宋_GB2312" w:hAnsi="仿宋_GB2312" w:eastAsia="仿宋_GB2312" w:cs="仿宋_GB2312"/>
          <w:snapToGrid w:val="0"/>
          <w:color w:val="auto"/>
          <w:kern w:val="0"/>
          <w:sz w:val="32"/>
          <w:szCs w:val="32"/>
          <w:shd w:val="clear" w:color="auto" w:fill="auto"/>
          <w:lang w:eastAsia="zh-CN"/>
        </w:rPr>
        <w:t>每平方米</w:t>
      </w:r>
      <w:r>
        <w:rPr>
          <w:rFonts w:hint="eastAsia" w:ascii="仿宋_GB2312" w:hAnsi="仿宋_GB2312" w:eastAsia="仿宋_GB2312" w:cs="仿宋_GB2312"/>
          <w:snapToGrid w:val="0"/>
          <w:color w:val="auto"/>
          <w:kern w:val="0"/>
          <w:sz w:val="32"/>
          <w:szCs w:val="32"/>
          <w:shd w:val="clear" w:color="auto" w:fill="auto"/>
        </w:rPr>
        <w:t>补助。以上工业厂房补助资金分期拨付，在项目厂房封顶后奖60％，在招商引资合同约定时间投产并达到</w:t>
      </w:r>
      <w:r>
        <w:rPr>
          <w:rFonts w:hint="eastAsia" w:ascii="仿宋_GB2312" w:hAnsi="仿宋_GB2312" w:eastAsia="仿宋_GB2312" w:cs="仿宋_GB2312"/>
          <w:snapToGrid w:val="0"/>
          <w:color w:val="auto"/>
          <w:kern w:val="0"/>
          <w:sz w:val="32"/>
          <w:szCs w:val="32"/>
          <w:shd w:val="clear" w:color="auto" w:fill="auto"/>
          <w:lang w:eastAsia="zh-CN"/>
        </w:rPr>
        <w:t>固投</w:t>
      </w:r>
      <w:r>
        <w:rPr>
          <w:rFonts w:hint="eastAsia" w:ascii="仿宋_GB2312" w:hAnsi="仿宋_GB2312" w:eastAsia="仿宋_GB2312" w:cs="仿宋_GB2312"/>
          <w:snapToGrid w:val="0"/>
          <w:color w:val="auto"/>
          <w:kern w:val="0"/>
          <w:sz w:val="32"/>
          <w:szCs w:val="32"/>
          <w:shd w:val="clear" w:color="auto" w:fill="auto"/>
        </w:rPr>
        <w:t>数后奖补剩余40％</w:t>
      </w:r>
      <w:r>
        <w:rPr>
          <w:rFonts w:hint="eastAsia" w:ascii="仿宋_GB2312" w:hAnsi="仿宋_GB2312" w:eastAsia="仿宋_GB2312" w:cs="仿宋_GB2312"/>
          <w:snapToGrid w:val="0"/>
          <w:color w:val="auto"/>
          <w:kern w:val="0"/>
          <w:sz w:val="32"/>
          <w:szCs w:val="32"/>
          <w:shd w:val="clear" w:color="auto" w:fill="auto"/>
          <w:lang w:eastAsia="zh-CN"/>
        </w:rPr>
        <w:t>。</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黑体" w:hAnsi="黑体" w:eastAsia="黑体" w:cs="黑体"/>
          <w:snapToGrid w:val="0"/>
          <w:color w:val="auto"/>
          <w:kern w:val="0"/>
          <w:sz w:val="32"/>
          <w:szCs w:val="32"/>
          <w:shd w:val="clear" w:color="auto" w:fill="auto"/>
          <w:lang w:val="en-US" w:eastAsia="zh-CN"/>
        </w:rPr>
      </w:pPr>
      <w:r>
        <w:rPr>
          <w:rFonts w:hint="eastAsia" w:ascii="黑体" w:hAnsi="黑体" w:eastAsia="黑体" w:cs="黑体"/>
          <w:snapToGrid w:val="0"/>
          <w:color w:val="auto"/>
          <w:kern w:val="0"/>
          <w:sz w:val="32"/>
          <w:szCs w:val="32"/>
          <w:shd w:val="clear" w:color="auto" w:fill="auto"/>
          <w:lang w:val="en-US" w:eastAsia="zh-CN"/>
        </w:rPr>
        <w:t>六、代建厂房奖补</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val="en-US" w:eastAsia="zh-CN"/>
        </w:rPr>
        <w:t>（八）企业在</w:t>
      </w:r>
      <w:r>
        <w:rPr>
          <w:rFonts w:hint="eastAsia" w:ascii="仿宋_GB2312" w:hAnsi="仿宋_GB2312" w:eastAsia="仿宋_GB2312" w:cs="仿宋_GB2312"/>
          <w:snapToGrid w:val="0"/>
          <w:color w:val="auto"/>
          <w:kern w:val="0"/>
          <w:sz w:val="32"/>
          <w:szCs w:val="32"/>
          <w:shd w:val="clear" w:color="auto" w:fill="auto"/>
          <w:lang w:eastAsia="zh-CN"/>
        </w:rPr>
        <w:t>园区</w:t>
      </w:r>
      <w:r>
        <w:rPr>
          <w:rFonts w:hint="eastAsia" w:ascii="仿宋_GB2312" w:hAnsi="仿宋_GB2312" w:eastAsia="仿宋_GB2312" w:cs="仿宋_GB2312"/>
          <w:snapToGrid w:val="0"/>
          <w:color w:val="auto"/>
          <w:kern w:val="0"/>
          <w:sz w:val="32"/>
          <w:szCs w:val="32"/>
          <w:shd w:val="clear" w:color="auto" w:fill="auto"/>
          <w:lang w:val="en-US" w:eastAsia="zh-CN"/>
        </w:rPr>
        <w:t>摘地自建厂房、固定资产投资达到5亿元（含）以上的，在项目摘地后，可由管委会平台公司代建厂房。企业支付70%建设资金，剩余30%资金在企业投产后5年内付清；也可由管委会平台公司全额</w:t>
      </w:r>
      <w:r>
        <w:rPr>
          <w:rFonts w:hint="eastAsia" w:ascii="仿宋_GB2312" w:hAnsi="仿宋_GB2312" w:eastAsia="仿宋_GB2312" w:cs="仿宋_GB2312"/>
          <w:snapToGrid w:val="0"/>
          <w:color w:val="auto"/>
          <w:kern w:val="0"/>
          <w:sz w:val="32"/>
          <w:szCs w:val="32"/>
          <w:shd w:val="clear" w:color="auto" w:fill="auto"/>
        </w:rPr>
        <w:t>代建厂房</w:t>
      </w:r>
      <w:r>
        <w:rPr>
          <w:rFonts w:hint="eastAsia" w:ascii="仿宋_GB2312" w:hAnsi="仿宋_GB2312" w:eastAsia="仿宋_GB2312" w:cs="仿宋_GB2312"/>
          <w:snapToGrid w:val="0"/>
          <w:color w:val="auto"/>
          <w:kern w:val="0"/>
          <w:sz w:val="32"/>
          <w:szCs w:val="32"/>
          <w:shd w:val="clear" w:color="auto" w:fill="auto"/>
          <w:lang w:eastAsia="zh-CN"/>
        </w:rPr>
        <w:t>，</w:t>
      </w:r>
      <w:r>
        <w:rPr>
          <w:rFonts w:hint="eastAsia" w:ascii="仿宋_GB2312" w:hAnsi="仿宋_GB2312" w:eastAsia="仿宋_GB2312" w:cs="仿宋_GB2312"/>
          <w:snapToGrid w:val="0"/>
          <w:color w:val="auto"/>
          <w:kern w:val="0"/>
          <w:sz w:val="32"/>
          <w:szCs w:val="32"/>
          <w:shd w:val="clear" w:color="auto" w:fill="auto"/>
          <w:lang w:val="en-US" w:eastAsia="zh-CN"/>
        </w:rPr>
        <w:t>建成后按一定租金租赁给企业使用，10年后再由企业回购，或10年税收总额达到一定数额的，该厂房产权划归企业所有，本款具体事项按“一事一议”方式提出优惠申请。</w:t>
      </w:r>
      <w:r>
        <w:rPr>
          <w:rFonts w:hint="eastAsia" w:ascii="仿宋_GB2312" w:hAnsi="仿宋_GB2312" w:eastAsia="仿宋_GB2312" w:cs="仿宋_GB2312"/>
          <w:snapToGrid w:val="0"/>
          <w:color w:val="auto"/>
          <w:kern w:val="0"/>
          <w:sz w:val="32"/>
          <w:szCs w:val="32"/>
          <w:shd w:val="clear" w:color="auto" w:fill="auto"/>
          <w:lang w:val="en-US" w:eastAsia="zh-CN" w:bidi="ar-SA"/>
        </w:rPr>
        <w:t>对固定资产投资20亿元（含）以上，或世界500强、中国500强、行业龙头、央企总部直投、</w:t>
      </w:r>
      <w:r>
        <w:rPr>
          <w:rFonts w:hint="eastAsia" w:ascii="仿宋_GB2312" w:hAnsi="仿宋_GB2312" w:eastAsia="仿宋_GB2312" w:cs="仿宋_GB2312"/>
          <w:snapToGrid w:val="0"/>
          <w:color w:val="auto"/>
          <w:kern w:val="0"/>
          <w:sz w:val="32"/>
          <w:szCs w:val="32"/>
          <w:shd w:val="clear" w:color="auto" w:fill="auto"/>
        </w:rPr>
        <w:t>国家专精特新“小巨人”企业、省市专精特新企业</w:t>
      </w:r>
      <w:r>
        <w:rPr>
          <w:rFonts w:hint="eastAsia" w:ascii="仿宋_GB2312" w:hAnsi="仿宋_GB2312" w:eastAsia="仿宋_GB2312" w:cs="仿宋_GB2312"/>
          <w:snapToGrid w:val="0"/>
          <w:color w:val="auto"/>
          <w:kern w:val="0"/>
          <w:sz w:val="32"/>
          <w:szCs w:val="32"/>
          <w:shd w:val="clear" w:color="auto" w:fill="auto"/>
          <w:lang w:val="en-US" w:eastAsia="zh-CN" w:bidi="ar-SA"/>
        </w:rPr>
        <w:t>的工业项目等，</w:t>
      </w:r>
      <w:r>
        <w:rPr>
          <w:rFonts w:hint="eastAsia" w:ascii="仿宋_GB2312" w:hAnsi="仿宋_GB2312" w:eastAsia="仿宋_GB2312" w:cs="仿宋_GB2312"/>
          <w:snapToGrid w:val="0"/>
          <w:color w:val="auto"/>
          <w:kern w:val="0"/>
          <w:sz w:val="32"/>
          <w:szCs w:val="32"/>
          <w:shd w:val="clear" w:color="auto" w:fill="auto"/>
          <w:lang w:val="en-US" w:eastAsia="zh-CN"/>
        </w:rPr>
        <w:t>可以采取“一事一议”方式提出优惠申请（含政府补贴地价50%以上；由政府全额代建厂房，若干年后再回购等）。</w:t>
      </w:r>
      <w:r>
        <w:rPr>
          <w:rFonts w:hint="eastAsia" w:ascii="楷体_GB2312" w:hAnsi="楷体_GB2312" w:eastAsia="楷体_GB2312" w:cs="楷体_GB2312"/>
          <w:snapToGrid w:val="0"/>
          <w:color w:val="auto"/>
          <w:kern w:val="0"/>
          <w:sz w:val="32"/>
          <w:szCs w:val="32"/>
          <w:shd w:val="clear" w:color="auto" w:fill="auto"/>
          <w:lang w:val="en-US" w:eastAsia="zh-CN"/>
        </w:rPr>
        <w:t>（责任单位：深汕合作园区管委会）</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黑体" w:hAnsi="黑体" w:eastAsia="黑体" w:cs="黑体"/>
          <w:snapToGrid w:val="0"/>
          <w:color w:val="auto"/>
          <w:kern w:val="0"/>
          <w:sz w:val="32"/>
          <w:szCs w:val="32"/>
          <w:shd w:val="clear" w:color="auto" w:fill="auto"/>
          <w:lang w:val="en-US" w:eastAsia="zh-CN"/>
        </w:rPr>
      </w:pPr>
      <w:r>
        <w:rPr>
          <w:rFonts w:hint="eastAsia" w:ascii="黑体" w:hAnsi="黑体" w:eastAsia="黑体" w:cs="黑体"/>
          <w:snapToGrid w:val="0"/>
          <w:color w:val="auto"/>
          <w:kern w:val="0"/>
          <w:sz w:val="32"/>
          <w:szCs w:val="32"/>
          <w:shd w:val="clear" w:color="auto" w:fill="auto"/>
          <w:lang w:val="en-US" w:eastAsia="zh-CN"/>
        </w:rPr>
        <w:t>七、企业资质奖补</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eastAsia="zh-CN"/>
        </w:rPr>
        <w:t>（九）</w:t>
      </w:r>
      <w:r>
        <w:rPr>
          <w:rFonts w:hint="eastAsia" w:ascii="仿宋_GB2312" w:hAnsi="仿宋_GB2312" w:eastAsia="仿宋_GB2312" w:cs="仿宋_GB2312"/>
          <w:snapToGrid w:val="0"/>
          <w:color w:val="auto"/>
          <w:kern w:val="0"/>
          <w:sz w:val="32"/>
          <w:szCs w:val="32"/>
          <w:shd w:val="clear" w:color="auto" w:fill="auto"/>
        </w:rPr>
        <w:t>对产品进入</w:t>
      </w:r>
      <w:r>
        <w:rPr>
          <w:rFonts w:hint="eastAsia" w:ascii="仿宋_GB2312" w:hAnsi="仿宋_GB2312" w:eastAsia="仿宋_GB2312" w:cs="仿宋_GB2312"/>
          <w:snapToGrid w:val="0"/>
          <w:color w:val="auto"/>
          <w:kern w:val="0"/>
          <w:sz w:val="32"/>
          <w:szCs w:val="32"/>
          <w:shd w:val="clear" w:color="auto" w:fill="auto"/>
          <w:lang w:eastAsia="zh-CN"/>
        </w:rPr>
        <w:t>广东省</w:t>
      </w:r>
      <w:r>
        <w:rPr>
          <w:rFonts w:hint="eastAsia" w:ascii="仿宋_GB2312" w:hAnsi="仿宋_GB2312" w:eastAsia="仿宋_GB2312" w:cs="仿宋_GB2312"/>
          <w:snapToGrid w:val="0"/>
          <w:color w:val="auto"/>
          <w:kern w:val="0"/>
          <w:sz w:val="32"/>
          <w:szCs w:val="32"/>
          <w:shd w:val="clear" w:color="auto" w:fill="auto"/>
        </w:rPr>
        <w:t>重大技术装备首台（套）、</w:t>
      </w:r>
      <w:r>
        <w:rPr>
          <w:rFonts w:hint="eastAsia" w:ascii="仿宋_GB2312" w:hAnsi="仿宋_GB2312" w:eastAsia="仿宋_GB2312" w:cs="仿宋_GB2312"/>
          <w:snapToGrid w:val="0"/>
          <w:color w:val="auto"/>
          <w:kern w:val="0"/>
          <w:sz w:val="32"/>
          <w:szCs w:val="32"/>
          <w:shd w:val="clear" w:color="auto" w:fill="auto"/>
          <w:lang w:eastAsia="zh-CN"/>
        </w:rPr>
        <w:t>重点</w:t>
      </w:r>
      <w:r>
        <w:rPr>
          <w:rFonts w:hint="eastAsia" w:ascii="仿宋_GB2312" w:hAnsi="仿宋_GB2312" w:eastAsia="仿宋_GB2312" w:cs="仿宋_GB2312"/>
          <w:snapToGrid w:val="0"/>
          <w:color w:val="auto"/>
          <w:kern w:val="0"/>
          <w:sz w:val="32"/>
          <w:szCs w:val="32"/>
          <w:shd w:val="clear" w:color="auto" w:fill="auto"/>
        </w:rPr>
        <w:t>新材料首批次推广应用指导目录的企业，按</w:t>
      </w:r>
      <w:r>
        <w:rPr>
          <w:rFonts w:hint="eastAsia" w:ascii="仿宋_GB2312" w:hAnsi="仿宋_GB2312" w:eastAsia="仿宋_GB2312" w:cs="仿宋_GB2312"/>
          <w:snapToGrid w:val="0"/>
          <w:color w:val="auto"/>
          <w:kern w:val="0"/>
          <w:sz w:val="32"/>
          <w:szCs w:val="32"/>
          <w:shd w:val="clear" w:color="auto" w:fill="auto"/>
          <w:lang w:eastAsia="zh-CN"/>
        </w:rPr>
        <w:t>省</w:t>
      </w:r>
      <w:r>
        <w:rPr>
          <w:rFonts w:hint="eastAsia" w:ascii="仿宋_GB2312" w:hAnsi="仿宋_GB2312" w:eastAsia="仿宋_GB2312" w:cs="仿宋_GB2312"/>
          <w:snapToGrid w:val="0"/>
          <w:color w:val="auto"/>
          <w:kern w:val="0"/>
          <w:sz w:val="32"/>
          <w:szCs w:val="32"/>
          <w:shd w:val="clear" w:color="auto" w:fill="auto"/>
        </w:rPr>
        <w:t>级资助金额的50%给予配套资助，单个企业年度最高资助300万元。</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val="en-US" w:eastAsia="zh-CN"/>
        </w:rPr>
        <w:t>（十）对首次迁入</w:t>
      </w:r>
      <w:r>
        <w:rPr>
          <w:rFonts w:hint="eastAsia" w:ascii="仿宋_GB2312" w:hAnsi="仿宋_GB2312" w:eastAsia="仿宋_GB2312" w:cs="仿宋_GB2312"/>
          <w:snapToGrid w:val="0"/>
          <w:color w:val="auto"/>
          <w:kern w:val="0"/>
          <w:sz w:val="32"/>
          <w:szCs w:val="32"/>
          <w:shd w:val="clear" w:color="auto" w:fill="auto"/>
          <w:lang w:eastAsia="zh-CN"/>
        </w:rPr>
        <w:t>园区</w:t>
      </w:r>
      <w:r>
        <w:rPr>
          <w:rFonts w:hint="eastAsia" w:ascii="仿宋_GB2312" w:hAnsi="仿宋_GB2312" w:eastAsia="仿宋_GB2312" w:cs="仿宋_GB2312"/>
          <w:snapToGrid w:val="0"/>
          <w:color w:val="auto"/>
          <w:kern w:val="0"/>
          <w:sz w:val="32"/>
          <w:szCs w:val="32"/>
          <w:shd w:val="clear" w:color="auto" w:fill="auto"/>
          <w:lang w:val="en-US" w:eastAsia="zh-CN"/>
        </w:rPr>
        <w:t>且已实际投产运营的专精特新中小企业，给予20万元的一次性落户奖励；对首次迁入本园区且已实际投产运营的国家级专精特新“小巨人”企业，给予50万元的一次性落户奖励。</w:t>
      </w:r>
      <w:r>
        <w:rPr>
          <w:rFonts w:hint="eastAsia" w:ascii="楷体_GB2312" w:hAnsi="楷体_GB2312" w:eastAsia="楷体_GB2312" w:cs="楷体_GB2312"/>
          <w:snapToGrid w:val="0"/>
          <w:color w:val="auto"/>
          <w:kern w:val="0"/>
          <w:sz w:val="32"/>
          <w:szCs w:val="32"/>
          <w:shd w:val="clear" w:color="auto" w:fill="auto"/>
          <w:lang w:val="en-US" w:eastAsia="zh-CN"/>
        </w:rPr>
        <w:t>（责任单位：市工信局）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val="en-US" w:eastAsia="zh-CN"/>
        </w:rPr>
        <w:t>（十一）对在</w:t>
      </w:r>
      <w:r>
        <w:rPr>
          <w:rFonts w:hint="eastAsia" w:ascii="仿宋_GB2312" w:hAnsi="仿宋_GB2312" w:eastAsia="仿宋_GB2312" w:cs="仿宋_GB2312"/>
          <w:snapToGrid w:val="0"/>
          <w:color w:val="auto"/>
          <w:kern w:val="0"/>
          <w:sz w:val="32"/>
          <w:szCs w:val="32"/>
          <w:shd w:val="clear" w:color="auto" w:fill="auto"/>
          <w:lang w:eastAsia="zh-CN"/>
        </w:rPr>
        <w:t>园区</w:t>
      </w:r>
      <w:r>
        <w:rPr>
          <w:rFonts w:hint="eastAsia" w:ascii="仿宋_GB2312" w:hAnsi="仿宋_GB2312" w:eastAsia="仿宋_GB2312" w:cs="仿宋_GB2312"/>
          <w:snapToGrid w:val="0"/>
          <w:color w:val="auto"/>
          <w:kern w:val="0"/>
          <w:sz w:val="32"/>
          <w:szCs w:val="32"/>
          <w:shd w:val="clear" w:color="auto" w:fill="auto"/>
          <w:lang w:val="en-US" w:eastAsia="zh-CN"/>
        </w:rPr>
        <w:t>注册的企事业单位在园区新设立并经认定的市级、省级、国家级重点实验室（或技术创新中心、工程研究中心、工程技术研究中心、企业技术中心、新型研发机构）分别一次性给予50万元、</w:t>
      </w:r>
      <w:r>
        <w:rPr>
          <w:rFonts w:hint="eastAsia" w:ascii="仿宋_GB2312" w:hAnsi="仿宋_GB2312" w:eastAsia="仿宋_GB2312" w:cs="仿宋_GB2312"/>
          <w:snapToGrid w:val="0"/>
          <w:color w:val="auto"/>
          <w:kern w:val="0"/>
          <w:sz w:val="32"/>
          <w:szCs w:val="32"/>
          <w:highlight w:val="none"/>
          <w:shd w:val="clear" w:color="auto" w:fill="auto"/>
          <w:lang w:val="en-US" w:eastAsia="zh-CN"/>
        </w:rPr>
        <w:t>100</w:t>
      </w:r>
      <w:r>
        <w:rPr>
          <w:rFonts w:hint="eastAsia" w:ascii="仿宋_GB2312" w:hAnsi="仿宋_GB2312" w:eastAsia="仿宋_GB2312" w:cs="仿宋_GB2312"/>
          <w:snapToGrid w:val="0"/>
          <w:color w:val="auto"/>
          <w:kern w:val="0"/>
          <w:sz w:val="32"/>
          <w:szCs w:val="32"/>
          <w:shd w:val="clear" w:color="auto" w:fill="auto"/>
          <w:lang w:val="en-US" w:eastAsia="zh-CN"/>
        </w:rPr>
        <w:t>万元、</w:t>
      </w:r>
      <w:r>
        <w:rPr>
          <w:rFonts w:hint="eastAsia" w:ascii="仿宋_GB2312" w:hAnsi="仿宋_GB2312" w:eastAsia="仿宋_GB2312" w:cs="仿宋_GB2312"/>
          <w:snapToGrid w:val="0"/>
          <w:color w:val="auto"/>
          <w:kern w:val="0"/>
          <w:sz w:val="32"/>
          <w:szCs w:val="32"/>
          <w:highlight w:val="none"/>
          <w:shd w:val="clear" w:color="auto" w:fill="auto"/>
          <w:lang w:val="en-US" w:eastAsia="zh-CN"/>
        </w:rPr>
        <w:t>200</w:t>
      </w:r>
      <w:r>
        <w:rPr>
          <w:rFonts w:hint="eastAsia" w:ascii="仿宋_GB2312" w:hAnsi="仿宋_GB2312" w:eastAsia="仿宋_GB2312" w:cs="仿宋_GB2312"/>
          <w:snapToGrid w:val="0"/>
          <w:color w:val="auto"/>
          <w:kern w:val="0"/>
          <w:sz w:val="32"/>
          <w:szCs w:val="32"/>
          <w:shd w:val="clear" w:color="auto" w:fill="auto"/>
          <w:lang w:val="en-US" w:eastAsia="zh-CN"/>
        </w:rPr>
        <w:t>万元奖励。</w:t>
      </w:r>
      <w:r>
        <w:rPr>
          <w:rFonts w:hint="eastAsia" w:ascii="楷体_GB2312" w:hAnsi="楷体_GB2312" w:eastAsia="楷体_GB2312" w:cs="楷体_GB2312"/>
          <w:snapToGrid w:val="0"/>
          <w:color w:val="auto"/>
          <w:kern w:val="0"/>
          <w:sz w:val="32"/>
          <w:szCs w:val="32"/>
          <w:shd w:val="clear" w:color="auto" w:fill="auto"/>
          <w:lang w:val="en-US" w:eastAsia="zh-CN"/>
        </w:rPr>
        <w:t>（责任单位：市科技局）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val="en-US" w:eastAsia="zh-CN"/>
        </w:rPr>
        <w:t>（十二）对首次迁入园区且已实际投产运营的中小板、创业板、科创板、北交所和境外主要证券交易所直接上市的上市企业，给予300万元的一次性落户奖励；对首次迁入本园区且已实际投产运营的境内主板直接上市的上市企业，给予500万元的一次性奖励。</w:t>
      </w:r>
      <w:r>
        <w:rPr>
          <w:rFonts w:hint="eastAsia" w:ascii="楷体_GB2312" w:hAnsi="楷体_GB2312" w:eastAsia="楷体_GB2312" w:cs="楷体_GB2312"/>
          <w:snapToGrid w:val="0"/>
          <w:color w:val="auto"/>
          <w:kern w:val="0"/>
          <w:sz w:val="32"/>
          <w:szCs w:val="32"/>
          <w:shd w:val="clear" w:color="auto" w:fill="auto"/>
          <w:lang w:val="en-US" w:eastAsia="zh-CN"/>
        </w:rPr>
        <w:t>（责任单位：市金融局）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黑体" w:hAnsi="黑体" w:eastAsia="黑体" w:cs="黑体"/>
          <w:snapToGrid w:val="0"/>
          <w:color w:val="auto"/>
          <w:kern w:val="0"/>
          <w:sz w:val="32"/>
          <w:szCs w:val="32"/>
          <w:shd w:val="clear" w:color="auto" w:fill="auto"/>
          <w:lang w:val="en-US" w:eastAsia="zh-CN"/>
        </w:rPr>
      </w:pPr>
      <w:r>
        <w:rPr>
          <w:rFonts w:hint="eastAsia" w:ascii="黑体" w:hAnsi="黑体" w:eastAsia="黑体" w:cs="黑体"/>
          <w:snapToGrid w:val="0"/>
          <w:color w:val="auto"/>
          <w:kern w:val="0"/>
          <w:sz w:val="32"/>
          <w:szCs w:val="32"/>
          <w:shd w:val="clear" w:color="auto" w:fill="auto"/>
          <w:lang w:val="en-US" w:eastAsia="zh-CN"/>
        </w:rPr>
        <w:t>八、贴息奖补</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val="en-US" w:eastAsia="zh-CN"/>
        </w:rPr>
        <w:t>（十三）对符合产业引进的项目提供贴息支持。对新建项目固定资产投资（包括购买设备，不包括用地出让费用）达到5000万元、2亿元、5亿元（以发票为准），根据企业投资建设需求，分别给予每年最高80万元、100万元、120万元的银行贷款贴息补助。贷款资金以实际发生为准，仅用于本园区项目使用，</w:t>
      </w:r>
      <w:r>
        <w:rPr>
          <w:rFonts w:hint="eastAsia" w:ascii="仿宋_GB2312" w:hAnsi="仿宋_GB2312" w:eastAsia="仿宋_GB2312" w:cs="仿宋_GB2312"/>
          <w:snapToGrid w:val="0"/>
          <w:color w:val="auto"/>
          <w:kern w:val="0"/>
          <w:sz w:val="32"/>
          <w:szCs w:val="32"/>
          <w:highlight w:val="yellow"/>
          <w:shd w:val="clear" w:color="auto" w:fill="auto"/>
          <w:lang w:val="en-US" w:eastAsia="zh-CN"/>
        </w:rPr>
        <w:t>按银行同期贷款基准利率给予补贴（会上说已经没有银行同期贷款基准利率的说法了，需要换一下说法，请市金融局、市财政局提出意见）</w:t>
      </w:r>
      <w:r>
        <w:rPr>
          <w:rFonts w:hint="eastAsia" w:ascii="仿宋_GB2312" w:hAnsi="仿宋_GB2312" w:eastAsia="仿宋_GB2312" w:cs="仿宋_GB2312"/>
          <w:snapToGrid w:val="0"/>
          <w:color w:val="auto"/>
          <w:kern w:val="0"/>
          <w:sz w:val="32"/>
          <w:szCs w:val="32"/>
          <w:shd w:val="clear" w:color="auto" w:fill="auto"/>
          <w:lang w:val="en-US" w:eastAsia="zh-CN"/>
        </w:rPr>
        <w:t>，项目贷款利率低于银行同期贷款基准利率的，按实际贷款利率给予补贴，一年一兑现，贴息时间不超过三年。单个项目贴息金额就高不就低，不重复补贴。</w:t>
      </w:r>
      <w:r>
        <w:rPr>
          <w:rFonts w:hint="eastAsia" w:ascii="楷体_GB2312" w:hAnsi="楷体_GB2312" w:eastAsia="楷体_GB2312" w:cs="楷体_GB2312"/>
          <w:snapToGrid w:val="0"/>
          <w:color w:val="auto"/>
          <w:kern w:val="0"/>
          <w:sz w:val="32"/>
          <w:szCs w:val="32"/>
          <w:shd w:val="clear" w:color="auto" w:fill="auto"/>
          <w:lang w:val="en-US" w:eastAsia="zh-CN"/>
        </w:rPr>
        <w:t>（责任单位：市金融局）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黑体" w:hAnsi="黑体" w:eastAsia="黑体" w:cs="黑体"/>
          <w:i w:val="0"/>
          <w:caps w:val="0"/>
          <w:snapToGrid w:val="0"/>
          <w:color w:val="auto"/>
          <w:spacing w:val="0"/>
          <w:kern w:val="0"/>
          <w:sz w:val="32"/>
          <w:szCs w:val="32"/>
          <w:shd w:val="clear" w:color="auto" w:fill="auto"/>
          <w:lang w:val="en-US" w:eastAsia="zh-CN"/>
        </w:rPr>
      </w:pPr>
      <w:r>
        <w:rPr>
          <w:rFonts w:hint="eastAsia" w:ascii="黑体" w:hAnsi="黑体" w:eastAsia="黑体" w:cs="黑体"/>
          <w:i w:val="0"/>
          <w:caps w:val="0"/>
          <w:snapToGrid w:val="0"/>
          <w:color w:val="auto"/>
          <w:spacing w:val="0"/>
          <w:kern w:val="0"/>
          <w:sz w:val="32"/>
          <w:szCs w:val="32"/>
          <w:shd w:val="clear" w:color="auto" w:fill="auto"/>
          <w:lang w:val="en-US" w:eastAsia="zh-CN"/>
        </w:rPr>
        <w:t>九、人才奖补</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i w:val="0"/>
          <w:caps w:val="0"/>
          <w:snapToGrid w:val="0"/>
          <w:color w:val="auto"/>
          <w:spacing w:val="0"/>
          <w:kern w:val="0"/>
          <w:sz w:val="32"/>
          <w:szCs w:val="32"/>
          <w:shd w:val="clear" w:color="auto" w:fill="auto"/>
          <w:lang w:val="en-US" w:eastAsia="zh-CN"/>
        </w:rPr>
        <w:t>（十四）对</w:t>
      </w:r>
      <w:r>
        <w:rPr>
          <w:rFonts w:hint="eastAsia" w:ascii="仿宋_GB2312" w:hAnsi="仿宋_GB2312" w:eastAsia="仿宋_GB2312" w:cs="仿宋_GB2312"/>
          <w:snapToGrid w:val="0"/>
          <w:color w:val="auto"/>
          <w:kern w:val="0"/>
          <w:sz w:val="32"/>
          <w:szCs w:val="32"/>
          <w:shd w:val="clear" w:color="auto" w:fill="auto"/>
          <w:lang w:val="en-US" w:eastAsia="zh-CN"/>
        </w:rPr>
        <w:t>落户园区的企业引进的高层次人才，引进 1名全职院士，给予用人单位200万元补贴；引进1个领军型创新创业团队，按团队认定分档给予用人单位50万元至100 万元补贴；引进1名高层次领军人才，给予用人单位20万元补贴。</w:t>
      </w:r>
      <w:r>
        <w:rPr>
          <w:rFonts w:hint="eastAsia" w:ascii="楷体_GB2312" w:hAnsi="楷体_GB2312" w:eastAsia="楷体_GB2312" w:cs="楷体_GB2312"/>
          <w:snapToGrid w:val="0"/>
          <w:color w:val="auto"/>
          <w:kern w:val="0"/>
          <w:sz w:val="32"/>
          <w:szCs w:val="32"/>
          <w:shd w:val="clear" w:color="auto" w:fill="auto"/>
          <w:lang w:val="en-US" w:eastAsia="zh-CN"/>
        </w:rPr>
        <w:t>（责任部门：市人社局）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i w:val="0"/>
          <w:caps w:val="0"/>
          <w:snapToGrid w:val="0"/>
          <w:color w:val="auto"/>
          <w:spacing w:val="0"/>
          <w:kern w:val="0"/>
          <w:sz w:val="32"/>
          <w:szCs w:val="32"/>
          <w:shd w:val="clear" w:color="auto" w:fill="auto"/>
          <w:lang w:eastAsia="zh-CN"/>
        </w:rPr>
      </w:pPr>
      <w:r>
        <w:rPr>
          <w:rFonts w:hint="eastAsia" w:ascii="黑体" w:hAnsi="黑体" w:eastAsia="黑体" w:cs="黑体"/>
          <w:i w:val="0"/>
          <w:caps w:val="0"/>
          <w:snapToGrid w:val="0"/>
          <w:color w:val="auto"/>
          <w:spacing w:val="0"/>
          <w:kern w:val="0"/>
          <w:sz w:val="32"/>
          <w:szCs w:val="32"/>
          <w:shd w:val="clear" w:color="auto" w:fill="auto"/>
          <w:lang w:val="en-US" w:eastAsia="zh-CN"/>
        </w:rPr>
        <w:t>十、</w:t>
      </w:r>
      <w:r>
        <w:rPr>
          <w:rFonts w:hint="eastAsia" w:ascii="黑体" w:hAnsi="黑体" w:eastAsia="黑体" w:cs="黑体"/>
          <w:i w:val="0"/>
          <w:caps w:val="0"/>
          <w:snapToGrid w:val="0"/>
          <w:color w:val="auto"/>
          <w:spacing w:val="0"/>
          <w:kern w:val="0"/>
          <w:sz w:val="32"/>
          <w:szCs w:val="32"/>
          <w:shd w:val="clear" w:color="auto" w:fill="auto"/>
        </w:rPr>
        <w:t>用电</w:t>
      </w:r>
      <w:r>
        <w:rPr>
          <w:rFonts w:hint="eastAsia" w:ascii="黑体" w:hAnsi="黑体" w:eastAsia="黑体" w:cs="黑体"/>
          <w:i w:val="0"/>
          <w:caps w:val="0"/>
          <w:snapToGrid w:val="0"/>
          <w:color w:val="auto"/>
          <w:spacing w:val="0"/>
          <w:kern w:val="0"/>
          <w:sz w:val="32"/>
          <w:szCs w:val="32"/>
          <w:shd w:val="clear" w:color="auto" w:fill="auto"/>
          <w:lang w:eastAsia="zh-CN"/>
        </w:rPr>
        <w:t>奖补</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i w:val="0"/>
          <w:caps w:val="0"/>
          <w:snapToGrid w:val="0"/>
          <w:color w:val="auto"/>
          <w:spacing w:val="0"/>
          <w:kern w:val="0"/>
          <w:sz w:val="32"/>
          <w:szCs w:val="32"/>
          <w:shd w:val="clear" w:color="auto" w:fill="auto"/>
          <w:lang w:val="en-US" w:eastAsia="zh-CN"/>
        </w:rPr>
        <w:t>（十五）企业投产后年产值达到2000万元以上，</w:t>
      </w:r>
      <w:r>
        <w:rPr>
          <w:rFonts w:hint="eastAsia" w:ascii="仿宋_GB2312" w:hAnsi="仿宋_GB2312" w:eastAsia="仿宋_GB2312" w:cs="仿宋_GB2312"/>
          <w:snapToGrid w:val="0"/>
          <w:color w:val="auto"/>
          <w:kern w:val="0"/>
          <w:sz w:val="32"/>
          <w:szCs w:val="32"/>
          <w:shd w:val="clear" w:color="auto" w:fill="auto"/>
          <w:lang w:val="en-US" w:eastAsia="zh-CN"/>
        </w:rPr>
        <w:t>达产年度</w:t>
      </w:r>
      <w:r>
        <w:rPr>
          <w:rFonts w:hint="eastAsia" w:ascii="仿宋_GB2312" w:hAnsi="仿宋_GB2312" w:eastAsia="仿宋_GB2312" w:cs="仿宋_GB2312"/>
          <w:i w:val="0"/>
          <w:caps w:val="0"/>
          <w:snapToGrid w:val="0"/>
          <w:color w:val="auto"/>
          <w:spacing w:val="0"/>
          <w:kern w:val="0"/>
          <w:sz w:val="32"/>
          <w:szCs w:val="32"/>
          <w:shd w:val="clear" w:color="auto" w:fill="auto"/>
          <w:lang w:val="en-US" w:eastAsia="zh-CN"/>
        </w:rPr>
        <w:t>给予该企业用电总费用30%的补贴</w:t>
      </w:r>
      <w:r>
        <w:rPr>
          <w:rFonts w:hint="eastAsia" w:ascii="仿宋_GB2312" w:hAnsi="仿宋_GB2312" w:eastAsia="仿宋_GB2312" w:cs="仿宋_GB2312"/>
          <w:i w:val="0"/>
          <w:caps w:val="0"/>
          <w:snapToGrid w:val="0"/>
          <w:color w:val="auto"/>
          <w:spacing w:val="0"/>
          <w:kern w:val="0"/>
          <w:sz w:val="32"/>
          <w:szCs w:val="32"/>
          <w:shd w:val="clear" w:color="auto" w:fill="auto"/>
        </w:rPr>
        <w:t>。</w:t>
      </w:r>
      <w:r>
        <w:rPr>
          <w:rFonts w:hint="eastAsia" w:ascii="仿宋_GB2312" w:hAnsi="仿宋_GB2312" w:eastAsia="仿宋_GB2312" w:cs="仿宋_GB2312"/>
          <w:i w:val="0"/>
          <w:caps w:val="0"/>
          <w:snapToGrid w:val="0"/>
          <w:color w:val="auto"/>
          <w:spacing w:val="0"/>
          <w:kern w:val="0"/>
          <w:sz w:val="32"/>
          <w:szCs w:val="32"/>
          <w:shd w:val="clear" w:color="auto" w:fill="auto"/>
          <w:lang w:val="en-US" w:eastAsia="zh-CN"/>
        </w:rPr>
        <w:t>年产值按照会计年度计算，单家企业每次最高奖励不超过200万元。</w:t>
      </w:r>
      <w:r>
        <w:rPr>
          <w:rFonts w:hint="eastAsia" w:ascii="楷体_GB2312" w:hAnsi="楷体_GB2312" w:eastAsia="楷体_GB2312" w:cs="楷体_GB2312"/>
          <w:snapToGrid w:val="0"/>
          <w:color w:val="auto"/>
          <w:kern w:val="0"/>
          <w:sz w:val="32"/>
          <w:szCs w:val="32"/>
          <w:shd w:val="clear" w:color="auto" w:fill="auto"/>
          <w:lang w:val="en-US" w:eastAsia="zh-CN"/>
        </w:rPr>
        <w:t>（责任部门：市发改局）</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十一、企业授信</w:t>
      </w:r>
      <w:r>
        <w:rPr>
          <w:rFonts w:hint="eastAsia" w:ascii="黑体" w:hAnsi="黑体" w:eastAsia="黑体" w:cs="黑体"/>
          <w:snapToGrid w:val="0"/>
          <w:color w:val="auto"/>
          <w:kern w:val="0"/>
          <w:sz w:val="32"/>
          <w:szCs w:val="32"/>
          <w:shd w:val="clear" w:color="auto" w:fill="auto"/>
          <w:lang w:val="en-US" w:eastAsia="zh-CN" w:bidi="ar-SA"/>
        </w:rPr>
        <w:t>和代办服务</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楷体_GB2312" w:hAnsi="楷体_GB2312" w:eastAsia="楷体_GB2312" w:cs="楷体_GB2312"/>
          <w:snapToGrid w:val="0"/>
          <w:color w:val="auto"/>
          <w:kern w:val="0"/>
          <w:sz w:val="32"/>
          <w:szCs w:val="32"/>
          <w:shd w:val="clear" w:color="auto" w:fill="auto"/>
          <w:lang w:val="en-US" w:eastAsia="zh-CN"/>
        </w:rPr>
      </w:pPr>
      <w:r>
        <w:rPr>
          <w:rFonts w:hint="eastAsia" w:ascii="仿宋_GB2312" w:hAnsi="仿宋_GB2312" w:eastAsia="仿宋_GB2312" w:cs="仿宋_GB2312"/>
          <w:snapToGrid w:val="0"/>
          <w:color w:val="auto"/>
          <w:kern w:val="0"/>
          <w:sz w:val="32"/>
          <w:szCs w:val="32"/>
          <w:shd w:val="clear" w:color="auto" w:fill="auto"/>
          <w:lang w:val="en-US" w:eastAsia="zh-CN" w:bidi="ar-SA"/>
        </w:rPr>
        <w:t>（十六）在正式落户园区的企业，由园区管委会战略合作银行给予每家企业授信固投30%贷款额度。</w:t>
      </w:r>
      <w:r>
        <w:rPr>
          <w:rFonts w:hint="eastAsia" w:ascii="仿宋_GB2312" w:hAnsi="仿宋_GB2312" w:eastAsia="仿宋_GB2312" w:cs="仿宋_GB2312"/>
          <w:color w:val="auto"/>
          <w:sz w:val="32"/>
          <w:szCs w:val="32"/>
          <w:shd w:val="clear" w:color="auto" w:fill="auto"/>
          <w:lang w:val="en-US" w:eastAsia="zh-CN"/>
        </w:rPr>
        <w:t>园区设立企业服务中心，建立一支企业服务员队伍，为正式落户的每家企业配备一名企业服务员开展“一对一”服务，企业从落户开始，在汕尾市辖区内需要办理的各项行政事务，由企业服务员全程代办。</w:t>
      </w:r>
      <w:r>
        <w:rPr>
          <w:rFonts w:hint="eastAsia" w:ascii="楷体_GB2312" w:hAnsi="楷体_GB2312" w:eastAsia="楷体_GB2312" w:cs="楷体_GB2312"/>
          <w:snapToGrid w:val="0"/>
          <w:color w:val="auto"/>
          <w:kern w:val="0"/>
          <w:sz w:val="32"/>
          <w:szCs w:val="32"/>
          <w:shd w:val="clear" w:color="auto" w:fill="auto"/>
          <w:lang w:val="en-US" w:eastAsia="zh-CN"/>
        </w:rPr>
        <w:t>（责任单位：深汕合作园区管委会）</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highlight w:val="none"/>
          <w:shd w:val="clear" w:color="auto" w:fill="auto"/>
          <w:lang w:val="en-US" w:eastAsia="zh-CN"/>
        </w:rPr>
      </w:pPr>
      <w:r>
        <w:rPr>
          <w:rFonts w:hint="eastAsia" w:ascii="仿宋_GB2312" w:hAnsi="仿宋_GB2312" w:eastAsia="仿宋_GB2312" w:cs="仿宋_GB2312"/>
          <w:b w:val="0"/>
          <w:bCs w:val="0"/>
          <w:snapToGrid w:val="0"/>
          <w:color w:val="auto"/>
          <w:kern w:val="0"/>
          <w:sz w:val="32"/>
          <w:szCs w:val="32"/>
          <w:highlight w:val="none"/>
          <w:shd w:val="clear" w:color="auto" w:fill="auto"/>
          <w:lang w:val="en-US" w:eastAsia="zh-CN"/>
        </w:rPr>
        <w:t>本政策各项奖补资金由深圳对口帮扶协作汕尾指挥部负责。涉及</w:t>
      </w:r>
      <w:r>
        <w:rPr>
          <w:rFonts w:hint="eastAsia" w:ascii="仿宋_GB2312" w:hAnsi="仿宋_GB2312" w:eastAsia="仿宋_GB2312" w:cs="仿宋_GB2312"/>
          <w:b w:val="0"/>
          <w:bCs w:val="0"/>
          <w:snapToGrid w:val="0"/>
          <w:color w:val="auto"/>
          <w:kern w:val="0"/>
          <w:sz w:val="32"/>
          <w:szCs w:val="32"/>
          <w:highlight w:val="none"/>
          <w:shd w:val="clear" w:color="auto" w:fill="auto"/>
        </w:rPr>
        <w:t>固定资产</w:t>
      </w:r>
      <w:r>
        <w:rPr>
          <w:rFonts w:hint="eastAsia" w:ascii="仿宋_GB2312" w:hAnsi="仿宋_GB2312" w:eastAsia="仿宋_GB2312" w:cs="仿宋_GB2312"/>
          <w:b w:val="0"/>
          <w:bCs w:val="0"/>
          <w:snapToGrid w:val="0"/>
          <w:color w:val="auto"/>
          <w:kern w:val="0"/>
          <w:sz w:val="32"/>
          <w:szCs w:val="32"/>
          <w:highlight w:val="none"/>
          <w:shd w:val="clear" w:color="auto" w:fill="auto"/>
          <w:lang w:eastAsia="zh-CN"/>
        </w:rPr>
        <w:t>、</w:t>
      </w:r>
      <w:r>
        <w:rPr>
          <w:rFonts w:hint="eastAsia" w:ascii="仿宋_GB2312" w:hAnsi="仿宋_GB2312" w:eastAsia="仿宋_GB2312" w:cs="仿宋_GB2312"/>
          <w:b w:val="0"/>
          <w:bCs w:val="0"/>
          <w:snapToGrid w:val="0"/>
          <w:color w:val="auto"/>
          <w:kern w:val="0"/>
          <w:sz w:val="32"/>
          <w:szCs w:val="32"/>
          <w:highlight w:val="none"/>
          <w:shd w:val="clear" w:color="auto" w:fill="auto"/>
          <w:lang w:val="en-US" w:eastAsia="zh-CN"/>
        </w:rPr>
        <w:t>产值、税收等数额或需审核认定的事项，以市</w:t>
      </w:r>
      <w:r>
        <w:rPr>
          <w:rFonts w:hint="eastAsia" w:ascii="仿宋_GB2312" w:hAnsi="仿宋_GB2312" w:eastAsia="仿宋_GB2312" w:cs="仿宋_GB2312"/>
          <w:b w:val="0"/>
          <w:bCs w:val="0"/>
          <w:color w:val="auto"/>
          <w:sz w:val="32"/>
          <w:szCs w:val="32"/>
          <w:highlight w:val="none"/>
          <w:lang w:val="en-US" w:eastAsia="zh-CN"/>
        </w:rPr>
        <w:t>发改、财政、工信、统计、司法、税务、金融</w:t>
      </w:r>
      <w:r>
        <w:rPr>
          <w:rFonts w:hint="eastAsia" w:ascii="仿宋_GB2312" w:hAnsi="仿宋_GB2312" w:eastAsia="仿宋_GB2312" w:cs="仿宋_GB2312"/>
          <w:b w:val="0"/>
          <w:bCs w:val="0"/>
          <w:snapToGrid w:val="0"/>
          <w:color w:val="auto"/>
          <w:kern w:val="0"/>
          <w:sz w:val="32"/>
          <w:szCs w:val="32"/>
          <w:highlight w:val="none"/>
          <w:shd w:val="clear" w:color="auto" w:fill="auto"/>
          <w:lang w:val="en-US" w:eastAsia="zh-CN"/>
        </w:rPr>
        <w:t>等相关</w:t>
      </w:r>
      <w:r>
        <w:rPr>
          <w:rFonts w:hint="eastAsia" w:ascii="仿宋_GB2312" w:hAnsi="仿宋_GB2312" w:eastAsia="仿宋_GB2312" w:cs="仿宋_GB2312"/>
          <w:b w:val="0"/>
          <w:bCs w:val="0"/>
          <w:snapToGrid w:val="0"/>
          <w:color w:val="auto"/>
          <w:kern w:val="0"/>
          <w:sz w:val="32"/>
          <w:szCs w:val="32"/>
          <w:highlight w:val="none"/>
          <w:shd w:val="clear" w:color="auto" w:fill="auto"/>
        </w:rPr>
        <w:t>部门</w:t>
      </w:r>
      <w:r>
        <w:rPr>
          <w:rFonts w:hint="eastAsia" w:ascii="仿宋_GB2312" w:hAnsi="仿宋_GB2312" w:eastAsia="仿宋_GB2312" w:cs="仿宋_GB2312"/>
          <w:b w:val="0"/>
          <w:bCs w:val="0"/>
          <w:snapToGrid w:val="0"/>
          <w:color w:val="auto"/>
          <w:kern w:val="0"/>
          <w:sz w:val="32"/>
          <w:szCs w:val="32"/>
          <w:highlight w:val="none"/>
          <w:shd w:val="clear" w:color="auto" w:fill="auto"/>
          <w:lang w:val="en-US" w:eastAsia="zh-CN"/>
        </w:rPr>
        <w:t>的审核为准。各责任单位要强化各项措施的细化工作，切实做好措施申报指引。各县（市、区）可参照市级做法，自行出台县区产业转移合作园区招商政策，加大对企业支持力度。</w:t>
      </w:r>
      <w:r>
        <w:rPr>
          <w:rFonts w:hint="eastAsia" w:ascii="仿宋_GB2312" w:hAnsi="仿宋_GB2312" w:eastAsia="仿宋_GB2312" w:cs="仿宋_GB2312"/>
          <w:snapToGrid w:val="0"/>
          <w:color w:val="auto"/>
          <w:kern w:val="0"/>
          <w:sz w:val="32"/>
          <w:szCs w:val="32"/>
          <w:highlight w:val="none"/>
          <w:shd w:val="clear" w:color="auto" w:fill="auto"/>
          <w:lang w:val="en-US" w:eastAsia="zh-CN"/>
        </w:rPr>
        <w:t>本政策自印发之日起实施，试行期限暂定三年，由深圳市—汕尾市招商引资联审工作领导小组办公室负责解释</w:t>
      </w:r>
      <w:r>
        <w:rPr>
          <w:rFonts w:hint="eastAsia" w:ascii="仿宋_GB2312" w:hAnsi="仿宋_GB2312" w:eastAsia="仿宋_GB2312" w:cs="仿宋_GB2312"/>
          <w:b w:val="0"/>
          <w:bCs w:val="0"/>
          <w:snapToGrid w:val="0"/>
          <w:color w:val="auto"/>
          <w:kern w:val="0"/>
          <w:sz w:val="32"/>
          <w:szCs w:val="32"/>
          <w:highlight w:val="none"/>
          <w:shd w:val="clear" w:color="auto" w:fill="auto"/>
          <w:lang w:val="en-US" w:eastAsia="zh-CN"/>
        </w:rPr>
        <w:t>（深圳市—汕尾市招商引资联审工作领导小组办公室设在深圳市-汕尾市产业转移合作园区管委会，管委会是汕尾市委、市政府建立的工作机构，在深圳、汕尾两市党政联席会议的领导下开展工作，对两市党政联席会议负责，向两市党政联席会议请示报告工作）</w:t>
      </w:r>
      <w:r>
        <w:rPr>
          <w:rFonts w:hint="eastAsia" w:ascii="仿宋_GB2312" w:hAnsi="仿宋_GB2312" w:eastAsia="仿宋_GB2312" w:cs="仿宋_GB2312"/>
          <w:snapToGrid w:val="0"/>
          <w:color w:val="auto"/>
          <w:kern w:val="0"/>
          <w:sz w:val="32"/>
          <w:szCs w:val="32"/>
          <w:highlight w:val="none"/>
          <w:shd w:val="clear" w:color="auto" w:fill="auto"/>
          <w:lang w:val="en-US" w:eastAsia="zh-CN"/>
        </w:rPr>
        <w:t>，在实施过程中如与国家法规、上级有关政策相抵触，按国家法规、上级有关政策执行。</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default" w:ascii="仿宋_GB2312" w:hAnsi="仿宋_GB2312" w:eastAsia="仿宋_GB2312" w:cs="仿宋_GB2312"/>
          <w:snapToGrid w:val="0"/>
          <w:color w:val="auto"/>
          <w:kern w:val="0"/>
          <w:sz w:val="32"/>
          <w:szCs w:val="32"/>
          <w:highlight w:val="none"/>
          <w:shd w:val="clear" w:color="auto" w:fil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TkxMTczYzE1N2I3ZTE3MWUxNWM4OTViZDY5OTMifQ=="/>
  </w:docVars>
  <w:rsids>
    <w:rsidRoot w:val="77D17B78"/>
    <w:rsid w:val="00896DBE"/>
    <w:rsid w:val="01453A77"/>
    <w:rsid w:val="01475B40"/>
    <w:rsid w:val="0291322F"/>
    <w:rsid w:val="0332754E"/>
    <w:rsid w:val="03571669"/>
    <w:rsid w:val="040D1D50"/>
    <w:rsid w:val="04C335CE"/>
    <w:rsid w:val="066864BB"/>
    <w:rsid w:val="09EC170D"/>
    <w:rsid w:val="0A8F528F"/>
    <w:rsid w:val="0B1934B2"/>
    <w:rsid w:val="0BDD055B"/>
    <w:rsid w:val="0C802EA0"/>
    <w:rsid w:val="0D1E0971"/>
    <w:rsid w:val="0E4C2566"/>
    <w:rsid w:val="0F302360"/>
    <w:rsid w:val="0FCB13DB"/>
    <w:rsid w:val="105062E8"/>
    <w:rsid w:val="10B74AD6"/>
    <w:rsid w:val="11185604"/>
    <w:rsid w:val="117D64F6"/>
    <w:rsid w:val="12215914"/>
    <w:rsid w:val="123E10E0"/>
    <w:rsid w:val="12B05F3E"/>
    <w:rsid w:val="12C64289"/>
    <w:rsid w:val="12D523A5"/>
    <w:rsid w:val="12F64B6E"/>
    <w:rsid w:val="135A3B6E"/>
    <w:rsid w:val="14956609"/>
    <w:rsid w:val="14DF4CB1"/>
    <w:rsid w:val="151E2F34"/>
    <w:rsid w:val="15835356"/>
    <w:rsid w:val="15E4309E"/>
    <w:rsid w:val="16722F67"/>
    <w:rsid w:val="16A53512"/>
    <w:rsid w:val="17476ACB"/>
    <w:rsid w:val="182B008D"/>
    <w:rsid w:val="188C6D1F"/>
    <w:rsid w:val="18FA3AF0"/>
    <w:rsid w:val="191057B3"/>
    <w:rsid w:val="191B72BC"/>
    <w:rsid w:val="1A5139E1"/>
    <w:rsid w:val="1AF26D42"/>
    <w:rsid w:val="1AF90EDD"/>
    <w:rsid w:val="1B6B2944"/>
    <w:rsid w:val="1C7339BB"/>
    <w:rsid w:val="1D2554DD"/>
    <w:rsid w:val="1D577283"/>
    <w:rsid w:val="1D9D45BC"/>
    <w:rsid w:val="1E696B3C"/>
    <w:rsid w:val="1E74103D"/>
    <w:rsid w:val="1E851A7D"/>
    <w:rsid w:val="1F3B22B0"/>
    <w:rsid w:val="20711CD8"/>
    <w:rsid w:val="20AE223F"/>
    <w:rsid w:val="20D60D1B"/>
    <w:rsid w:val="221B629A"/>
    <w:rsid w:val="23A919AE"/>
    <w:rsid w:val="24541F9D"/>
    <w:rsid w:val="24633C41"/>
    <w:rsid w:val="24F15DC2"/>
    <w:rsid w:val="25496E3E"/>
    <w:rsid w:val="26A5704B"/>
    <w:rsid w:val="26EE23BD"/>
    <w:rsid w:val="27434BF3"/>
    <w:rsid w:val="27C17B9E"/>
    <w:rsid w:val="27E94CDC"/>
    <w:rsid w:val="28245882"/>
    <w:rsid w:val="28D36B7B"/>
    <w:rsid w:val="28D9184B"/>
    <w:rsid w:val="29A024D3"/>
    <w:rsid w:val="2AB57E1D"/>
    <w:rsid w:val="2AD6573E"/>
    <w:rsid w:val="2AEF369F"/>
    <w:rsid w:val="2CCC2AD9"/>
    <w:rsid w:val="2D3C7D99"/>
    <w:rsid w:val="2E0B0E97"/>
    <w:rsid w:val="2E630523"/>
    <w:rsid w:val="30774C05"/>
    <w:rsid w:val="30DE1B0E"/>
    <w:rsid w:val="312D2947"/>
    <w:rsid w:val="31644BA6"/>
    <w:rsid w:val="31A34C1A"/>
    <w:rsid w:val="31E577F4"/>
    <w:rsid w:val="32BB3516"/>
    <w:rsid w:val="32BC2291"/>
    <w:rsid w:val="37AF7F83"/>
    <w:rsid w:val="388B6A1D"/>
    <w:rsid w:val="38B061FE"/>
    <w:rsid w:val="3AD13580"/>
    <w:rsid w:val="3B267ABC"/>
    <w:rsid w:val="3B3F6576"/>
    <w:rsid w:val="3C243C4B"/>
    <w:rsid w:val="3D7C1D16"/>
    <w:rsid w:val="3DE15D8D"/>
    <w:rsid w:val="3E2C6FE5"/>
    <w:rsid w:val="3ED54193"/>
    <w:rsid w:val="3EDA4407"/>
    <w:rsid w:val="3F204B9E"/>
    <w:rsid w:val="3F5356B7"/>
    <w:rsid w:val="3F5E78BA"/>
    <w:rsid w:val="3FA0567F"/>
    <w:rsid w:val="40BE4F7B"/>
    <w:rsid w:val="41206877"/>
    <w:rsid w:val="42283382"/>
    <w:rsid w:val="427C62E7"/>
    <w:rsid w:val="44705C7F"/>
    <w:rsid w:val="45524FA2"/>
    <w:rsid w:val="45642F0E"/>
    <w:rsid w:val="45F64A60"/>
    <w:rsid w:val="46DC6E2A"/>
    <w:rsid w:val="46EA2C59"/>
    <w:rsid w:val="473855EC"/>
    <w:rsid w:val="478D5F24"/>
    <w:rsid w:val="484D0086"/>
    <w:rsid w:val="48846226"/>
    <w:rsid w:val="4890343F"/>
    <w:rsid w:val="48C61B6D"/>
    <w:rsid w:val="4A12563E"/>
    <w:rsid w:val="4C50130F"/>
    <w:rsid w:val="4CAB52A2"/>
    <w:rsid w:val="4CD86AB8"/>
    <w:rsid w:val="4D1C500A"/>
    <w:rsid w:val="4D361685"/>
    <w:rsid w:val="4E1458CD"/>
    <w:rsid w:val="4E164E1B"/>
    <w:rsid w:val="4F381CE9"/>
    <w:rsid w:val="50CD1D3A"/>
    <w:rsid w:val="51B700B1"/>
    <w:rsid w:val="51EB53A2"/>
    <w:rsid w:val="5243373B"/>
    <w:rsid w:val="528172AA"/>
    <w:rsid w:val="54B21203"/>
    <w:rsid w:val="5512511A"/>
    <w:rsid w:val="55AB5B68"/>
    <w:rsid w:val="55CA3012"/>
    <w:rsid w:val="5632557B"/>
    <w:rsid w:val="56DA7B9B"/>
    <w:rsid w:val="56FD54DD"/>
    <w:rsid w:val="57E50971"/>
    <w:rsid w:val="581204DB"/>
    <w:rsid w:val="58284F13"/>
    <w:rsid w:val="597678EC"/>
    <w:rsid w:val="5AD703AE"/>
    <w:rsid w:val="5AF54A07"/>
    <w:rsid w:val="5B0D16D3"/>
    <w:rsid w:val="5BDD7C46"/>
    <w:rsid w:val="5C9E082E"/>
    <w:rsid w:val="5D0005AA"/>
    <w:rsid w:val="5FB450B5"/>
    <w:rsid w:val="5FDA771C"/>
    <w:rsid w:val="604430C7"/>
    <w:rsid w:val="60481918"/>
    <w:rsid w:val="604F3821"/>
    <w:rsid w:val="605722B2"/>
    <w:rsid w:val="60A82E9D"/>
    <w:rsid w:val="615035D0"/>
    <w:rsid w:val="6193789D"/>
    <w:rsid w:val="61C62B5E"/>
    <w:rsid w:val="62962036"/>
    <w:rsid w:val="645A4C90"/>
    <w:rsid w:val="6469678B"/>
    <w:rsid w:val="646F78AA"/>
    <w:rsid w:val="648721F9"/>
    <w:rsid w:val="648E7557"/>
    <w:rsid w:val="64947310"/>
    <w:rsid w:val="64F437FD"/>
    <w:rsid w:val="6630216E"/>
    <w:rsid w:val="667B0788"/>
    <w:rsid w:val="681C33CB"/>
    <w:rsid w:val="68A76DA0"/>
    <w:rsid w:val="696562A7"/>
    <w:rsid w:val="69683D96"/>
    <w:rsid w:val="6A535578"/>
    <w:rsid w:val="6AC82BD2"/>
    <w:rsid w:val="6AD0160E"/>
    <w:rsid w:val="6B68048D"/>
    <w:rsid w:val="6BA2710B"/>
    <w:rsid w:val="6BE35185"/>
    <w:rsid w:val="6C411B2C"/>
    <w:rsid w:val="6E2E64D7"/>
    <w:rsid w:val="6E870160"/>
    <w:rsid w:val="6F0166ED"/>
    <w:rsid w:val="6FCF0E93"/>
    <w:rsid w:val="6FE53D5F"/>
    <w:rsid w:val="6FF55EE9"/>
    <w:rsid w:val="701B08E6"/>
    <w:rsid w:val="70544AD4"/>
    <w:rsid w:val="70F92ED4"/>
    <w:rsid w:val="721D0BF5"/>
    <w:rsid w:val="73297D3F"/>
    <w:rsid w:val="7414333C"/>
    <w:rsid w:val="748C188D"/>
    <w:rsid w:val="749E547C"/>
    <w:rsid w:val="74EB49E5"/>
    <w:rsid w:val="752577A0"/>
    <w:rsid w:val="75391169"/>
    <w:rsid w:val="75B73D2B"/>
    <w:rsid w:val="770B14B6"/>
    <w:rsid w:val="77D17B78"/>
    <w:rsid w:val="77D45F4A"/>
    <w:rsid w:val="77F32708"/>
    <w:rsid w:val="78F533E5"/>
    <w:rsid w:val="79027C0F"/>
    <w:rsid w:val="79697CD9"/>
    <w:rsid w:val="79791CCF"/>
    <w:rsid w:val="7A81599B"/>
    <w:rsid w:val="7B8F3561"/>
    <w:rsid w:val="7C461DF5"/>
    <w:rsid w:val="7C9C4B5C"/>
    <w:rsid w:val="7CC5017F"/>
    <w:rsid w:val="7DB879AC"/>
    <w:rsid w:val="7DBF18B0"/>
    <w:rsid w:val="7E3D5ECB"/>
    <w:rsid w:val="7E61645E"/>
    <w:rsid w:val="7ECA4F95"/>
    <w:rsid w:val="7F05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2023-11-15T03:37:00Z</dcterms:created>
  <dc:creator>恩祺</dc:creator>
  <cp:lastModifiedBy>Jun</cp:lastModifiedBy>
  <cp:lastPrinted>2023-11-30T03:06:00Z</cp:lastPrinted>
  <dcterms:modified xsi:type="dcterms:W3CDTF">2023-12-29T04:20:38Z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135F2F9F07564E34ACD2F19893BE173D_13</vt:lpwstr>
  </property>
</Properties>
</file>