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widowControl/>
        <w:shd w:val="clear" w:color="auto" w:fill="FFFFFF"/>
        <w:jc w:val="center"/>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继续</w:t>
      </w:r>
      <w:r>
        <w:rPr>
          <w:rFonts w:hint="eastAsia" w:ascii="黑体" w:hAnsi="黑体" w:eastAsia="黑体" w:cs="黑体"/>
          <w:b w:val="0"/>
          <w:bCs w:val="0"/>
          <w:color w:val="333333"/>
          <w:kern w:val="0"/>
          <w:sz w:val="32"/>
          <w:szCs w:val="32"/>
          <w:lang w:eastAsia="zh-CN"/>
        </w:rPr>
        <w:t>执行</w:t>
      </w:r>
      <w:r>
        <w:rPr>
          <w:rFonts w:hint="eastAsia" w:ascii="黑体" w:hAnsi="黑体" w:eastAsia="黑体" w:cs="黑体"/>
          <w:b w:val="0"/>
          <w:bCs w:val="0"/>
          <w:color w:val="333333"/>
          <w:kern w:val="0"/>
          <w:sz w:val="32"/>
          <w:szCs w:val="32"/>
        </w:rPr>
        <w:t>的</w:t>
      </w:r>
      <w:r>
        <w:rPr>
          <w:rFonts w:hint="eastAsia" w:ascii="黑体" w:hAnsi="黑体" w:eastAsia="黑体" w:cs="黑体"/>
          <w:b w:val="0"/>
          <w:bCs w:val="0"/>
          <w:color w:val="333333"/>
          <w:kern w:val="0"/>
          <w:sz w:val="32"/>
          <w:szCs w:val="32"/>
          <w:lang w:eastAsia="zh-CN"/>
        </w:rPr>
        <w:t>印花税优惠政策文件及条款</w:t>
      </w:r>
      <w:r>
        <w:rPr>
          <w:rFonts w:hint="eastAsia" w:ascii="黑体" w:hAnsi="黑体" w:eastAsia="黑体" w:cs="黑体"/>
          <w:b w:val="0"/>
          <w:bCs w:val="0"/>
          <w:color w:val="333333"/>
          <w:kern w:val="0"/>
          <w:sz w:val="32"/>
          <w:szCs w:val="32"/>
        </w:rPr>
        <w:t>目录</w:t>
      </w:r>
    </w:p>
    <w:p>
      <w:pPr>
        <w:widowControl/>
        <w:shd w:val="clear" w:color="auto" w:fill="FFFFFF"/>
        <w:jc w:val="center"/>
        <w:rPr>
          <w:rFonts w:hint="eastAsia" w:ascii="黑体" w:hAnsi="黑体" w:eastAsia="黑体" w:cs="黑体"/>
          <w:b w:val="0"/>
          <w:bCs w:val="0"/>
          <w:color w:val="333333"/>
          <w:kern w:val="0"/>
          <w:sz w:val="32"/>
          <w:szCs w:val="32"/>
        </w:rPr>
      </w:pPr>
    </w:p>
    <w:tbl>
      <w:tblPr>
        <w:tblStyle w:val="6"/>
        <w:tblW w:w="868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9"/>
        <w:gridCol w:w="4973"/>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文件标题及条款</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《国家税务局关于印花税若干具体问题的规定》第6条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（1988）国税地字第25号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《国家税务局关于对保险公司征收印花税有关问题的通知》第二条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（1988）国税地字第37号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《国家税务局关于图书、报刊等征订凭证征免印花税问题的通知》第二条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（1989）国税地字第142号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lang w:val="en-US" w:eastAsia="zh-CN"/>
              </w:rPr>
            </w:pPr>
            <w:r>
              <w:rPr>
                <w:rFonts w:hint="eastAsia" w:ascii="仿宋_GB2312" w:hAnsi="仿宋_GB2312" w:eastAsia="仿宋_GB2312" w:cs="仿宋_GB2312"/>
                <w:i w:val="0"/>
                <w:color w:val="000000"/>
                <w:sz w:val="30"/>
                <w:szCs w:val="30"/>
                <w:highlight w:val="none"/>
                <w:u w:val="none"/>
                <w:lang w:val="en-US" w:eastAsia="zh-CN"/>
              </w:rPr>
              <w:t>4</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30"/>
                <w:szCs w:val="30"/>
                <w:highlight w:val="none"/>
                <w:u w:val="none"/>
                <w:lang w:val="en-US"/>
              </w:rPr>
            </w:pPr>
            <w:r>
              <w:rPr>
                <w:rFonts w:hint="eastAsia" w:ascii="仿宋_GB2312" w:hAnsi="仿宋_GB2312" w:eastAsia="仿宋_GB2312" w:cs="仿宋_GB2312"/>
                <w:i w:val="0"/>
                <w:color w:val="auto"/>
                <w:kern w:val="0"/>
                <w:sz w:val="30"/>
                <w:szCs w:val="30"/>
                <w:highlight w:val="none"/>
                <w:u w:val="none"/>
                <w:lang w:val="en-US" w:eastAsia="zh-CN" w:bidi="ar"/>
              </w:rPr>
              <w:t>《国家税务总局关于货运凭证征收印花税几个具体问题的通知》第五条第1项、第2项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auto"/>
                <w:kern w:val="0"/>
                <w:sz w:val="30"/>
                <w:szCs w:val="30"/>
                <w:highlight w:val="none"/>
                <w:u w:val="none"/>
                <w:lang w:val="en-US" w:eastAsia="zh-CN" w:bidi="ar"/>
              </w:rPr>
              <w:t>国税发</w:t>
            </w:r>
            <w:r>
              <w:rPr>
                <w:rFonts w:hint="eastAsia" w:ascii="仿宋_GB2312" w:hAnsi="仿宋_GB2312" w:eastAsia="仿宋_GB2312" w:cs="仿宋_GB2312"/>
                <w:b w:val="0"/>
                <w:bCs w:val="0"/>
                <w:i w:val="0"/>
                <w:color w:val="auto"/>
                <w:kern w:val="0"/>
                <w:sz w:val="30"/>
                <w:szCs w:val="30"/>
                <w:highlight w:val="none"/>
                <w:u w:val="none"/>
                <w:lang w:val="en-US" w:eastAsia="zh-CN" w:bidi="ar"/>
              </w:rPr>
              <w:t>〔1990〕</w:t>
            </w:r>
            <w:r>
              <w:rPr>
                <w:rFonts w:hint="eastAsia" w:ascii="仿宋_GB2312" w:hAnsi="仿宋_GB2312" w:eastAsia="仿宋_GB2312" w:cs="仿宋_GB2312"/>
                <w:i w:val="0"/>
                <w:color w:val="auto"/>
                <w:kern w:val="0"/>
                <w:sz w:val="30"/>
                <w:szCs w:val="30"/>
                <w:highlight w:val="none"/>
                <w:u w:val="none"/>
                <w:lang w:val="en-US" w:eastAsia="zh-CN" w:bidi="ar"/>
              </w:rPr>
              <w:t>173号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lang w:val="en-US" w:eastAsia="zh-CN"/>
              </w:rPr>
            </w:pPr>
            <w:r>
              <w:rPr>
                <w:rFonts w:hint="eastAsia" w:ascii="仿宋_GB2312" w:hAnsi="仿宋_GB2312" w:eastAsia="仿宋_GB2312" w:cs="仿宋_GB2312"/>
                <w:i w:val="0"/>
                <w:color w:val="000000"/>
                <w:sz w:val="30"/>
                <w:szCs w:val="30"/>
                <w:highlight w:val="none"/>
                <w:u w:val="none"/>
                <w:lang w:val="en-US" w:eastAsia="zh-CN"/>
              </w:rPr>
              <w:t>5</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b w:val="0"/>
                <w:bCs w:val="0"/>
                <w:i w:val="0"/>
                <w:color w:val="auto"/>
                <w:kern w:val="0"/>
                <w:sz w:val="30"/>
                <w:szCs w:val="30"/>
                <w:highlight w:val="none"/>
                <w:u w:val="none"/>
                <w:lang w:val="en-US" w:eastAsia="zh-CN" w:bidi="ar"/>
              </w:rPr>
              <w:t>《财政部 国家税务总局关于铁道部所属单位恢复征收印花税问题的补充通知》第二条、第三条、第四条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b w:val="0"/>
                <w:bCs w:val="0"/>
                <w:i w:val="0"/>
                <w:color w:val="auto"/>
                <w:kern w:val="0"/>
                <w:sz w:val="30"/>
                <w:szCs w:val="30"/>
                <w:highlight w:val="none"/>
                <w:u w:val="none"/>
                <w:lang w:val="en-US" w:eastAsia="zh-CN" w:bidi="ar"/>
              </w:rPr>
              <w:t>财税字〔1997〕182号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8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6</w:t>
            </w:r>
          </w:p>
        </w:tc>
        <w:tc>
          <w:tcPr>
            <w:tcW w:w="49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国家税务总局关于中国信达等4家金融资产管理公司税收政策问题的通知》第三条第4项中“</w:t>
            </w:r>
            <w:r>
              <w:rPr>
                <w:rFonts w:hint="eastAsia" w:ascii="仿宋_GB2312" w:hAnsi="仿宋_GB2312" w:eastAsia="仿宋_GB2312" w:cs="仿宋_GB2312"/>
                <w:i w:val="0"/>
                <w:color w:val="auto"/>
                <w:kern w:val="0"/>
                <w:sz w:val="30"/>
                <w:szCs w:val="30"/>
                <w:highlight w:val="none"/>
                <w:u w:val="none"/>
                <w:lang w:val="en-US" w:eastAsia="zh-CN" w:bidi="ar"/>
              </w:rPr>
              <w:t>对资产公司成立时设立的资金账簿免征印花税。对资产公司收购、承接和处置不良资产，免征购销合同和产权转移书据应缴纳的印花税</w:t>
            </w:r>
            <w:r>
              <w:rPr>
                <w:rFonts w:hint="eastAsia" w:ascii="仿宋_GB2312" w:hAnsi="仿宋_GB2312" w:eastAsia="仿宋_GB2312" w:cs="仿宋_GB2312"/>
                <w:i w:val="0"/>
                <w:color w:val="000000"/>
                <w:kern w:val="0"/>
                <w:sz w:val="30"/>
                <w:szCs w:val="30"/>
                <w:highlight w:val="none"/>
                <w:u w:val="none"/>
                <w:lang w:val="en-US" w:eastAsia="zh-CN" w:bidi="ar"/>
              </w:rPr>
              <w:t>”的政策</w:t>
            </w:r>
          </w:p>
        </w:tc>
        <w:tc>
          <w:tcPr>
            <w:tcW w:w="28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8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7</w:t>
            </w:r>
          </w:p>
        </w:tc>
        <w:tc>
          <w:tcPr>
            <w:tcW w:w="49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《国家税务总局关于中国石油天然气集团和中国石油化工集团使用的“成品油配置计划表”有关印花税问题的通知》</w:t>
            </w:r>
          </w:p>
        </w:tc>
        <w:tc>
          <w:tcPr>
            <w:tcW w:w="28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国税函</w:t>
            </w:r>
            <w:r>
              <w:rPr>
                <w:rFonts w:hint="eastAsia" w:ascii="仿宋_GB2312" w:hAnsi="仿宋_GB2312" w:eastAsia="仿宋_GB2312" w:cs="仿宋_GB2312"/>
                <w:b w:val="0"/>
                <w:bCs w:val="0"/>
                <w:i w:val="0"/>
                <w:color w:val="auto"/>
                <w:kern w:val="0"/>
                <w:sz w:val="30"/>
                <w:szCs w:val="30"/>
                <w:highlight w:val="none"/>
                <w:u w:val="none"/>
                <w:lang w:val="en-US" w:eastAsia="zh-CN" w:bidi="ar"/>
              </w:rPr>
              <w:t>〔2002〕</w:t>
            </w:r>
            <w:r>
              <w:rPr>
                <w:rFonts w:hint="eastAsia" w:ascii="仿宋_GB2312" w:hAnsi="仿宋_GB2312" w:eastAsia="仿宋_GB2312" w:cs="仿宋_GB2312"/>
                <w:i w:val="0"/>
                <w:color w:val="auto"/>
                <w:kern w:val="0"/>
                <w:sz w:val="30"/>
                <w:szCs w:val="30"/>
                <w:highlight w:val="none"/>
                <w:u w:val="none"/>
                <w:lang w:val="en-US" w:eastAsia="zh-CN" w:bidi="ar"/>
              </w:rPr>
              <w:t>424号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8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8</w:t>
            </w:r>
          </w:p>
        </w:tc>
        <w:tc>
          <w:tcPr>
            <w:tcW w:w="49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国家税务总局关于4家资产管理公司接收资本金项下的资产在办理过户时有关税收政策问题的通知》第一条和第二条中关于印花税的政策</w:t>
            </w:r>
          </w:p>
        </w:tc>
        <w:tc>
          <w:tcPr>
            <w:tcW w:w="28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lang w:val="en"/>
              </w:rPr>
            </w:pPr>
            <w:r>
              <w:rPr>
                <w:rFonts w:hint="eastAsia" w:ascii="仿宋_GB2312" w:hAnsi="仿宋_GB2312" w:eastAsia="仿宋_GB2312" w:cs="仿宋_GB2312"/>
                <w:i w:val="0"/>
                <w:color w:val="000000"/>
                <w:kern w:val="0"/>
                <w:sz w:val="30"/>
                <w:szCs w:val="30"/>
                <w:highlight w:val="none"/>
                <w:u w:val="none"/>
                <w:lang w:val="en-US" w:eastAsia="zh-CN" w:bidi="ar"/>
              </w:rPr>
              <w:t>财税〔2003〕21号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lang w:val="en-US"/>
              </w:rPr>
            </w:pPr>
            <w:r>
              <w:rPr>
                <w:rFonts w:hint="eastAsia" w:ascii="仿宋_GB2312" w:hAnsi="仿宋_GB2312" w:eastAsia="仿宋_GB2312" w:cs="仿宋_GB2312"/>
                <w:i w:val="0"/>
                <w:color w:val="000000"/>
                <w:kern w:val="0"/>
                <w:sz w:val="30"/>
                <w:szCs w:val="30"/>
                <w:highlight w:val="none"/>
                <w:u w:val="none"/>
                <w:lang w:val="en-US" w:eastAsia="zh-CN" w:bidi="ar"/>
              </w:rPr>
              <w:t>9</w:t>
            </w:r>
          </w:p>
        </w:tc>
        <w:tc>
          <w:tcPr>
            <w:tcW w:w="4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2"/>
                <w:sz w:val="30"/>
                <w:szCs w:val="30"/>
                <w:highlight w:val="none"/>
                <w:u w:val="none"/>
                <w:lang w:val="en-US" w:eastAsia="zh-CN" w:bidi="ar-SA"/>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国家税务总局关于全国社会保障基金有关印花税政策的通知》第一条、第二条</w:t>
            </w:r>
          </w:p>
        </w:tc>
        <w:tc>
          <w:tcPr>
            <w:tcW w:w="2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财税〔2003〕134号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sz w:val="30"/>
                <w:szCs w:val="30"/>
                <w:highlight w:val="none"/>
                <w:u w:val="none"/>
                <w:lang w:val="en-US"/>
              </w:rPr>
            </w:pPr>
            <w:r>
              <w:rPr>
                <w:rFonts w:hint="eastAsia" w:ascii="仿宋_GB2312" w:hAnsi="仿宋_GB2312" w:eastAsia="仿宋_GB2312" w:cs="仿宋_GB2312"/>
                <w:i w:val="0"/>
                <w:color w:val="000000"/>
                <w:kern w:val="0"/>
                <w:sz w:val="30"/>
                <w:szCs w:val="30"/>
                <w:highlight w:val="none"/>
                <w:u w:val="none"/>
                <w:lang w:val="en-US" w:eastAsia="zh-CN" w:bidi="ar"/>
              </w:rPr>
              <w:t>10</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国家税务总局关于被撤销金融机构有关税收政策问题的通知》第二条第1项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财税〔2003〕141号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11</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国家税务总局关于企业改制过程中有关印花税政策的通知》第一条第1项、第2项，第二条，第三条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财税〔2003〕183号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sz w:val="30"/>
                <w:szCs w:val="30"/>
                <w:highlight w:val="none"/>
                <w:u w:val="none"/>
                <w:lang w:val="en-US"/>
              </w:rPr>
            </w:pPr>
            <w:r>
              <w:rPr>
                <w:rFonts w:hint="eastAsia" w:ascii="仿宋_GB2312" w:hAnsi="仿宋_GB2312" w:eastAsia="仿宋_GB2312" w:cs="仿宋_GB2312"/>
                <w:i w:val="0"/>
                <w:color w:val="000000"/>
                <w:kern w:val="0"/>
                <w:sz w:val="30"/>
                <w:szCs w:val="30"/>
                <w:highlight w:val="none"/>
                <w:u w:val="none"/>
                <w:lang w:val="en-US" w:eastAsia="zh-CN" w:bidi="ar"/>
              </w:rPr>
              <w:t>12</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国家税务总局关于中国东方资产管理公司处置港澳国际（集团）有限公司有关资产税收政策问题的通知》第二条第1项、第三条第1项、第四条第1项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财税〔2003〕212号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13</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《国家税务总局关于办理上市公司国有股权无偿转让暂不征收证券(股票)交易印花税有关审批事项的通知》第一条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国税函</w:t>
            </w:r>
            <w:r>
              <w:rPr>
                <w:rFonts w:hint="eastAsia" w:ascii="仿宋_GB2312" w:hAnsi="仿宋_GB2312" w:eastAsia="仿宋_GB2312" w:cs="仿宋_GB2312"/>
                <w:b w:val="0"/>
                <w:bCs w:val="0"/>
                <w:i w:val="0"/>
                <w:color w:val="auto"/>
                <w:kern w:val="0"/>
                <w:sz w:val="30"/>
                <w:szCs w:val="30"/>
                <w:highlight w:val="none"/>
                <w:u w:val="none"/>
                <w:lang w:val="en-US" w:eastAsia="zh-CN" w:bidi="ar"/>
              </w:rPr>
              <w:t>〔2004〕</w:t>
            </w:r>
            <w:r>
              <w:rPr>
                <w:rFonts w:hint="eastAsia" w:ascii="仿宋_GB2312" w:hAnsi="仿宋_GB2312" w:eastAsia="仿宋_GB2312" w:cs="仿宋_GB2312"/>
                <w:i w:val="0"/>
                <w:color w:val="000000"/>
                <w:kern w:val="0"/>
                <w:sz w:val="30"/>
                <w:szCs w:val="30"/>
                <w:highlight w:val="none"/>
                <w:u w:val="none"/>
                <w:lang w:val="en-US" w:eastAsia="zh-CN" w:bidi="ar"/>
              </w:rPr>
              <w:t>941号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sz w:val="30"/>
                <w:szCs w:val="30"/>
                <w:highlight w:val="none"/>
                <w:u w:val="none"/>
                <w:lang w:val="en-US" w:eastAsia="zh-CN"/>
              </w:rPr>
            </w:pPr>
            <w:r>
              <w:rPr>
                <w:rFonts w:hint="eastAsia" w:ascii="仿宋_GB2312" w:hAnsi="仿宋_GB2312" w:eastAsia="仿宋_GB2312" w:cs="仿宋_GB2312"/>
                <w:i w:val="0"/>
                <w:color w:val="000000"/>
                <w:sz w:val="30"/>
                <w:szCs w:val="30"/>
                <w:highlight w:val="none"/>
                <w:u w:val="none"/>
                <w:lang w:val="en-US" w:eastAsia="zh-CN"/>
              </w:rPr>
              <w:t>14</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国家税务总局关于股权分置试点改革有关税收政策问题的通知》第一条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财税〔2005〕103号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sz w:val="30"/>
                <w:szCs w:val="30"/>
                <w:highlight w:val="none"/>
                <w:u w:val="none"/>
                <w:lang w:val="en-US" w:eastAsia="zh-CN"/>
              </w:rPr>
            </w:pPr>
            <w:r>
              <w:rPr>
                <w:rFonts w:hint="eastAsia" w:ascii="仿宋_GB2312" w:hAnsi="仿宋_GB2312" w:eastAsia="仿宋_GB2312" w:cs="仿宋_GB2312"/>
                <w:i w:val="0"/>
                <w:color w:val="000000"/>
                <w:sz w:val="30"/>
                <w:szCs w:val="30"/>
                <w:highlight w:val="none"/>
                <w:u w:val="none"/>
                <w:lang w:val="en-US" w:eastAsia="zh-CN"/>
              </w:rPr>
              <w:t>15</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国家税务总局关于信贷资产证券化有关税收政策问题的通知》第一条第（三）、（四）、（五）项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sz w:val="30"/>
                <w:szCs w:val="30"/>
                <w:highlight w:val="none"/>
                <w:u w:val="none"/>
              </w:rPr>
            </w:pPr>
            <w:r>
              <w:rPr>
                <w:rFonts w:hint="eastAsia" w:ascii="仿宋_GB2312" w:hAnsi="仿宋_GB2312" w:eastAsia="仿宋_GB2312" w:cs="仿宋_GB2312"/>
                <w:i w:val="0"/>
                <w:color w:val="000000"/>
                <w:kern w:val="0"/>
                <w:sz w:val="30"/>
                <w:szCs w:val="30"/>
                <w:highlight w:val="none"/>
                <w:u w:val="none"/>
                <w:lang w:val="en-US" w:eastAsia="zh-CN" w:bidi="ar"/>
              </w:rPr>
              <w:t>财税〔2006〕5号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16</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国家税务总局关于证券投资者保护基金有关印花税政策的通知》第一条、第二条、第三条、第四条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财税〔2006〕104号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17</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国家税务总局关于印花税若干政策的通知》第二条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财税〔2006〕162号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18</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国家税务总局关于青藏铁路公司运营期间有关税收等政策问题的通知》第二条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财税〔2007〕11号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19</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国家税务总局关于外国银行分行改制为外商独资银行有关税收问题的通知》第三条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财税〔2007〕45号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20</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国家税务总局关于廉租住房经济适用住房和住房租赁有关税收政策的通知》第一条第（四）项中关于经济适用住房的印花税政策、第二条第（二）项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财税〔2008〕24号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21</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国家税务总局关于调整房地产交易环节税收政策的通知》第二条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财税〔2008〕137号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22</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国家税务总局关于境内证券市场转持部分国有股充实全国社会保障基金有关证券（股票）交易印花税政策的通知》</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财税〔2009〕103号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23</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《国家税务总局关于中国海洋石油总公司使用的“成品油配置计划表”有关印花税问题的公告》</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税务总局公告2012年第58号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24</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国家税务总局关于棚户区改造有关税收政策的通知》第一条中关于印花税的政策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财税〔2013〕101号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25</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国家税务总局关于融资租赁合同有关印花税政策的通知》第二条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财税〔2015〕144号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26</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国家税务总局关于落实降低企业杠杆率税收支持政策的通知》第二条第（七）项中关于印花税的政策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财税〔2016〕125号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27</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国家税务总局 证监会关于深港股票市场交易互联互通机制试点有关税收政策的通知》第五条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财税〔2016〕127号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28</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税务总局关于支持农村集体产权制度改革有关税收政策的通知》第二条中关于印花税的政策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财税〔2017〕55号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29</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sz w:val="30"/>
                <w:szCs w:val="30"/>
                <w:highlight w:val="none"/>
                <w:u w:val="none"/>
                <w:lang w:val="en-US" w:eastAsia="zh-CN"/>
              </w:rPr>
              <w:t>《财政部 税务总局 海关总署关于北京2022年冬奥会和冬残奥会税收政策的通知》第一条第（九）项、第二条第（二）项、第二条第（五）和（六）项中关于印花税的政策、第三条第（四）项</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sz w:val="30"/>
                <w:szCs w:val="30"/>
                <w:highlight w:val="none"/>
                <w:u w:val="none"/>
                <w:lang w:val="en-US" w:eastAsia="zh-CN"/>
              </w:rPr>
              <w:t>财税</w:t>
            </w:r>
            <w:r>
              <w:rPr>
                <w:rFonts w:hint="eastAsia" w:ascii="仿宋_GB2312" w:hAnsi="仿宋_GB2312" w:eastAsia="仿宋_GB2312" w:cs="仿宋_GB2312"/>
                <w:i w:val="0"/>
                <w:color w:val="000000"/>
                <w:kern w:val="0"/>
                <w:sz w:val="30"/>
                <w:szCs w:val="30"/>
                <w:highlight w:val="none"/>
                <w:u w:val="none"/>
                <w:lang w:val="en-US" w:eastAsia="zh-CN" w:bidi="ar"/>
              </w:rPr>
              <w:t>〔2017〕60号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30</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税务总局关于支持小微企业融资有关税收政策的通知》第二条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财税〔2017〕77号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31</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税务总局关于保险保障基金有关税收政策问题的通知》第二条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财税〔2018〕41号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32</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税务总局关于全国社会保障基金有关投资业务税收政策的通知》第三条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财税〔2018〕94号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33</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税务总局关于基本养老保险基金有关投资业务税收政策的通知》第三条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财税〔2018〕95号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34</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税务总局关于易地扶贫搬迁税收优惠政策的通知》第二条第（一）、（二）、（四）、（五）项中关于印花税的政策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财税〔2018〕135号</w:t>
            </w:r>
          </w:p>
          <w:p>
            <w:pPr>
              <w:pStyle w:val="2"/>
              <w:jc w:val="center"/>
              <w:rPr>
                <w:rFonts w:hint="eastAsia" w:ascii="仿宋_GB2312" w:hAnsi="仿宋_GB2312" w:eastAsia="仿宋_GB2312" w:cs="仿宋_GB2312"/>
                <w:sz w:val="30"/>
                <w:szCs w:val="3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35</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税务总局关于高校学生公寓房产税印花税政策的通知》第二条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财税〔2019〕14号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36</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中央宣传部关于继续实施文化体制改革中经营性文化事业单位转制为企业若干税收政策的通知 》第一条第（四）项中关于印花税的政策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财税〔2019〕16号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37</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人力资源社会保障部 国资委 税务总局 证监会关于全面推开划转部分国有资本充实社保基金工作的通知》第五条第（二十四）项中关于印花税的政策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color w:val="000000"/>
                <w:kern w:val="0"/>
                <w:sz w:val="30"/>
                <w:szCs w:val="30"/>
                <w:highlight w:val="none"/>
                <w:u w:val="none"/>
                <w:lang w:val="en-US" w:eastAsia="zh-CN" w:bidi="ar"/>
              </w:rPr>
              <w:t>财资〔2019〕49号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38</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税务总局关于公共租赁住房税收优惠政策的公告》第二条和第三条中关于印花税的政策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color w:val="000000"/>
                <w:kern w:val="0"/>
                <w:sz w:val="30"/>
                <w:szCs w:val="30"/>
                <w:highlight w:val="none"/>
                <w:u w:val="none"/>
                <w:lang w:val="en-US" w:eastAsia="zh-CN" w:bidi="ar"/>
              </w:rPr>
              <w:t>财政部</w:t>
            </w:r>
            <w:r>
              <w:rPr>
                <w:rFonts w:hint="eastAsia" w:ascii="仿宋_GB2312" w:hAnsi="仿宋_GB2312" w:eastAsia="仿宋_GB2312" w:cs="仿宋_GB2312"/>
                <w:sz w:val="30"/>
                <w:szCs w:val="30"/>
                <w:highlight w:val="none"/>
                <w:lang w:val="en-US" w:eastAsia="zh-CN"/>
              </w:rPr>
              <w:t xml:space="preserve"> 税务总局公告2019年第61号</w:t>
            </w:r>
          </w:p>
          <w:p>
            <w:pPr>
              <w:pStyle w:val="2"/>
              <w:jc w:val="center"/>
              <w:rPr>
                <w:rFonts w:hint="eastAsia" w:ascii="仿宋_GB2312" w:hAnsi="仿宋_GB2312" w:eastAsia="仿宋_GB2312" w:cs="仿宋_GB2312"/>
                <w:sz w:val="30"/>
                <w:szCs w:val="3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39</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税务总局关于继续实行农村饮水安全工程税收优惠政策的公告》第二条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财政部 税务总局公告2019年第67号</w:t>
            </w:r>
          </w:p>
          <w:p>
            <w:pPr>
              <w:pStyle w:val="2"/>
              <w:jc w:val="center"/>
              <w:rPr>
                <w:rFonts w:hint="eastAsia" w:ascii="仿宋_GB2312" w:hAnsi="仿宋_GB2312" w:eastAsia="仿宋_GB2312" w:cs="仿宋_GB2312"/>
                <w:sz w:val="30"/>
                <w:szCs w:val="3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40</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海关总署关于北京2022年冬奥会和冬残奥会税收优惠政策的公告》第六条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海关总署公告2019年第92号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41</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海关总署关于杭州2022年亚运会和亚残运会税收政策的公告》第七条、第八条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海关总署公告2020年第18号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42</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海关总署关于第18届世界中学生运动会等三项国际综合运动会税收政策的公告》第七条、第八条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 海关总署公告2020年第19号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43</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税务总局关于延长部分税收优惠政策执行期限的公告》中关于印花税的政策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税务总局公告2021年第6号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44</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税务总局关于延长部分税收优惠政策执行期限的公告》中关于印花税的政策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auto"/>
                <w:kern w:val="0"/>
                <w:sz w:val="30"/>
                <w:szCs w:val="30"/>
                <w:highlight w:val="none"/>
                <w:u w:val="none"/>
                <w:lang w:val="en-US" w:eastAsia="zh-CN" w:bidi="ar"/>
              </w:rPr>
            </w:pPr>
            <w:r>
              <w:rPr>
                <w:rFonts w:hint="eastAsia" w:ascii="仿宋_GB2312" w:hAnsi="仿宋_GB2312" w:eastAsia="仿宋_GB2312" w:cs="仿宋_GB2312"/>
                <w:i w:val="0"/>
                <w:color w:val="auto"/>
                <w:kern w:val="0"/>
                <w:sz w:val="30"/>
                <w:szCs w:val="30"/>
                <w:highlight w:val="none"/>
                <w:u w:val="none"/>
                <w:lang w:val="en-US" w:eastAsia="zh-CN" w:bidi="ar"/>
              </w:rPr>
              <w:t>财政部 税务总局公告2022年第4号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45</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税务总局关于延续执行部分国家商品储备税收优惠政策的公告》第一条</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税务总局公告2022年第 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46</w:t>
            </w:r>
          </w:p>
        </w:tc>
        <w:tc>
          <w:tcPr>
            <w:tcW w:w="4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税务总局关于进一步实施小微企业“六税两费”减免政策的公告 》第一条中关于印花税的政策</w:t>
            </w:r>
          </w:p>
        </w:tc>
        <w:tc>
          <w:tcPr>
            <w:tcW w:w="2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color w:val="000000"/>
                <w:kern w:val="0"/>
                <w:sz w:val="30"/>
                <w:szCs w:val="30"/>
                <w:highlight w:val="none"/>
                <w:u w:val="none"/>
                <w:lang w:val="en-US" w:eastAsia="zh-CN" w:bidi="ar"/>
              </w:rPr>
            </w:pPr>
            <w:r>
              <w:rPr>
                <w:rFonts w:hint="eastAsia" w:ascii="仿宋_GB2312" w:hAnsi="仿宋_GB2312" w:eastAsia="仿宋_GB2312" w:cs="仿宋_GB2312"/>
                <w:i w:val="0"/>
                <w:color w:val="000000"/>
                <w:kern w:val="0"/>
                <w:sz w:val="30"/>
                <w:szCs w:val="30"/>
                <w:highlight w:val="none"/>
                <w:u w:val="none"/>
                <w:lang w:val="en-US" w:eastAsia="zh-CN" w:bidi="ar"/>
              </w:rPr>
              <w:t>财政部 税务总局公告202</w:t>
            </w:r>
            <w:r>
              <w:rPr>
                <w:rFonts w:hint="eastAsia" w:ascii="仿宋_GB2312" w:hAnsi="仿宋_GB2312" w:eastAsia="仿宋_GB2312" w:cs="仿宋_GB2312"/>
                <w:i w:val="0"/>
                <w:color w:val="000000"/>
                <w:kern w:val="0"/>
                <w:sz w:val="30"/>
                <w:szCs w:val="30"/>
                <w:highlight w:val="none"/>
                <w:u w:val="none"/>
                <w:lang w:val="en" w:eastAsia="zh-CN" w:bidi="ar"/>
              </w:rPr>
              <w:t>2</w:t>
            </w:r>
            <w:r>
              <w:rPr>
                <w:rFonts w:hint="eastAsia" w:ascii="仿宋_GB2312" w:hAnsi="仿宋_GB2312" w:eastAsia="仿宋_GB2312" w:cs="仿宋_GB2312"/>
                <w:i w:val="0"/>
                <w:color w:val="000000"/>
                <w:kern w:val="0"/>
                <w:sz w:val="30"/>
                <w:szCs w:val="30"/>
                <w:highlight w:val="none"/>
                <w:u w:val="none"/>
                <w:lang w:val="en-US" w:eastAsia="zh-CN" w:bidi="ar"/>
              </w:rPr>
              <w:t>年第</w:t>
            </w:r>
            <w:r>
              <w:rPr>
                <w:rFonts w:hint="eastAsia" w:ascii="仿宋_GB2312" w:hAnsi="仿宋_GB2312" w:eastAsia="仿宋_GB2312" w:cs="仿宋_GB2312"/>
                <w:i w:val="0"/>
                <w:color w:val="000000"/>
                <w:kern w:val="0"/>
                <w:sz w:val="30"/>
                <w:szCs w:val="30"/>
                <w:highlight w:val="none"/>
                <w:u w:val="none"/>
                <w:lang w:val="en" w:eastAsia="zh-CN" w:bidi="ar"/>
              </w:rPr>
              <w:t xml:space="preserve"> </w:t>
            </w:r>
            <w:r>
              <w:rPr>
                <w:rFonts w:hint="eastAsia" w:ascii="仿宋_GB2312" w:hAnsi="仿宋_GB2312" w:eastAsia="仿宋_GB2312" w:cs="仿宋_GB2312"/>
                <w:i w:val="0"/>
                <w:color w:val="000000"/>
                <w:kern w:val="0"/>
                <w:sz w:val="30"/>
                <w:szCs w:val="30"/>
                <w:highlight w:val="none"/>
                <w:u w:val="none"/>
                <w:lang w:val="en-US" w:eastAsia="zh-CN" w:bidi="ar"/>
              </w:rPr>
              <w:t>10号</w:t>
            </w:r>
          </w:p>
        </w:tc>
      </w:tr>
    </w:tbl>
    <w:p>
      <w:pPr>
        <w:jc w:val="center"/>
        <w:rPr>
          <w:rFonts w:hint="eastAsia" w:ascii="仿宋_GB2312" w:hAnsi="仿宋_GB2312" w:eastAsia="仿宋_GB2312" w:cs="仿宋_GB2312"/>
          <w:sz w:val="30"/>
          <w:szCs w:val="30"/>
          <w:highlight w:val="none"/>
        </w:rPr>
      </w:pP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MDg4MTgxNmIyYzhjMzM1NzgwZGM4OTRkNWY5YTcifQ=="/>
  </w:docVars>
  <w:rsids>
    <w:rsidRoot w:val="00000000"/>
    <w:rsid w:val="0B9A10BD"/>
    <w:rsid w:val="1FA7106C"/>
    <w:rsid w:val="1FEBB6F4"/>
    <w:rsid w:val="29E945EB"/>
    <w:rsid w:val="2FDF0598"/>
    <w:rsid w:val="3BF4DC3F"/>
    <w:rsid w:val="3EAB0813"/>
    <w:rsid w:val="3F559B2E"/>
    <w:rsid w:val="4FB884A9"/>
    <w:rsid w:val="56AD7F6B"/>
    <w:rsid w:val="5A7F0D98"/>
    <w:rsid w:val="5FDFCFD9"/>
    <w:rsid w:val="5FEEB914"/>
    <w:rsid w:val="677D02CC"/>
    <w:rsid w:val="68D9CF3B"/>
    <w:rsid w:val="68F374FE"/>
    <w:rsid w:val="6E8D6FAE"/>
    <w:rsid w:val="6FFDB19A"/>
    <w:rsid w:val="6FFE4F42"/>
    <w:rsid w:val="70F31C37"/>
    <w:rsid w:val="73D8C908"/>
    <w:rsid w:val="73F7AA11"/>
    <w:rsid w:val="73FE22C5"/>
    <w:rsid w:val="76D9C3A1"/>
    <w:rsid w:val="776DE1DF"/>
    <w:rsid w:val="77FE4D69"/>
    <w:rsid w:val="77FE6EDB"/>
    <w:rsid w:val="79FC7B22"/>
    <w:rsid w:val="79FFAA58"/>
    <w:rsid w:val="7AFF2544"/>
    <w:rsid w:val="7BBEA759"/>
    <w:rsid w:val="7BD83608"/>
    <w:rsid w:val="7CD24A13"/>
    <w:rsid w:val="7DCF62A4"/>
    <w:rsid w:val="7DEB6DAA"/>
    <w:rsid w:val="7ED50EE4"/>
    <w:rsid w:val="7EF798CA"/>
    <w:rsid w:val="7F75F4DE"/>
    <w:rsid w:val="9B6F0C2C"/>
    <w:rsid w:val="9E77A1B3"/>
    <w:rsid w:val="AEF21855"/>
    <w:rsid w:val="B7F7220F"/>
    <w:rsid w:val="BEFFB422"/>
    <w:rsid w:val="BF8FF85C"/>
    <w:rsid w:val="BFFDEB39"/>
    <w:rsid w:val="BFFE0E27"/>
    <w:rsid w:val="C49D31AD"/>
    <w:rsid w:val="CB1FC84C"/>
    <w:rsid w:val="CF7F9EC8"/>
    <w:rsid w:val="D2A62699"/>
    <w:rsid w:val="D6B76180"/>
    <w:rsid w:val="DBF785CF"/>
    <w:rsid w:val="DDEF8AA1"/>
    <w:rsid w:val="DEDE6D9E"/>
    <w:rsid w:val="DEE91B8F"/>
    <w:rsid w:val="DEFE3405"/>
    <w:rsid w:val="DFBF15BF"/>
    <w:rsid w:val="DFCEAE33"/>
    <w:rsid w:val="DFFD6F61"/>
    <w:rsid w:val="EDB791F7"/>
    <w:rsid w:val="EDD631CA"/>
    <w:rsid w:val="EE6F18C3"/>
    <w:rsid w:val="EEEF3F17"/>
    <w:rsid w:val="EEFD8F20"/>
    <w:rsid w:val="EFB76641"/>
    <w:rsid w:val="F73CC5F6"/>
    <w:rsid w:val="F775F48C"/>
    <w:rsid w:val="F9EF289E"/>
    <w:rsid w:val="FDD78E81"/>
    <w:rsid w:val="FE7D91B0"/>
    <w:rsid w:val="FF9BCBAF"/>
    <w:rsid w:val="FFCB1CE3"/>
    <w:rsid w:val="FFDF3F8D"/>
    <w:rsid w:val="FFEBA8D6"/>
    <w:rsid w:val="FFF97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autoSpaceDE w:val="0"/>
      <w:autoSpaceDN w:val="0"/>
      <w:adjustRightInd w:val="0"/>
      <w:snapToGrid w:val="0"/>
      <w:spacing w:line="588" w:lineRule="atLeast"/>
      <w:jc w:val="both"/>
    </w:pPr>
    <w:rPr>
      <w:rFonts w:ascii="宋体" w:hAnsi="宋体" w:eastAsia="仿宋_GB2312"/>
      <w:spacing w:val="-2"/>
      <w:sz w:val="32"/>
      <w:szCs w:val="24"/>
      <w:lang w:val="en-US" w:eastAsia="zh-CN" w:bidi="ar-SA"/>
    </w:rPr>
  </w:style>
  <w:style w:type="paragraph" w:styleId="3">
    <w:name w:val="toc 5"/>
    <w:basedOn w:val="1"/>
    <w:next w:val="1"/>
    <w:unhideWhenUsed/>
    <w:qFormat/>
    <w:uiPriority w:val="39"/>
    <w:pPr>
      <w:spacing w:line="600" w:lineRule="exact"/>
      <w:ind w:firstLine="720" w:firstLineChars="200"/>
    </w:pPr>
    <w:rPr>
      <w:rFonts w:ascii="Calibri" w:hAnsi="Calibri"/>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1I"/>
    <w:basedOn w:val="9"/>
    <w:qFormat/>
    <w:uiPriority w:val="99"/>
    <w:pPr>
      <w:spacing w:line="360" w:lineRule="auto"/>
      <w:ind w:firstLine="420" w:firstLineChars="100"/>
    </w:pPr>
    <w:rPr>
      <w:rFonts w:ascii="Times New Roman" w:hAnsi="Times New Roman"/>
      <w:sz w:val="28"/>
    </w:rPr>
  </w:style>
  <w:style w:type="paragraph" w:customStyle="1" w:styleId="9">
    <w:name w:val="BodyText"/>
    <w:basedOn w:val="1"/>
    <w:next w:val="10"/>
    <w:qFormat/>
    <w:uiPriority w:val="99"/>
    <w:pPr>
      <w:snapToGrid w:val="0"/>
      <w:spacing w:line="420" w:lineRule="auto"/>
      <w:ind w:firstLine="200" w:firstLineChars="200"/>
    </w:pPr>
    <w:rPr>
      <w:rFonts w:ascii="宋体" w:hAnsi="宋体"/>
      <w:sz w:val="24"/>
      <w:szCs w:val="20"/>
    </w:rPr>
  </w:style>
  <w:style w:type="paragraph" w:customStyle="1" w:styleId="10">
    <w:name w:val="UserStyle_0"/>
    <w:basedOn w:val="1"/>
    <w:qFormat/>
    <w:uiPriority w:val="99"/>
    <w:pPr>
      <w:spacing w:after="120"/>
      <w:ind w:firstLine="420" w:firstLineChars="1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2014-11-11T20:08:00Z</dcterms:created>
  <dc:creator>Administrator</dc:creator>
  <cp:lastModifiedBy>鲠喜樂児</cp:lastModifiedBy>
  <cp:lastPrinted>2021-08-18T09:24:00Z</cp:lastPrinted>
  <dcterms:modified xsi:type="dcterms:W3CDTF">2023-12-07T07:41:01Z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BBB42106EE284531B6B807356077DB35_12</vt:lpwstr>
  </property>
</Properties>
</file>