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Style w:val="5"/>
          <w:rFonts w:hint="eastAsia" w:ascii="方正小标宋简体" w:hAnsi="方正小标宋简体" w:eastAsia="方正小标宋简体" w:cs="方正小标宋简体"/>
          <w:b w:val="0"/>
          <w:bCs/>
          <w:color w:val="333333"/>
          <w:spacing w:val="0"/>
          <w:sz w:val="44"/>
          <w:szCs w:val="44"/>
          <w:u w:val="none"/>
        </w:rPr>
      </w:pPr>
      <w:r>
        <w:rPr>
          <w:rStyle w:val="5"/>
          <w:rFonts w:hint="eastAsia" w:ascii="方正小标宋简体" w:hAnsi="方正小标宋简体" w:eastAsia="方正小标宋简体" w:cs="方正小标宋简体"/>
          <w:b w:val="0"/>
          <w:bCs/>
          <w:color w:val="333333"/>
          <w:spacing w:val="0"/>
          <w:sz w:val="44"/>
          <w:szCs w:val="44"/>
          <w:u w:val="none"/>
          <w:lang w:eastAsia="zh-CN"/>
        </w:rPr>
        <w:t>汕尾市</w:t>
      </w:r>
      <w:r>
        <w:rPr>
          <w:rStyle w:val="5"/>
          <w:rFonts w:hint="eastAsia" w:ascii="方正小标宋简体" w:hAnsi="方正小标宋简体" w:eastAsia="方正小标宋简体" w:cs="方正小标宋简体"/>
          <w:b w:val="0"/>
          <w:bCs/>
          <w:color w:val="333333"/>
          <w:spacing w:val="0"/>
          <w:sz w:val="44"/>
          <w:szCs w:val="44"/>
          <w:u w:val="none"/>
        </w:rPr>
        <w:t>先进制造业发展专项资金（普惠性</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Style w:val="5"/>
          <w:rFonts w:hint="eastAsia" w:ascii="方正小标宋简体" w:hAnsi="方正小标宋简体" w:eastAsia="方正小标宋简体" w:cs="方正小标宋简体"/>
          <w:b w:val="0"/>
          <w:bCs/>
          <w:color w:val="333333"/>
          <w:spacing w:val="0"/>
          <w:sz w:val="44"/>
          <w:szCs w:val="44"/>
          <w:u w:val="none"/>
        </w:rPr>
      </w:pPr>
      <w:r>
        <w:rPr>
          <w:rStyle w:val="5"/>
          <w:rFonts w:hint="eastAsia" w:ascii="方正小标宋简体" w:hAnsi="方正小标宋简体" w:eastAsia="方正小标宋简体" w:cs="方正小标宋简体"/>
          <w:b w:val="0"/>
          <w:bCs/>
          <w:color w:val="333333"/>
          <w:spacing w:val="0"/>
          <w:sz w:val="44"/>
          <w:szCs w:val="44"/>
          <w:u w:val="none"/>
        </w:rPr>
        <w:t>制造业投资奖励）管理实施细则</w:t>
      </w:r>
    </w:p>
    <w:p>
      <w:pPr>
        <w:spacing w:line="60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5"/>
          <w:rFonts w:hint="eastAsia" w:ascii="方正小标宋简体" w:hAnsi="方正小标宋简体" w:eastAsia="方正小标宋简体" w:cs="方正小标宋简体"/>
          <w:b w:val="0"/>
          <w:bCs/>
          <w:color w:val="333333"/>
          <w:spacing w:val="0"/>
          <w:sz w:val="44"/>
          <w:szCs w:val="44"/>
          <w:u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宋体" w:hAnsi="宋体" w:eastAsia="宋体" w:cs="宋体"/>
          <w:color w:val="333333"/>
          <w:spacing w:val="0"/>
          <w:sz w:val="32"/>
          <w:szCs w:val="32"/>
          <w:u w:val="none"/>
        </w:rPr>
      </w:pPr>
      <w:r>
        <w:rPr>
          <w:rStyle w:val="5"/>
          <w:rFonts w:hint="eastAsia" w:ascii="黑体" w:hAnsi="黑体" w:eastAsia="黑体" w:cs="黑体"/>
          <w:b w:val="0"/>
          <w:bCs/>
          <w:color w:val="auto"/>
          <w:spacing w:val="0"/>
          <w:sz w:val="32"/>
          <w:szCs w:val="32"/>
          <w:u w:val="none"/>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333333"/>
          <w:spacing w:val="0"/>
          <w:sz w:val="32"/>
          <w:szCs w:val="32"/>
          <w:u w:val="none"/>
        </w:rPr>
      </w:pPr>
      <w:r>
        <w:rPr>
          <w:rStyle w:val="5"/>
          <w:rFonts w:hint="eastAsia" w:ascii="黑体" w:hAnsi="黑体" w:eastAsia="黑体" w:cs="黑体"/>
          <w:b w:val="0"/>
          <w:bCs/>
          <w:color w:val="auto"/>
          <w:spacing w:val="0"/>
          <w:sz w:val="32"/>
          <w:szCs w:val="32"/>
          <w:u w:val="none"/>
        </w:rPr>
        <w:t>第一条</w:t>
      </w:r>
      <w:r>
        <w:rPr>
          <w:rStyle w:val="5"/>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根据《广东省人民政府关于印发广东省加快先进制造业项目投资建设若干政策措施的通知》（粤府〔2021〕21号）、《广东省工业和信息化厅广东省财政厅印发广东省先进制造业发展专项资金（普惠性制造业投资奖励）管理实施细则（修订本）的通知》（粤工信技改函〔2022〕7号）等规定，为规范本市省级先进制造业发展专项资金（普惠性制造业投资奖励）管理，结合我市实际，制定本实施细则。</w:t>
      </w:r>
      <w:r>
        <w:rPr>
          <w:rFonts w:hint="eastAsia" w:ascii="仿宋_GB2312" w:hAnsi="仿宋_GB2312" w:eastAsia="仿宋_GB2312" w:cs="仿宋_GB2312"/>
          <w:color w:val="333333"/>
          <w:spacing w:val="0"/>
          <w:sz w:val="32"/>
          <w:szCs w:val="32"/>
          <w:u w:val="none"/>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Style w:val="5"/>
          <w:rFonts w:hint="eastAsia" w:ascii="黑体" w:hAnsi="黑体" w:eastAsia="黑体" w:cs="黑体"/>
          <w:b w:val="0"/>
          <w:bCs/>
          <w:color w:val="auto"/>
          <w:spacing w:val="0"/>
          <w:sz w:val="32"/>
          <w:szCs w:val="32"/>
          <w:u w:val="none"/>
        </w:rPr>
        <w:t>第二条</w:t>
      </w:r>
      <w:r>
        <w:rPr>
          <w:rStyle w:val="5"/>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本实施细则所称省级先进制造业发展专项资（普惠性制造业投资奖励）（以下简称“投资奖励资金”），是指省财政根据我市符合条件的制造业项目投资建设情况，按规定奖励给汕尾市人民政府（以下简称“市政府”）的专项资金。突出制造业当家，我市财政可安排部分资金开展普惠性投资奖励，并入省级投资奖励资金使用。投资奖励资金由市政府按规定用途统筹用于支持制造业项目引进建设。</w:t>
      </w:r>
      <w:r>
        <w:rPr>
          <w:rFonts w:hint="eastAsia" w:ascii="仿宋_GB2312" w:hAnsi="仿宋_GB2312" w:eastAsia="仿宋_GB2312" w:cs="仿宋_GB2312"/>
          <w:color w:val="333333"/>
          <w:spacing w:val="0"/>
          <w:sz w:val="32"/>
          <w:szCs w:val="32"/>
          <w:u w:val="none"/>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Style w:val="5"/>
          <w:rFonts w:hint="eastAsia" w:ascii="黑体" w:hAnsi="黑体" w:eastAsia="黑体" w:cs="黑体"/>
          <w:b w:val="0"/>
          <w:bCs/>
          <w:color w:val="auto"/>
          <w:spacing w:val="0"/>
          <w:sz w:val="32"/>
          <w:szCs w:val="32"/>
          <w:u w:val="none"/>
        </w:rPr>
        <w:t>第三条</w:t>
      </w:r>
      <w:r>
        <w:rPr>
          <w:rStyle w:val="5"/>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本实施细则所称投资奖励资金测算奖励额度的项目（以下简称“测算项目”），是指经市政府评审后用于测算投资奖励资金符合条件的制造业项目；投资奖励资金支持项目（以下简称“支持项目”）是指按照投资奖励资金使用范围经市政府评审遴选后予以支持的项目。测算项目用于测算投资奖励资金额度，支持项目也可以是测算项目之外的项目。支持项目须符合投资奖励资金适用范围，可从符合条件的制造业项目中评审遴选产生。</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Style w:val="5"/>
          <w:rFonts w:hint="eastAsia" w:ascii="黑体" w:hAnsi="黑体" w:eastAsia="黑体" w:cs="黑体"/>
          <w:b w:val="0"/>
          <w:bCs/>
          <w:color w:val="auto"/>
          <w:spacing w:val="0"/>
          <w:sz w:val="32"/>
          <w:szCs w:val="32"/>
          <w:u w:val="none"/>
        </w:rPr>
        <w:t>第四条</w:t>
      </w:r>
      <w:r>
        <w:rPr>
          <w:rStyle w:val="5"/>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本实施细则所称新增实际固定资产投资是指符合条件的测算项目或支持项目在规定时限内完成并经市政府审核确定的实际固定资产投资额。</w:t>
      </w:r>
      <w:r>
        <w:rPr>
          <w:rFonts w:hint="eastAsia" w:ascii="仿宋_GB2312" w:hAnsi="仿宋_GB2312" w:eastAsia="仿宋_GB2312" w:cs="仿宋_GB2312"/>
          <w:color w:val="333333"/>
          <w:spacing w:val="0"/>
          <w:sz w:val="32"/>
          <w:szCs w:val="32"/>
          <w:u w:val="none"/>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Style w:val="5"/>
          <w:rFonts w:hint="eastAsia" w:ascii="黑体" w:hAnsi="黑体" w:eastAsia="黑体" w:cs="黑体"/>
          <w:b w:val="0"/>
          <w:bCs/>
          <w:color w:val="auto"/>
          <w:spacing w:val="0"/>
          <w:sz w:val="32"/>
          <w:szCs w:val="32"/>
          <w:u w:val="none"/>
        </w:rPr>
        <w:t>第五条</w:t>
      </w:r>
      <w:r>
        <w:rPr>
          <w:rStyle w:val="5"/>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投资奖励资金申报及使用管理应遵循依法依规、公平公正、突出重点、科学分配、绩效导向、规范管理的原则。</w:t>
      </w:r>
      <w:r>
        <w:rPr>
          <w:rFonts w:hint="eastAsia" w:ascii="仿宋_GB2312" w:hAnsi="宋体" w:eastAsia="仿宋_GB2312" w:cs="仿宋_GB2312"/>
          <w:color w:val="000000"/>
          <w:kern w:val="0"/>
          <w:sz w:val="32"/>
          <w:szCs w:val="32"/>
          <w:lang w:val="en-US" w:eastAsia="zh-CN" w:bidi="ar"/>
        </w:rPr>
        <w:br w:type="textWrapping"/>
      </w:r>
      <w:r>
        <w:rPr>
          <w:rFonts w:hint="eastAsia" w:ascii="宋体" w:hAnsi="宋体" w:eastAsia="宋体" w:cs="宋体"/>
          <w:color w:val="333333"/>
          <w:spacing w:val="0"/>
          <w:sz w:val="25"/>
          <w:szCs w:val="25"/>
          <w:u w:val="none"/>
          <w:lang w:val="en-US" w:eastAsia="zh-CN"/>
        </w:rPr>
        <w:t xml:space="preserve">                         </w:t>
      </w:r>
      <w:r>
        <w:rPr>
          <w:rStyle w:val="5"/>
          <w:rFonts w:hint="eastAsia" w:ascii="黑体" w:hAnsi="黑体" w:eastAsia="黑体" w:cs="黑体"/>
          <w:b w:val="0"/>
          <w:bCs/>
          <w:color w:val="auto"/>
          <w:spacing w:val="0"/>
          <w:sz w:val="32"/>
          <w:szCs w:val="32"/>
          <w:u w:val="none"/>
        </w:rPr>
        <w:t>第二章 职责分工</w:t>
      </w:r>
      <w:r>
        <w:rPr>
          <w:rFonts w:ascii="宋体" w:hAnsi="宋体" w:eastAsia="宋体" w:cs="宋体"/>
          <w:color w:val="333333"/>
          <w:spacing w:val="0"/>
          <w:sz w:val="25"/>
          <w:szCs w:val="25"/>
          <w:u w:val="none"/>
        </w:rPr>
        <w:br w:type="textWrapping"/>
      </w:r>
      <w:r>
        <w:rPr>
          <w:rFonts w:hint="eastAsia" w:ascii="宋体" w:hAnsi="宋体" w:eastAsia="宋体" w:cs="宋体"/>
          <w:color w:val="333333"/>
          <w:spacing w:val="0"/>
          <w:sz w:val="25"/>
          <w:szCs w:val="25"/>
          <w:u w:val="none"/>
          <w:lang w:val="en-US" w:eastAsia="zh-CN"/>
        </w:rPr>
        <w:t xml:space="preserve">     </w:t>
      </w:r>
      <w:r>
        <w:rPr>
          <w:rStyle w:val="5"/>
          <w:rFonts w:hint="eastAsia" w:ascii="黑体" w:hAnsi="黑体" w:eastAsia="黑体" w:cs="黑体"/>
          <w:b w:val="0"/>
          <w:bCs/>
          <w:color w:val="auto"/>
          <w:spacing w:val="0"/>
          <w:sz w:val="32"/>
          <w:szCs w:val="32"/>
          <w:u w:val="none"/>
        </w:rPr>
        <w:t>第六条</w:t>
      </w:r>
      <w:r>
        <w:rPr>
          <w:rStyle w:val="5"/>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市政府是投资奖励资金的管理主体，负责督促、协调相关部门落实政策措施，审定本市资金管理实施细则，审核确定申报测算项目的新增实际固定资产投资额，审定支持项目的资金安排计划，指定市工业和信息化局牵头统筹投资奖励资金的组织实施等工作。市工业和信息化局可根据实际情况委托第三方机构评审遴选项目等工作。</w:t>
      </w:r>
      <w:r>
        <w:rPr>
          <w:rFonts w:hint="eastAsia" w:ascii="仿宋_GB2312" w:hAnsi="仿宋_GB2312" w:eastAsia="仿宋_GB2312" w:cs="仿宋_GB2312"/>
          <w:color w:val="333333"/>
          <w:spacing w:val="0"/>
          <w:sz w:val="32"/>
          <w:szCs w:val="32"/>
          <w:u w:val="none"/>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Style w:val="5"/>
          <w:rFonts w:hint="eastAsia" w:ascii="黑体" w:hAnsi="黑体" w:eastAsia="黑体" w:cs="黑体"/>
          <w:b w:val="0"/>
          <w:bCs/>
          <w:color w:val="auto"/>
          <w:spacing w:val="0"/>
          <w:sz w:val="32"/>
          <w:szCs w:val="32"/>
          <w:u w:val="none"/>
        </w:rPr>
        <w:t>第七条</w:t>
      </w:r>
      <w:r>
        <w:rPr>
          <w:rStyle w:val="5"/>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市工业和信息化局是投资奖励资金的市级业务主管部门，负责做好投资奖励资金测算项目和支持项目的申报、评审、报市政府审定后上报等工作；编制投资奖励资金年度分配计划，按规定组织公示、下达和信息公开；制订全市投资奖励资金绩效目标，根据省指导意见修改完善绩效目标信息，做好监督检查、绩效评价等工作。</w:t>
      </w:r>
      <w:r>
        <w:rPr>
          <w:rFonts w:hint="eastAsia" w:ascii="仿宋_GB2312" w:hAnsi="仿宋_GB2312" w:eastAsia="仿宋_GB2312" w:cs="仿宋_GB2312"/>
          <w:color w:val="333333"/>
          <w:spacing w:val="0"/>
          <w:sz w:val="32"/>
          <w:szCs w:val="32"/>
          <w:u w:val="none"/>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Style w:val="5"/>
          <w:rFonts w:hint="eastAsia" w:ascii="黑体" w:hAnsi="黑体" w:eastAsia="黑体" w:cs="黑体"/>
          <w:b w:val="0"/>
          <w:bCs/>
          <w:color w:val="auto"/>
          <w:spacing w:val="0"/>
          <w:sz w:val="32"/>
          <w:szCs w:val="32"/>
          <w:u w:val="none"/>
        </w:rPr>
        <w:t>第八条</w:t>
      </w:r>
      <w:r>
        <w:rPr>
          <w:rStyle w:val="5"/>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市财政局负责投资奖励资金预算管理，按规定下达拨付投资奖励资金，按要求组织实施投资奖励资金财政监督检查，审核全市投资奖励资金绩效目标，组织实施重点绩效评价等工作，将投资奖励资金使用管理和绩效目标完成情况等运用于预算编制和资金安排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Style w:val="5"/>
          <w:rFonts w:hint="eastAsia" w:ascii="黑体" w:hAnsi="黑体" w:eastAsia="黑体" w:cs="黑体"/>
          <w:b w:val="0"/>
          <w:bCs/>
          <w:color w:val="auto"/>
          <w:spacing w:val="0"/>
          <w:sz w:val="32"/>
          <w:szCs w:val="32"/>
          <w:u w:val="none"/>
        </w:rPr>
        <w:t>第九条</w:t>
      </w:r>
      <w:r>
        <w:rPr>
          <w:rStyle w:val="5"/>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各县（市、区）人民政府（管委会）负责组织本辖区测算项目和支持项目的申报、初审及上报等工作，并对项目新增实际固定资产投资额的真实性和准确性负责；负责项目管理跟踪、资金拨付到企业及绩效自评等工作；配合做好审计、监督检查、绩效评价等工作。各县（市、区）人民政府（管委会）指定辖区业务主管部门牵头统筹投资奖励资金的组织实施等工作。</w:t>
      </w:r>
      <w:r>
        <w:rPr>
          <w:rFonts w:hint="eastAsia" w:ascii="仿宋_GB2312" w:hAnsi="仿宋_GB2312" w:eastAsia="仿宋_GB2312" w:cs="仿宋_GB2312"/>
          <w:color w:val="333333"/>
          <w:spacing w:val="0"/>
          <w:sz w:val="32"/>
          <w:szCs w:val="32"/>
          <w:u w:val="none"/>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Style w:val="5"/>
          <w:rFonts w:hint="eastAsia" w:ascii="黑体" w:hAnsi="黑体" w:eastAsia="黑体" w:cs="黑体"/>
          <w:b w:val="0"/>
          <w:bCs/>
          <w:color w:val="auto"/>
          <w:spacing w:val="0"/>
          <w:sz w:val="32"/>
          <w:szCs w:val="32"/>
          <w:u w:val="none"/>
        </w:rPr>
        <w:t>第三章 奖励标准和支持范围</w:t>
      </w:r>
      <w:r>
        <w:rPr>
          <w:rFonts w:ascii="宋体" w:hAnsi="宋体" w:eastAsia="宋体" w:cs="宋体"/>
          <w:color w:val="333333"/>
          <w:spacing w:val="0"/>
          <w:sz w:val="25"/>
          <w:szCs w:val="25"/>
          <w:u w:val="none"/>
        </w:rPr>
        <w:br w:type="textWrapping"/>
      </w:r>
      <w:r>
        <w:rPr>
          <w:rFonts w:hint="eastAsia" w:ascii="宋体" w:hAnsi="宋体" w:eastAsia="宋体" w:cs="宋体"/>
          <w:color w:val="333333"/>
          <w:spacing w:val="0"/>
          <w:sz w:val="25"/>
          <w:szCs w:val="25"/>
          <w:u w:val="none"/>
          <w:lang w:val="en-US" w:eastAsia="zh-CN"/>
        </w:rPr>
        <w:t xml:space="preserve">      </w:t>
      </w:r>
      <w:r>
        <w:rPr>
          <w:rStyle w:val="5"/>
          <w:rFonts w:hint="eastAsia" w:ascii="黑体" w:hAnsi="黑体" w:eastAsia="黑体" w:cs="黑体"/>
          <w:b w:val="0"/>
          <w:bCs/>
          <w:color w:val="auto"/>
          <w:spacing w:val="0"/>
          <w:sz w:val="32"/>
          <w:szCs w:val="32"/>
          <w:u w:val="none"/>
        </w:rPr>
        <w:t>第十条</w:t>
      </w:r>
      <w:r>
        <w:rPr>
          <w:rStyle w:val="5"/>
          <w:rFonts w:hint="eastAsia" w:ascii="黑体" w:hAnsi="黑体" w:eastAsia="黑体" w:cs="黑体"/>
          <w:b w:val="0"/>
          <w:bCs/>
          <w:color w:val="auto"/>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测算项目和支持项目应具备以下条件：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（一）项目实施地在汕尾市内，并已取得投资主管部门核准、审批和备案等立项文件。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（二）项目自2021年1月1日至2025年12月31日期间内的新增实际完成固定资产投资额已经市政府审核确定。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ascii="仿宋_GB2312" w:hAnsi="宋体" w:eastAsia="仿宋_GB2312" w:cs="仿宋_GB2312"/>
          <w:color w:val="000000"/>
          <w:kern w:val="0"/>
          <w:sz w:val="32"/>
          <w:szCs w:val="32"/>
          <w:lang w:val="en-US" w:eastAsia="zh-CN" w:bidi="ar"/>
        </w:rPr>
        <w:t>（三）项目行业类型属国民经济行业分类（GB/T4754-2017）</w:t>
      </w:r>
      <w:r>
        <w:rPr>
          <w:rFonts w:hint="eastAsia" w:ascii="仿宋_GB2312" w:hAnsi="宋体" w:eastAsia="仿宋_GB2312" w:cs="仿宋_GB2312"/>
          <w:color w:val="000000"/>
          <w:kern w:val="0"/>
          <w:sz w:val="32"/>
          <w:szCs w:val="32"/>
          <w:lang w:val="en-US" w:eastAsia="zh-CN" w:bidi="ar"/>
        </w:rPr>
        <w:t>制造业行业。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（四）项目立项和“十四五”期间预计完成总投资须5亿元以上。按照投资项目核准和备案等有关要求，一个申报项目只能对应一个立项文件，不能以打包拼凑项目和立项文件的方式进行申报。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（五）项目未获得过省重大制造业项目投资奖励的支持。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（六）项目单位近3年内在质量、安全、环保等方面未发生重大事故，不属于失信执行人。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333333"/>
          <w:spacing w:val="0"/>
          <w:sz w:val="32"/>
          <w:szCs w:val="32"/>
          <w:u w:val="none"/>
        </w:rPr>
      </w:pPr>
      <w:r>
        <w:rPr>
          <w:rFonts w:hint="eastAsia" w:ascii="仿宋_GB2312" w:hAnsi="宋体" w:eastAsia="仿宋_GB2312" w:cs="仿宋_GB2312"/>
          <w:color w:val="000000"/>
          <w:kern w:val="0"/>
          <w:sz w:val="32"/>
          <w:szCs w:val="32"/>
          <w:lang w:val="en-US" w:eastAsia="zh-CN" w:bidi="ar"/>
        </w:rPr>
        <w:t>（七）申报通知或指南明确的其他条件。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黑体" w:hAnsi="黑体" w:eastAsia="黑体" w:cs="黑体"/>
          <w:color w:val="333333"/>
          <w:spacing w:val="0"/>
          <w:sz w:val="32"/>
          <w:szCs w:val="32"/>
          <w:u w:val="none"/>
        </w:rPr>
        <w:t>第十一条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奖励方式：对2021年1月1日至2025年12月31日期间总投资5亿元以上的制造业项目，依其在规定时限内完成并经市政府审核确定的新增实际固定资产投资额，予以事后奖励。</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Fonts w:hint="eastAsia" w:ascii="黑体" w:hAnsi="黑体" w:eastAsia="黑体" w:cs="黑体"/>
          <w:color w:val="333333"/>
          <w:spacing w:val="0"/>
          <w:sz w:val="32"/>
          <w:szCs w:val="32"/>
          <w:u w:val="none"/>
        </w:rPr>
        <w:t>第十二条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奖励标准：以项目新增实际固定资产投资额为基数,结合省安排的资金预算额度和项目数量等，研究确定奖励比例。实际固定资产投资额以已开具发票等合法票据并已付款金额为准，因固定资产投资形成的税款不计入奖励范围</w:t>
      </w:r>
      <w:r>
        <w:rPr>
          <w:rFonts w:hint="eastAsia" w:ascii="仿宋_GB2312" w:hAnsi="仿宋_GB2312" w:eastAsia="仿宋_GB2312" w:cs="仿宋_GB2312"/>
          <w:color w:val="333333"/>
          <w:spacing w:val="0"/>
          <w:sz w:val="32"/>
          <w:szCs w:val="32"/>
          <w:u w:val="none"/>
        </w:rPr>
        <w:t>。</w:t>
      </w:r>
      <w:r>
        <w:rPr>
          <w:rFonts w:hint="eastAsia" w:ascii="仿宋_GB2312" w:hAnsi="仿宋_GB2312" w:eastAsia="仿宋_GB2312" w:cs="仿宋_GB2312"/>
          <w:color w:val="333333"/>
          <w:spacing w:val="0"/>
          <w:sz w:val="32"/>
          <w:szCs w:val="32"/>
          <w:u w:val="none"/>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Fonts w:hint="eastAsia" w:ascii="黑体" w:hAnsi="黑体" w:eastAsia="黑体" w:cs="黑体"/>
          <w:color w:val="333333"/>
          <w:spacing w:val="0"/>
          <w:sz w:val="32"/>
          <w:szCs w:val="32"/>
          <w:u w:val="none"/>
        </w:rPr>
        <w:t>第十三条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投资奖励资金支持范围：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（一）省给予市政府的投资奖励资金除计提工作经费外，全额统筹用于支持我市制造业项目引进建设。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（二）投资奖励资金主要支持范围：降低用地或生产运营成本、购置土地、增购设备、配套建设及产业园发展（商品厂房项目除外）等。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（三）投资奖励资金不得用于已获得省级财政资金支持的固定资产投资。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（四）除中央和省委、省政府文件规定外，投资奖励资金一律不得用于行政事业单位编制内人员工资、津贴补贴、奖金和其他福利支出，楼堂馆所建设、修缮等。</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Style w:val="5"/>
          <w:rFonts w:hint="eastAsia" w:ascii="黑体" w:hAnsi="黑体" w:eastAsia="黑体" w:cs="黑体"/>
          <w:b w:val="0"/>
          <w:bCs/>
          <w:color w:val="auto"/>
          <w:spacing w:val="0"/>
          <w:sz w:val="32"/>
          <w:szCs w:val="32"/>
          <w:u w:val="none"/>
        </w:rPr>
        <w:t>第四章 资金预算编制及执行 </w:t>
      </w:r>
      <w:r>
        <w:rPr>
          <w:rFonts w:ascii="宋体" w:hAnsi="宋体" w:eastAsia="宋体" w:cs="宋体"/>
          <w:color w:val="333333"/>
          <w:spacing w:val="0"/>
          <w:sz w:val="25"/>
          <w:szCs w:val="25"/>
          <w:u w:val="none"/>
        </w:rPr>
        <w:t> </w:t>
      </w:r>
      <w:r>
        <w:rPr>
          <w:rFonts w:ascii="宋体" w:hAnsi="宋体" w:eastAsia="宋体" w:cs="宋体"/>
          <w:color w:val="333333"/>
          <w:spacing w:val="0"/>
          <w:sz w:val="25"/>
          <w:szCs w:val="25"/>
          <w:u w:val="none"/>
        </w:rPr>
        <w:br w:type="textWrapping"/>
      </w:r>
      <w:r>
        <w:rPr>
          <w:rFonts w:hint="eastAsia" w:ascii="宋体" w:hAnsi="宋体" w:eastAsia="宋体" w:cs="宋体"/>
          <w:color w:val="333333"/>
          <w:spacing w:val="0"/>
          <w:sz w:val="25"/>
          <w:szCs w:val="25"/>
          <w:u w:val="none"/>
          <w:lang w:val="en-US" w:eastAsia="zh-CN"/>
        </w:rPr>
        <w:t xml:space="preserve">     </w:t>
      </w:r>
      <w:r>
        <w:rPr>
          <w:rFonts w:hint="eastAsia" w:ascii="黑体" w:hAnsi="黑体" w:eastAsia="黑体" w:cs="黑体"/>
          <w:color w:val="333333"/>
          <w:spacing w:val="0"/>
          <w:sz w:val="32"/>
          <w:szCs w:val="32"/>
          <w:u w:val="none"/>
        </w:rPr>
        <w:t>第十四条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投资奖励资金全面实行项目库管理，未纳入项目库的项目，原则上不安排预算</w:t>
      </w:r>
      <w:r>
        <w:rPr>
          <w:rFonts w:hint="eastAsia" w:ascii="仿宋_GB2312" w:hAnsi="仿宋_GB2312" w:eastAsia="仿宋_GB2312" w:cs="仿宋_GB2312"/>
          <w:color w:val="333333"/>
          <w:spacing w:val="0"/>
          <w:sz w:val="32"/>
          <w:szCs w:val="32"/>
          <w:u w:val="none"/>
        </w:rPr>
        <w:t>。</w:t>
      </w:r>
      <w:r>
        <w:rPr>
          <w:rFonts w:hint="eastAsia" w:ascii="仿宋_GB2312" w:hAnsi="仿宋_GB2312" w:eastAsia="仿宋_GB2312" w:cs="仿宋_GB2312"/>
          <w:color w:val="333333"/>
          <w:spacing w:val="0"/>
          <w:sz w:val="32"/>
          <w:szCs w:val="32"/>
          <w:u w:val="none"/>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Fonts w:hint="eastAsia" w:ascii="黑体" w:hAnsi="黑体" w:eastAsia="黑体" w:cs="黑体"/>
          <w:color w:val="333333"/>
          <w:spacing w:val="0"/>
          <w:sz w:val="32"/>
          <w:szCs w:val="32"/>
          <w:u w:val="none"/>
        </w:rPr>
        <w:t>第十五条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市工业和信息化局每年7月底前发文通知</w:t>
      </w:r>
      <w:r>
        <w:rPr>
          <w:rFonts w:hint="eastAsia" w:ascii="仿宋_GB2312" w:hAnsi="仿宋_GB2312" w:eastAsia="仿宋_GB2312" w:cs="仿宋_GB2312"/>
          <w:color w:val="333333"/>
          <w:spacing w:val="0"/>
          <w:sz w:val="32"/>
          <w:szCs w:val="32"/>
          <w:u w:val="none"/>
        </w:rPr>
        <w:t>各</w:t>
      </w:r>
      <w:r>
        <w:rPr>
          <w:rFonts w:hint="eastAsia" w:ascii="仿宋_GB2312" w:hAnsi="宋体" w:eastAsia="仿宋_GB2312" w:cs="仿宋_GB2312"/>
          <w:color w:val="000000"/>
          <w:kern w:val="0"/>
          <w:sz w:val="32"/>
          <w:szCs w:val="32"/>
          <w:lang w:val="en-US" w:eastAsia="zh-CN" w:bidi="ar"/>
        </w:rPr>
        <w:t>县（市、区）工信业务主管部门组织开展投资奖励资金测算项目有关工作。各县（市、区）工信业务主管部门应及时按规定程序向市工业和信息化局报送投资奖励资金测算项目清单和绩效目标。未按规定时间要求上报的，将不安排预算。</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Fonts w:hint="eastAsia" w:ascii="黑体" w:hAnsi="黑体" w:eastAsia="黑体" w:cs="黑体"/>
          <w:color w:val="333333"/>
          <w:spacing w:val="0"/>
          <w:sz w:val="32"/>
          <w:szCs w:val="32"/>
          <w:u w:val="none"/>
        </w:rPr>
        <w:t>第十六条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市工业和信息化局按规定程序发文通知</w:t>
      </w:r>
      <w:r>
        <w:rPr>
          <w:rFonts w:hint="eastAsia" w:ascii="仿宋_GB2312" w:hAnsi="仿宋_GB2312" w:eastAsia="仿宋_GB2312" w:cs="仿宋_GB2312"/>
          <w:color w:val="333333"/>
          <w:spacing w:val="0"/>
          <w:sz w:val="32"/>
          <w:szCs w:val="32"/>
          <w:u w:val="none"/>
        </w:rPr>
        <w:t>各</w:t>
      </w:r>
      <w:r>
        <w:rPr>
          <w:rFonts w:hint="eastAsia" w:ascii="仿宋_GB2312" w:hAnsi="仿宋_GB2312" w:eastAsia="仿宋_GB2312" w:cs="仿宋_GB2312"/>
          <w:color w:val="333333"/>
          <w:spacing w:val="0"/>
          <w:sz w:val="32"/>
          <w:szCs w:val="32"/>
          <w:u w:val="none"/>
          <w:lang w:eastAsia="zh-CN"/>
        </w:rPr>
        <w:t>县（市、区）工信</w:t>
      </w:r>
      <w:r>
        <w:rPr>
          <w:rFonts w:hint="eastAsia" w:ascii="仿宋_GB2312" w:hAnsi="仿宋_GB2312" w:eastAsia="仿宋_GB2312" w:cs="仿宋_GB2312"/>
          <w:color w:val="333333"/>
          <w:spacing w:val="0"/>
          <w:sz w:val="32"/>
          <w:szCs w:val="32"/>
          <w:u w:val="none"/>
        </w:rPr>
        <w:t>业务主管部门</w:t>
      </w:r>
      <w:r>
        <w:rPr>
          <w:rFonts w:hint="eastAsia" w:ascii="仿宋_GB2312" w:hAnsi="宋体" w:eastAsia="仿宋_GB2312" w:cs="仿宋_GB2312"/>
          <w:color w:val="000000"/>
          <w:kern w:val="0"/>
          <w:sz w:val="32"/>
          <w:szCs w:val="32"/>
          <w:lang w:val="en-US" w:eastAsia="zh-CN" w:bidi="ar"/>
        </w:rPr>
        <w:t>组织开展投资奖励资金支持项目有关工作；市工业和信息化局在评审和遴选的基础上，根据省安排的资金预算额度，结合全市资金使用管理、监督检查、绩效评价等情况，编制全市投资奖励资金项目计划，按规定程序进行报批、公示后，在规定时限内下达。市财政局根据市工业和信息化局的项目计划，结合绩效目标审核情况，在规定时限内下达和拨付资金。本市投资奖励资金项目计划和资金下达文件分别报送省工业和信息化厅、省财政厅备案。</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Style w:val="5"/>
          <w:rFonts w:hint="eastAsia" w:ascii="黑体" w:hAnsi="黑体" w:eastAsia="黑体" w:cs="黑体"/>
          <w:b w:val="0"/>
          <w:bCs/>
          <w:color w:val="auto"/>
          <w:spacing w:val="0"/>
          <w:sz w:val="32"/>
          <w:szCs w:val="32"/>
          <w:u w:val="none"/>
        </w:rPr>
        <w:t>第五章 监督检查及绩效评价</w:t>
      </w:r>
      <w:r>
        <w:rPr>
          <w:rFonts w:ascii="宋体" w:hAnsi="宋体" w:eastAsia="宋体" w:cs="宋体"/>
          <w:color w:val="333333"/>
          <w:spacing w:val="0"/>
          <w:sz w:val="25"/>
          <w:szCs w:val="25"/>
          <w:u w:val="none"/>
        </w:rPr>
        <w:br w:type="textWrapping"/>
      </w:r>
      <w:r>
        <w:rPr>
          <w:rFonts w:hint="eastAsia" w:ascii="宋体" w:hAnsi="宋体" w:eastAsia="宋体" w:cs="宋体"/>
          <w:color w:val="333333"/>
          <w:spacing w:val="0"/>
          <w:sz w:val="25"/>
          <w:szCs w:val="25"/>
          <w:u w:val="none"/>
          <w:lang w:val="en-US" w:eastAsia="zh-CN"/>
        </w:rPr>
        <w:t xml:space="preserve">     </w:t>
      </w:r>
      <w:r>
        <w:rPr>
          <w:rFonts w:hint="eastAsia" w:ascii="黑体" w:hAnsi="黑体" w:eastAsia="黑体" w:cs="黑体"/>
          <w:color w:val="333333"/>
          <w:spacing w:val="0"/>
          <w:sz w:val="32"/>
          <w:szCs w:val="32"/>
          <w:u w:val="none"/>
        </w:rPr>
        <w:t>第十七条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投资奖励资金实行台帐管理，各县（市、区）工信业务主管部门于每年1月5日和7月5日前，将投资奖励资金项目台账（格式见附件）报送至市工业和信息化局。政策实施期满后根据测算项目的“十四五”期间投资完成情况进行清算，对未按规定完成投资的纳入台帐管理的支持项目，其所获取的投资奖励资金，市财政将按照省财政要求予以清算收回，具体清算办法按省规定执行。</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Fonts w:hint="eastAsia" w:ascii="黑体" w:hAnsi="黑体" w:eastAsia="黑体" w:cs="黑体"/>
          <w:color w:val="333333"/>
          <w:spacing w:val="0"/>
          <w:sz w:val="32"/>
          <w:szCs w:val="32"/>
          <w:u w:val="none"/>
        </w:rPr>
        <w:t>第十八条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除涉及保密要求或重大敏感事项不予公开的内容外，投资奖励资金分配、执行和结果等全过程信息按照“谁制定、谁分配、谁使用、谁公开”的原则予以公开。主要内容包括：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（一）投资奖励资金管理实施细则。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（二）投资奖励资金申报通知。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（三）投资奖励资金分配程序及结果。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（四）投资奖励资金绩效评价和审计结果。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（五）接受、处理投诉情况。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（六）其他按规定应公开的内容。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黑体" w:hAnsi="黑体" w:eastAsia="黑体" w:cs="黑体"/>
          <w:color w:val="333333"/>
          <w:spacing w:val="0"/>
          <w:sz w:val="32"/>
          <w:szCs w:val="32"/>
          <w:u w:val="none"/>
        </w:rPr>
        <w:t>第十九条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各县（市、区）工信业务主管部门要切实加强对专项资金的使用管理，自觉接受人大、财政、审计、监察等部门的监督检查，并按要求完成绩效自评。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333333"/>
          <w:spacing w:val="0"/>
          <w:sz w:val="32"/>
          <w:szCs w:val="32"/>
          <w:u w:val="none"/>
        </w:rPr>
      </w:pPr>
      <w:r>
        <w:rPr>
          <w:rFonts w:hint="eastAsia" w:ascii="黑体" w:hAnsi="黑体" w:eastAsia="黑体" w:cs="黑体"/>
          <w:color w:val="333333"/>
          <w:spacing w:val="0"/>
          <w:sz w:val="32"/>
          <w:szCs w:val="32"/>
          <w:u w:val="none"/>
        </w:rPr>
        <w:t>第二十条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投资奖励资金管理实行责任追究机制。对专项资金使用管理过程中存在违规行为的单位、个人，按照《中华人民共和国预算法》和《财政违法行为处罚处分条例》（国务院令427号）等法律法规及相关规定进行严肃处理，涉及违法犯罪的，移送司法机关处理。</w:t>
      </w:r>
      <w:r>
        <w:rPr>
          <w:rFonts w:hint="eastAsia" w:ascii="仿宋_GB2312" w:hAnsi="宋体" w:eastAsia="仿宋_GB2312" w:cs="仿宋_GB2312"/>
          <w:color w:val="000000"/>
          <w:kern w:val="0"/>
          <w:sz w:val="32"/>
          <w:szCs w:val="32"/>
          <w:lang w:val="en-US" w:eastAsia="zh-CN" w:bidi="ar"/>
        </w:rPr>
        <w:br w:type="textWrapping"/>
      </w:r>
      <w:r>
        <w:rPr>
          <w:rFonts w:hint="eastAsia" w:ascii="仿宋_GB2312" w:hAnsi="仿宋_GB2312" w:eastAsia="仿宋_GB2312" w:cs="仿宋_GB2312"/>
          <w:color w:val="333333"/>
          <w:spacing w:val="0"/>
          <w:sz w:val="32"/>
          <w:szCs w:val="32"/>
          <w:u w:val="none"/>
          <w:lang w:val="en-US" w:eastAsia="zh-CN"/>
        </w:rPr>
        <w:t xml:space="preserve">                      </w:t>
      </w:r>
      <w:r>
        <w:rPr>
          <w:rStyle w:val="5"/>
          <w:rFonts w:hint="eastAsia" w:ascii="黑体" w:hAnsi="黑体" w:eastAsia="黑体" w:cs="黑体"/>
          <w:b w:val="0"/>
          <w:bCs/>
          <w:color w:val="auto"/>
          <w:spacing w:val="0"/>
          <w:sz w:val="32"/>
          <w:szCs w:val="32"/>
          <w:u w:val="none"/>
        </w:rPr>
        <w:t>第六章 附则</w:t>
      </w:r>
      <w:r>
        <w:rPr>
          <w:rFonts w:ascii="宋体" w:hAnsi="宋体" w:eastAsia="宋体" w:cs="宋体"/>
          <w:color w:val="333333"/>
          <w:spacing w:val="0"/>
          <w:sz w:val="25"/>
          <w:szCs w:val="25"/>
          <w:u w:val="none"/>
        </w:rPr>
        <w:br w:type="textWrapping"/>
      </w:r>
      <w:r>
        <w:rPr>
          <w:rFonts w:hint="eastAsia" w:ascii="宋体" w:hAnsi="宋体" w:eastAsia="宋体" w:cs="宋体"/>
          <w:color w:val="333333"/>
          <w:spacing w:val="0"/>
          <w:sz w:val="25"/>
          <w:szCs w:val="25"/>
          <w:u w:val="none"/>
          <w:lang w:val="en-US" w:eastAsia="zh-CN"/>
        </w:rPr>
        <w:t xml:space="preserve">     </w:t>
      </w:r>
      <w:r>
        <w:rPr>
          <w:rFonts w:hint="eastAsia" w:ascii="黑体" w:hAnsi="黑体" w:eastAsia="黑体" w:cs="黑体"/>
          <w:color w:val="333333"/>
          <w:spacing w:val="0"/>
          <w:sz w:val="32"/>
          <w:szCs w:val="32"/>
          <w:u w:val="none"/>
        </w:rPr>
        <w:t>第二十一条</w:t>
      </w:r>
      <w:r>
        <w:rPr>
          <w:rFonts w:hint="eastAsia" w:ascii="黑体" w:hAnsi="黑体" w:eastAsia="黑体" w:cs="黑体"/>
          <w:color w:val="333333"/>
          <w:spacing w:val="0"/>
          <w:sz w:val="32"/>
          <w:szCs w:val="32"/>
          <w:u w:val="none"/>
          <w:lang w:val="en-US" w:eastAsia="zh-CN"/>
        </w:rPr>
        <w:t xml:space="preserve">  </w:t>
      </w:r>
      <w:r>
        <w:rPr>
          <w:rFonts w:hint="eastAsia" w:ascii="仿宋_GB2312" w:hAnsi="宋体" w:eastAsia="仿宋_GB2312" w:cs="仿宋_GB2312"/>
          <w:color w:val="000000"/>
          <w:kern w:val="0"/>
          <w:sz w:val="32"/>
          <w:szCs w:val="32"/>
          <w:lang w:val="en-US" w:eastAsia="zh-CN" w:bidi="ar"/>
        </w:rPr>
        <w:t>本细则自发布之日起施行，有效期至2025年12月31日。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0"/>
        <w:rPr>
          <w:rFonts w:hint="eastAsia" w:ascii="仿宋_GB2312" w:hAnsi="宋体" w:eastAsia="仿宋_GB2312" w:cs="仿宋_GB2312"/>
          <w:color w:val="000000"/>
          <w:kern w:val="0"/>
          <w:sz w:val="32"/>
          <w:szCs w:val="32"/>
          <w:lang w:val="en-US" w:eastAsia="zh-CN" w:bidi="ar"/>
        </w:rPr>
      </w:pPr>
      <w:r>
        <w:rPr>
          <w:rFonts w:hint="eastAsia" w:ascii="黑体" w:hAnsi="黑体" w:eastAsia="黑体" w:cs="黑体"/>
          <w:color w:val="333333"/>
          <w:spacing w:val="0"/>
          <w:sz w:val="32"/>
          <w:szCs w:val="32"/>
          <w:u w:val="none"/>
        </w:rPr>
        <w:t>附件：</w:t>
      </w:r>
      <w:r>
        <w:rPr>
          <w:rFonts w:hint="eastAsia" w:ascii="仿宋_GB2312" w:hAnsi="宋体" w:eastAsia="仿宋_GB2312" w:cs="仿宋_GB2312"/>
          <w:color w:val="000000"/>
          <w:kern w:val="0"/>
          <w:sz w:val="32"/>
          <w:szCs w:val="32"/>
          <w:lang w:val="en-US" w:eastAsia="zh-CN" w:bidi="ar"/>
        </w:rPr>
        <w:t>普惠性制造业投资奖励资金项目台帐</w:t>
      </w:r>
    </w:p>
    <w:p>
      <w:pPr>
        <w:rPr>
          <w:rFonts w:hint="eastAsia" w:ascii="仿宋_GB2312" w:hAnsi="宋体" w:eastAsia="仿宋_GB2312" w:cs="仿宋_GB2312"/>
          <w:color w:val="000000"/>
          <w:kern w:val="0"/>
          <w:sz w:val="32"/>
          <w:szCs w:val="32"/>
          <w:lang w:val="en-US" w:eastAsia="zh-CN" w:bidi="ar"/>
        </w:rPr>
      </w:pPr>
    </w:p>
    <w:p>
      <w:pPr>
        <w:pStyle w:val="2"/>
        <w:rPr>
          <w:rFonts w:hint="eastAsia"/>
          <w:lang w:val="en-US" w:eastAsia="zh-CN"/>
        </w:rPr>
        <w:sectPr>
          <w:pgSz w:w="11906" w:h="16838"/>
          <w:pgMar w:top="1440" w:right="1689" w:bottom="1440" w:left="1689" w:header="851" w:footer="992" w:gutter="0"/>
          <w:cols w:space="425" w:num="1"/>
          <w:docGrid w:type="lines" w:linePitch="312" w:charSpace="0"/>
        </w:sectPr>
      </w:pPr>
    </w:p>
    <w:p>
      <w:pPr>
        <w:ind w:firstLine="320" w:firstLineChars="100"/>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pStyle w:val="2"/>
        <w:jc w:val="center"/>
        <w:rPr>
          <w:rFonts w:hint="eastAsia"/>
          <w:lang w:val="en-US" w:eastAsia="zh-CN"/>
        </w:rPr>
      </w:pPr>
      <w:r>
        <w:rPr>
          <w:rFonts w:hint="eastAsia" w:ascii="仿宋_GB2312" w:hAnsi="宋体" w:eastAsia="仿宋_GB2312" w:cs="仿宋_GB2312"/>
          <w:color w:val="000000"/>
          <w:kern w:val="0"/>
          <w:sz w:val="32"/>
          <w:szCs w:val="32"/>
          <w:lang w:val="en-US" w:eastAsia="zh-CN" w:bidi="ar"/>
        </w:rPr>
        <w:t>普惠性制造业投资奖励资金项目台帐</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24"/>
        <w:gridCol w:w="583"/>
        <w:gridCol w:w="541"/>
        <w:gridCol w:w="590"/>
        <w:gridCol w:w="518"/>
        <w:gridCol w:w="599"/>
        <w:gridCol w:w="390"/>
        <w:gridCol w:w="566"/>
        <w:gridCol w:w="552"/>
        <w:gridCol w:w="552"/>
        <w:gridCol w:w="557"/>
        <w:gridCol w:w="557"/>
        <w:gridCol w:w="557"/>
        <w:gridCol w:w="568"/>
        <w:gridCol w:w="396"/>
        <w:gridCol w:w="401"/>
        <w:gridCol w:w="575"/>
        <w:gridCol w:w="561"/>
        <w:gridCol w:w="561"/>
        <w:gridCol w:w="561"/>
        <w:gridCol w:w="561"/>
        <w:gridCol w:w="561"/>
        <w:gridCol w:w="576"/>
        <w:gridCol w:w="500"/>
        <w:gridCol w:w="629"/>
        <w:gridCol w:w="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207" w:type="dxa"/>
            <w:gridSpan w:val="2"/>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填报日期：</w:t>
            </w:r>
          </w:p>
        </w:tc>
        <w:tc>
          <w:tcPr>
            <w:tcW w:w="541"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590"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518"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599"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390"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566"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552"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552"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557"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557"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557"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568"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396"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401"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575"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561"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561"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561"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561"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561"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576"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500" w:type="dxa"/>
            <w:tcBorders>
              <w:top w:val="nil"/>
              <w:left w:val="nil"/>
              <w:bottom w:val="nil"/>
              <w:right w:val="nil"/>
            </w:tcBorders>
            <w:shd w:val="clear"/>
            <w:noWrap/>
            <w:vAlign w:val="center"/>
          </w:tcPr>
          <w:p>
            <w:pPr>
              <w:rPr>
                <w:rFonts w:hint="eastAsia" w:ascii="宋体" w:hAnsi="宋体" w:eastAsia="宋体" w:cs="宋体"/>
                <w:i w:val="0"/>
                <w:color w:val="000000"/>
                <w:sz w:val="16"/>
                <w:szCs w:val="16"/>
                <w:u w:val="none"/>
              </w:rPr>
            </w:pPr>
          </w:p>
        </w:tc>
        <w:tc>
          <w:tcPr>
            <w:tcW w:w="629" w:type="dxa"/>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单位：</w:t>
            </w:r>
          </w:p>
        </w:tc>
        <w:tc>
          <w:tcPr>
            <w:tcW w:w="536" w:type="dxa"/>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序号</w:t>
            </w:r>
          </w:p>
        </w:tc>
        <w:tc>
          <w:tcPr>
            <w:tcW w:w="58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县（市、区）</w:t>
            </w:r>
          </w:p>
        </w:tc>
        <w:tc>
          <w:tcPr>
            <w:tcW w:w="54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项目名称</w:t>
            </w:r>
          </w:p>
        </w:tc>
        <w:tc>
          <w:tcPr>
            <w:tcW w:w="5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实施项目的企业名称</w:t>
            </w:r>
          </w:p>
        </w:tc>
        <w:tc>
          <w:tcPr>
            <w:tcW w:w="5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项目立项时间</w:t>
            </w:r>
          </w:p>
        </w:tc>
        <w:tc>
          <w:tcPr>
            <w:tcW w:w="59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项目建设状态</w:t>
            </w:r>
            <w:r>
              <w:rPr>
                <w:rStyle w:val="6"/>
                <w:sz w:val="16"/>
                <w:szCs w:val="16"/>
                <w:bdr w:val="none" w:color="auto" w:sz="0" w:space="0"/>
                <w:lang w:val="en-US" w:eastAsia="zh-CN" w:bidi="ar"/>
              </w:rPr>
              <w:t>（尚未开工、在建、完成）</w:t>
            </w:r>
          </w:p>
        </w:tc>
        <w:tc>
          <w:tcPr>
            <w:tcW w:w="3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立项总投资金额</w:t>
            </w:r>
          </w:p>
        </w:tc>
        <w:tc>
          <w:tcPr>
            <w:tcW w:w="4706" w:type="dxa"/>
            <w:gridSpan w:val="9"/>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项目总投资情况</w:t>
            </w:r>
          </w:p>
        </w:tc>
        <w:tc>
          <w:tcPr>
            <w:tcW w:w="4456" w:type="dxa"/>
            <w:gridSpan w:val="8"/>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项目固定投资情况</w:t>
            </w:r>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楷体" w:hAnsi="楷体" w:eastAsia="楷体" w:cs="楷体"/>
                <w:b/>
                <w:i w:val="0"/>
                <w:color w:val="000000"/>
                <w:sz w:val="16"/>
                <w:szCs w:val="16"/>
                <w:u w:val="none"/>
              </w:rPr>
            </w:pPr>
          </w:p>
        </w:tc>
        <w:tc>
          <w:tcPr>
            <w:tcW w:w="53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i w:val="0"/>
                <w:color w:val="000000"/>
                <w:sz w:val="16"/>
                <w:szCs w:val="16"/>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i w:val="0"/>
                <w:color w:val="000000"/>
                <w:sz w:val="16"/>
                <w:szCs w:val="16"/>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i w:val="0"/>
                <w:color w:val="000000"/>
                <w:sz w:val="16"/>
                <w:szCs w:val="16"/>
                <w:u w:val="none"/>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i w:val="0"/>
                <w:color w:val="000000"/>
                <w:sz w:val="16"/>
                <w:szCs w:val="16"/>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i w:val="0"/>
                <w:color w:val="000000"/>
                <w:sz w:val="16"/>
                <w:szCs w:val="16"/>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楷体" w:hAnsi="楷体" w:eastAsia="楷体" w:cs="楷体"/>
                <w:b/>
                <w:i w:val="0"/>
                <w:color w:val="000000"/>
                <w:sz w:val="16"/>
                <w:szCs w:val="16"/>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i w:val="0"/>
                <w:color w:val="000000"/>
                <w:sz w:val="16"/>
                <w:szCs w:val="16"/>
                <w:u w:val="none"/>
              </w:rPr>
            </w:pPr>
          </w:p>
        </w:tc>
        <w:tc>
          <w:tcPr>
            <w:tcW w:w="5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项目立项至2020年底项目投资额</w:t>
            </w:r>
          </w:p>
        </w:tc>
        <w:tc>
          <w:tcPr>
            <w:tcW w:w="5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2021年项目投资额</w:t>
            </w:r>
          </w:p>
        </w:tc>
        <w:tc>
          <w:tcPr>
            <w:tcW w:w="5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2022年项目投资额</w:t>
            </w:r>
          </w:p>
        </w:tc>
        <w:tc>
          <w:tcPr>
            <w:tcW w:w="5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2023年项目预计投资额</w:t>
            </w:r>
          </w:p>
        </w:tc>
        <w:tc>
          <w:tcPr>
            <w:tcW w:w="5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2024年项目预计投资额</w:t>
            </w:r>
          </w:p>
        </w:tc>
        <w:tc>
          <w:tcPr>
            <w:tcW w:w="5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2025年项目预计投资额</w:t>
            </w:r>
          </w:p>
        </w:tc>
        <w:tc>
          <w:tcPr>
            <w:tcW w:w="5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2026年及以后年度项目预计投资额</w:t>
            </w:r>
          </w:p>
        </w:tc>
        <w:tc>
          <w:tcPr>
            <w:tcW w:w="3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本年度已完成的投资额</w:t>
            </w:r>
          </w:p>
        </w:tc>
        <w:tc>
          <w:tcPr>
            <w:tcW w:w="4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本年度剩余月份预计投资额</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项目立项至2020年底项目固定资产投资额</w:t>
            </w:r>
          </w:p>
        </w:tc>
        <w:tc>
          <w:tcPr>
            <w:tcW w:w="5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2021年项目固定资产投资额</w:t>
            </w:r>
          </w:p>
        </w:tc>
        <w:tc>
          <w:tcPr>
            <w:tcW w:w="5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2022年项目固定资产投资额</w:t>
            </w:r>
          </w:p>
        </w:tc>
        <w:tc>
          <w:tcPr>
            <w:tcW w:w="5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2023年项目固定资产投资额</w:t>
            </w:r>
          </w:p>
        </w:tc>
        <w:tc>
          <w:tcPr>
            <w:tcW w:w="5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2024年项目固定资产投资额</w:t>
            </w:r>
          </w:p>
        </w:tc>
        <w:tc>
          <w:tcPr>
            <w:tcW w:w="5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2025年项目固定资产投资额</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2026年及以后年度项目预计固定资产投资额</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本年度已完成的固定资产投资额</w:t>
            </w:r>
          </w:p>
        </w:tc>
        <w:tc>
          <w:tcPr>
            <w:tcW w:w="6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bdr w:val="none" w:color="auto" w:sz="0" w:space="0"/>
                <w:lang w:val="en-US" w:eastAsia="zh-CN" w:bidi="ar"/>
              </w:rPr>
              <w:t>本年度剩余月份预计固定资产投资额</w:t>
            </w:r>
          </w:p>
        </w:tc>
        <w:tc>
          <w:tcPr>
            <w:tcW w:w="53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8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4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9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99"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40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8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4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9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99"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40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8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4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9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99"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40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8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4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9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99"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40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6"/>
                <w:szCs w:val="16"/>
                <w:u w:val="none"/>
              </w:rPr>
            </w:pPr>
          </w:p>
        </w:tc>
      </w:tr>
    </w:tbl>
    <w:p>
      <w:pPr>
        <w:pStyle w:val="2"/>
        <w:rPr>
          <w:rFonts w:hint="eastAsia"/>
          <w:lang w:val="en-US" w:eastAsia="zh-CN"/>
        </w:rPr>
      </w:pPr>
    </w:p>
    <w:sectPr>
      <w:pgSz w:w="16838" w:h="11906" w:orient="landscape"/>
      <w:pgMar w:top="1689" w:right="1440" w:bottom="1689" w:left="1440" w:header="851" w:footer="992" w:gutter="0"/>
      <w:paperSrc/>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Dk1ZmY0NmVkMjY0ZGQxNDk1NWY1MWY3MDEyZWIifQ=="/>
  </w:docVars>
  <w:rsids>
    <w:rsidRoot w:val="00000000"/>
    <w:rsid w:val="36EF465C"/>
    <w:rsid w:val="6BCFE99B"/>
    <w:rsid w:val="6FEC5F81"/>
    <w:rsid w:val="76964A24"/>
    <w:rsid w:val="A21E6658"/>
    <w:rsid w:val="BFFFA161"/>
    <w:rsid w:val="DFEF63D6"/>
    <w:rsid w:val="FF77A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customStyle="1" w:styleId="6">
    <w:name w:val="font01"/>
    <w:basedOn w:val="4"/>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2023-08-08T16:03:00Z</dcterms:created>
  <dc:creator>Administrator</dc:creator>
  <cp:lastModifiedBy>zengzeqin</cp:lastModifiedBy>
  <dcterms:modified xsi:type="dcterms:W3CDTF">2023-12-02T14:41:04Z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76C7210021CB41B39239ABD4549A5D87_12</vt:lpwstr>
  </property>
</Properties>
</file>