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汕尾市工业和信息化局关于</w:t>
      </w:r>
      <w:r>
        <w:rPr>
          <w:rFonts w:hint="eastAsia" w:ascii="方正小标宋简体" w:hAnsi="方正小标宋简体" w:eastAsia="方正小标宋简体" w:cs="方正小标宋简体"/>
          <w:color w:val="auto"/>
          <w:sz w:val="44"/>
          <w:szCs w:val="44"/>
          <w:lang w:val="en-US" w:eastAsia="zh-CN"/>
        </w:rPr>
        <w:t>实施2023年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工业企业稳产增产扩产奖励工作的通知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（第二次征求意见稿）</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各县（市、区）政府，红海湾、华侨管委会：</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根据《汕尾市人民政府关于印发汕尾市促进工业经济高质量发展若干措施的通知》（汕府〔2023〕8号）要求，现就实施2023年工业企业稳产增产扩产奖励企业工作有关事项通知如下：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支持范围</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（一）完成注册并在汕尾市正常开展经营活动，独立核算、自主经营、自负盈亏，注册地、经营地、纳税地“三地”合一的独立法人。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（二）守法经营、诚实守信、有规范健全的财务会计制度。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（三）符合国家统计标准，配合完成统计数据申报，履行相关社会责任的工业企业。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二、支持方式</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鼓励工业企业不断扩大生产，推动产值跨越新台阶，对2023全年产值绝对值、增速达到标准的工业企业，在2024年度实行奖励。（具体见申报指南）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三、工作程序和要求</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val="0"/>
          <w:bCs w:val="0"/>
          <w:color w:val="auto"/>
          <w:sz w:val="32"/>
          <w:szCs w:val="32"/>
          <w:lang w:val="en-US" w:eastAsia="zh-CN"/>
        </w:rPr>
        <w:t>（一）强化政策宣传。</w:t>
      </w:r>
      <w:r>
        <w:rPr>
          <w:rFonts w:hint="eastAsia" w:ascii="仿宋_GB2312" w:hAnsi="仿宋_GB2312" w:eastAsia="仿宋_GB2312" w:cs="仿宋_GB2312"/>
          <w:color w:val="auto"/>
          <w:sz w:val="32"/>
          <w:szCs w:val="32"/>
          <w:lang w:val="en-US" w:eastAsia="zh-CN"/>
        </w:rPr>
        <w:t>各地政府要加大政策宣传力度，各地工信部门要发动达标企业积极申报，并服务达标企业做好申报工作，做到“应通知、尽通知，应申报、尽申报”。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val="0"/>
          <w:bCs w:val="0"/>
          <w:color w:val="auto"/>
          <w:sz w:val="32"/>
          <w:szCs w:val="32"/>
          <w:lang w:val="en-US" w:eastAsia="zh-CN"/>
        </w:rPr>
        <w:t>（二）严把材料审核关。</w:t>
      </w:r>
      <w:r>
        <w:rPr>
          <w:rFonts w:hint="eastAsia" w:ascii="仿宋_GB2312" w:hAnsi="仿宋_GB2312" w:eastAsia="仿宋_GB2312" w:cs="仿宋_GB2312"/>
          <w:color w:val="auto"/>
          <w:sz w:val="32"/>
          <w:szCs w:val="32"/>
          <w:lang w:val="en-US" w:eastAsia="zh-CN"/>
        </w:rPr>
        <w:t>各县（市、区）工信主管部门，要切实强化主体责任意识，履行资金项目管理主体责任，加强企业报送材料审核把关；做实做细核审工作，防止报大数，防止奖励资金申报骗补。按照“谁审核、谁负责”原则，各地对项目的真实性和符合性负责，对资金后续跟踪、监督管理、绩效评价、政府审计等负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val="0"/>
          <w:bCs w:val="0"/>
          <w:color w:val="auto"/>
          <w:sz w:val="32"/>
          <w:szCs w:val="32"/>
          <w:lang w:val="en-US" w:eastAsia="zh-CN"/>
        </w:rPr>
        <w:t>（三）及时上报申报材料。</w:t>
      </w:r>
      <w:r>
        <w:rPr>
          <w:rFonts w:hint="eastAsia" w:ascii="仿宋_GB2312" w:hAnsi="仿宋_GB2312" w:eastAsia="仿宋_GB2312" w:cs="仿宋_GB2312"/>
          <w:color w:val="auto"/>
          <w:sz w:val="32"/>
          <w:szCs w:val="32"/>
          <w:lang w:val="en-US" w:eastAsia="zh-CN"/>
        </w:rPr>
        <w:t>各县（市、区）工信主管部门应按要求联合本级统计部门对企业的申报资料</w:t>
      </w:r>
      <w:r>
        <w:rPr>
          <w:rFonts w:hint="default"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sz w:val="32"/>
          <w:szCs w:val="32"/>
          <w:lang w:val="en-US" w:eastAsia="zh-CN"/>
        </w:rPr>
        <w:t>核实（汕尾高新区企业由市城区工信部门联合本地统计部门核实），经局内部集体决策同意后，填报</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汕尾市支持鼓励工业企业稳产增产扩产奖励</w:t>
      </w:r>
      <w:r>
        <w:rPr>
          <w:rFonts w:hint="default" w:ascii="仿宋_GB2312" w:hAnsi="仿宋_GB2312" w:eastAsia="仿宋_GB2312" w:cs="仿宋_GB2312"/>
          <w:color w:val="auto"/>
          <w:sz w:val="32"/>
          <w:szCs w:val="32"/>
          <w:lang w:val="en-US" w:eastAsia="zh-CN"/>
        </w:rPr>
        <w:t>资金申报汇总表》，并</w:t>
      </w:r>
      <w:r>
        <w:rPr>
          <w:rFonts w:hint="eastAsia" w:ascii="仿宋_GB2312" w:hAnsi="仿宋_GB2312" w:eastAsia="仿宋_GB2312" w:cs="仿宋_GB2312"/>
          <w:color w:val="auto"/>
          <w:sz w:val="32"/>
          <w:szCs w:val="32"/>
          <w:lang w:val="en-US" w:eastAsia="zh-CN"/>
        </w:rPr>
        <w:t>连同企业上报的</w:t>
      </w:r>
      <w:r>
        <w:rPr>
          <w:rFonts w:hint="default" w:ascii="仿宋_GB2312" w:hAnsi="仿宋_GB2312" w:eastAsia="仿宋_GB2312" w:cs="仿宋_GB2312"/>
          <w:color w:val="auto"/>
          <w:sz w:val="32"/>
          <w:szCs w:val="32"/>
          <w:lang w:val="en-US" w:eastAsia="zh-CN"/>
        </w:rPr>
        <w:t>《申报表》</w:t>
      </w:r>
      <w:r>
        <w:rPr>
          <w:rFonts w:hint="eastAsia" w:ascii="仿宋_GB2312" w:hAnsi="仿宋_GB2312" w:eastAsia="仿宋_GB2312" w:cs="仿宋_GB2312"/>
          <w:color w:val="auto"/>
          <w:sz w:val="32"/>
          <w:szCs w:val="32"/>
          <w:lang w:val="en-US" w:eastAsia="zh-CN"/>
        </w:rPr>
        <w:t>和《营业执照》，</w:t>
      </w:r>
      <w:r>
        <w:rPr>
          <w:rFonts w:hint="default"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val="en-US" w:eastAsia="zh-CN"/>
        </w:rPr>
        <w:t>正式</w:t>
      </w:r>
      <w:r>
        <w:rPr>
          <w:rFonts w:hint="default" w:ascii="仿宋_GB2312" w:hAnsi="仿宋_GB2312" w:eastAsia="仿宋_GB2312" w:cs="仿宋_GB2312"/>
          <w:color w:val="auto"/>
          <w:sz w:val="32"/>
          <w:szCs w:val="32"/>
          <w:lang w:val="en-US" w:eastAsia="zh-CN"/>
        </w:rPr>
        <w:t>文件</w:t>
      </w:r>
      <w:r>
        <w:rPr>
          <w:rFonts w:hint="eastAsia" w:ascii="仿宋_GB2312" w:hAnsi="仿宋_GB2312" w:eastAsia="仿宋_GB2312" w:cs="仿宋_GB2312"/>
          <w:color w:val="auto"/>
          <w:sz w:val="32"/>
          <w:szCs w:val="32"/>
          <w:lang w:val="en-US" w:eastAsia="zh-CN"/>
        </w:rPr>
        <w:t>形式（含加盖公章电子版）于规定时间内</w:t>
      </w:r>
      <w:r>
        <w:rPr>
          <w:rFonts w:hint="default" w:ascii="仿宋_GB2312" w:hAnsi="仿宋_GB2312" w:eastAsia="仿宋_GB2312" w:cs="仿宋_GB2312"/>
          <w:color w:val="auto"/>
          <w:sz w:val="32"/>
          <w:szCs w:val="32"/>
          <w:lang w:val="en-US" w:eastAsia="zh-CN"/>
        </w:rPr>
        <w:t>报市工信局。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（四）做好经费保障工作。</w:t>
      </w:r>
      <w:r>
        <w:rPr>
          <w:rFonts w:hint="eastAsia" w:ascii="仿宋_GB2312" w:hAnsi="仿宋_GB2312" w:eastAsia="仿宋_GB2312" w:cs="仿宋_GB2312"/>
          <w:color w:val="auto"/>
          <w:sz w:val="32"/>
          <w:szCs w:val="32"/>
          <w:lang w:val="en-US" w:eastAsia="zh-CN"/>
        </w:rPr>
        <w:t>本项目奖励资金统一由市级财政部门承担，并按规定做好财政预算工作，确保稳工业增长工作顺利有效实施。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hanging="960" w:hangingChars="3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1598" w:leftChars="304" w:hanging="960" w:hangingChars="3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附件：汕尾市2023年鼓励工业企业稳产增产扩产奖励申报指南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汕尾市工业和信息化局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2023年10月31日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5C5386"/>
    <w:multiLevelType w:val="singleLevel"/>
    <w:tmpl w:val="375C53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NmIyN2U1YjQzOWRjMGFiNjcwZWMyNjY5ZGEyN2QifQ=="/>
  </w:docVars>
  <w:rsids>
    <w:rsidRoot w:val="00000000"/>
    <w:rsid w:val="00C71565"/>
    <w:rsid w:val="02F1710D"/>
    <w:rsid w:val="06B86BA7"/>
    <w:rsid w:val="0B325069"/>
    <w:rsid w:val="2A355B25"/>
    <w:rsid w:val="4195564E"/>
    <w:rsid w:val="5E6751E3"/>
    <w:rsid w:val="76A5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2023-09-11T03:46:00Z</dcterms:created>
  <dc:creator>Administrator</dc:creator>
  <cp:lastModifiedBy>吖喜-惠-Tsai</cp:lastModifiedBy>
  <dcterms:modified xsi:type="dcterms:W3CDTF">2023-10-31T07:52:25Z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40B313246FDA4683B9D2DE2EE7D9D84B_12</vt:lpwstr>
  </property>
</Properties>
</file>