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1" w:lineRule="auto"/>
        <w:rPr>
          <w:rFonts w:hint="eastAsia" w:ascii="宋体" w:hAnsi="宋体" w:eastAsia="宋体" w:cs="宋体"/>
          <w:sz w:val="21"/>
          <w:highlight w:val="yellow"/>
        </w:rPr>
      </w:pPr>
    </w:p>
    <w:p>
      <w:pPr>
        <w:spacing w:line="272" w:lineRule="auto"/>
        <w:rPr>
          <w:rFonts w:hint="eastAsia" w:ascii="宋体" w:hAnsi="宋体" w:eastAsia="宋体" w:cs="宋体"/>
          <w:sz w:val="21"/>
          <w:highlight w:val="none"/>
        </w:rPr>
      </w:pPr>
    </w:p>
    <w:p>
      <w:pPr>
        <w:spacing w:line="272" w:lineRule="auto"/>
        <w:rPr>
          <w:rFonts w:hint="eastAsia" w:ascii="宋体" w:hAnsi="宋体" w:eastAsia="宋体" w:cs="宋体"/>
          <w:sz w:val="21"/>
          <w:highlight w:val="none"/>
        </w:rPr>
      </w:pPr>
    </w:p>
    <w:p>
      <w:pPr>
        <w:rPr>
          <w:rFonts w:hint="eastAsia" w:ascii="宋体" w:hAnsi="宋体" w:eastAsia="宋体" w:cs="宋体"/>
          <w:sz w:val="21"/>
          <w:highlight w:val="none"/>
        </w:rPr>
      </w:pPr>
      <w:bookmarkStart w:id="99" w:name="_GoBack"/>
    </w:p>
    <w:p>
      <w:pPr>
        <w:pStyle w:val="7"/>
        <w:rPr>
          <w:rFonts w:hint="eastAsia" w:ascii="宋体" w:hAnsi="宋体" w:eastAsia="宋体" w:cs="宋体"/>
          <w:sz w:val="21"/>
          <w:highlight w:val="none"/>
        </w:rPr>
      </w:pPr>
    </w:p>
    <w:p>
      <w:pPr>
        <w:rPr>
          <w:rFonts w:hint="eastAsia" w:ascii="宋体" w:hAnsi="宋体" w:eastAsia="宋体" w:cs="宋体"/>
          <w:highlight w:val="none"/>
        </w:rPr>
      </w:pPr>
    </w:p>
    <w:p>
      <w:pPr>
        <w:bidi w:val="0"/>
        <w:jc w:val="center"/>
        <w:rPr>
          <w:rFonts w:hint="default"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建设项目工程招标代理机构</w:t>
      </w:r>
    </w:p>
    <w:p>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批量</w:t>
      </w:r>
      <w:r>
        <w:rPr>
          <w:rFonts w:hint="eastAsia" w:ascii="宋体" w:hAnsi="宋体" w:eastAsia="宋体" w:cs="宋体"/>
          <w:b/>
          <w:bCs/>
          <w:sz w:val="56"/>
          <w:szCs w:val="56"/>
          <w:highlight w:val="none"/>
        </w:rPr>
        <w:t>采购文件</w:t>
      </w: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2"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83"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1"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spacing w:line="252" w:lineRule="auto"/>
        <w:rPr>
          <w:rFonts w:hint="eastAsia" w:ascii="宋体" w:hAnsi="宋体" w:eastAsia="宋体" w:cs="宋体"/>
          <w:b/>
          <w:bCs/>
          <w:sz w:val="21"/>
          <w:highlight w:val="none"/>
        </w:rPr>
      </w:pPr>
    </w:p>
    <w:p>
      <w:pPr>
        <w:pStyle w:val="7"/>
        <w:rPr>
          <w:rFonts w:hint="eastAsia" w:ascii="宋体" w:hAnsi="宋体" w:eastAsia="宋体" w:cs="宋体"/>
          <w:highlight w:val="none"/>
        </w:rPr>
      </w:pPr>
    </w:p>
    <w:p>
      <w:pPr>
        <w:spacing w:line="252" w:lineRule="auto"/>
        <w:rPr>
          <w:rFonts w:hint="eastAsia" w:ascii="宋体" w:hAnsi="宋体" w:eastAsia="宋体" w:cs="宋体"/>
          <w:b/>
          <w:bCs/>
          <w:sz w:val="21"/>
          <w:highlight w:val="none"/>
        </w:rPr>
      </w:pPr>
    </w:p>
    <w:p>
      <w:pPr>
        <w:rPr>
          <w:rFonts w:hint="eastAsia" w:ascii="宋体" w:hAnsi="宋体" w:eastAsia="宋体" w:cs="宋体"/>
          <w:b/>
          <w:bCs/>
          <w:sz w:val="21"/>
          <w:highlight w:val="none"/>
        </w:rPr>
      </w:pPr>
    </w:p>
    <w:p>
      <w:pPr>
        <w:pStyle w:val="7"/>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2023年</w:t>
      </w:r>
      <w:r>
        <w:rPr>
          <w:rFonts w:hint="eastAsia" w:ascii="宋体" w:hAnsi="宋体" w:eastAsia="宋体" w:cs="宋体"/>
          <w:b/>
          <w:bCs/>
          <w:sz w:val="32"/>
          <w:szCs w:val="32"/>
          <w:highlight w:val="none"/>
          <w:lang w:val="en-US" w:eastAsia="zh-CN"/>
        </w:rPr>
        <w:t>10</w:t>
      </w:r>
      <w:r>
        <w:rPr>
          <w:rFonts w:hint="eastAsia" w:ascii="宋体" w:hAnsi="宋体" w:eastAsia="宋体" w:cs="宋体"/>
          <w:b/>
          <w:bCs/>
          <w:sz w:val="32"/>
          <w:szCs w:val="32"/>
          <w:highlight w:val="none"/>
          <w:lang w:eastAsia="zh-CN"/>
        </w:rPr>
        <w:t>月</w:t>
      </w:r>
    </w:p>
    <w:p>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pPr>
        <w:rPr>
          <w:rFonts w:hint="eastAsia" w:ascii="宋体" w:hAnsi="宋体" w:eastAsia="宋体" w:cs="宋体"/>
          <w:highlight w:val="none"/>
          <w:lang w:val="en-US" w:eastAsia="zh-CN"/>
        </w:rPr>
      </w:pP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_Toc463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3.1</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项目概况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_Toc463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_Toc20832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3.2</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_Toc20832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_Toc2000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3.3</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_Toc2000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_Toc14456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3.4</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商务要求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_Toc14456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_Toc27175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4.1.</w:t>
      </w:r>
      <w:r>
        <w:rPr>
          <w:rFonts w:hint="eastAsia" w:ascii="宋体" w:hAnsi="宋体" w:eastAsia="宋体" w:cs="宋体"/>
          <w:b w:val="0"/>
          <w:bCs w:val="0"/>
          <w:sz w:val="24"/>
          <w:szCs w:val="24"/>
          <w:highlight w:val="none"/>
        </w:rPr>
        <w:t>一般资格审查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_Toc27306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4.2.特殊资格审查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2"/>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_Toc26759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4.3.落实政府采购政策资格审查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第五章 入围评审办法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第六章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_Toc2555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第七章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pPr>
        <w:pStyle w:val="2"/>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12701"/>
      <w:bookmarkStart w:id="1" w:name="_Toc4895"/>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eastAsia="zh-CN"/>
        </w:rPr>
        <w:t>建设项目工程招标代理</w:t>
      </w:r>
      <w:r>
        <w:rPr>
          <w:rFonts w:hint="eastAsia" w:ascii="宋体" w:hAnsi="宋体" w:eastAsia="宋体" w:cs="宋体"/>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459"/>
      <w:bookmarkStart w:id="3" w:name="_Toc709"/>
      <w:bookmarkStart w:id="4" w:name="_Toc18857"/>
      <w:r>
        <w:rPr>
          <w:rFonts w:hint="eastAsia" w:ascii="宋体" w:hAnsi="宋体" w:eastAsia="宋体" w:cs="宋体"/>
          <w:highlight w:val="none"/>
          <w:lang w:val="en-US" w:eastAsia="zh-CN"/>
        </w:rPr>
        <w:t>一、</w:t>
      </w:r>
      <w:bookmarkEnd w:id="2"/>
      <w:bookmarkEnd w:id="3"/>
      <w:bookmarkEnd w:id="4"/>
      <w:bookmarkStart w:id="5" w:name="_Toc7232"/>
      <w:bookmarkStart w:id="6" w:name="_Toc2214"/>
      <w:bookmarkStart w:id="7" w:name="_Toc11607"/>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eastAsia="zh-CN"/>
        </w:rPr>
        <w:t>建设项目工程招标代理</w:t>
      </w:r>
      <w:r>
        <w:rPr>
          <w:rFonts w:hint="eastAsia" w:ascii="宋体" w:hAnsi="宋体" w:eastAsia="宋体" w:cs="宋体"/>
          <w:spacing w:val="2"/>
          <w:sz w:val="24"/>
          <w:szCs w:val="24"/>
          <w:highlight w:val="none"/>
          <w:lang w:val="en-US" w:eastAsia="zh-CN"/>
        </w:rPr>
        <w:t>机构</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8" w:name="_Toc10190"/>
      <w:bookmarkStart w:id="9" w:name="_Toc7946"/>
      <w:bookmarkStart w:id="10" w:name="_Toc4649"/>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val="0"/>
          <w:bCs/>
          <w:spacing w:val="2"/>
          <w:sz w:val="24"/>
          <w:szCs w:val="24"/>
          <w:highlight w:val="none"/>
        </w:rPr>
      </w:pPr>
      <w:bookmarkStart w:id="11" w:name="_Toc25888"/>
      <w:bookmarkStart w:id="12" w:name="_Toc20120"/>
      <w:bookmarkStart w:id="13" w:name="_Toc20335"/>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供应商承担建设项目工程招标代理。</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592"/>
      <w:bookmarkStart w:id="15" w:name="_Toc10816"/>
      <w:bookmarkStart w:id="16" w:name="_Toc20395"/>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10434"/>
      <w:bookmarkStart w:id="18" w:name="_Toc21160"/>
      <w:bookmarkStart w:id="19" w:name="_Toc18707"/>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响应文件提交截止时间：2023年</w:t>
      </w:r>
      <w:r>
        <w:rPr>
          <w:rFonts w:hint="eastAsia" w:ascii="宋体" w:hAnsi="宋体" w:eastAsia="宋体" w:cs="宋体"/>
          <w:spacing w:val="-1"/>
          <w:position w:val="3"/>
          <w:sz w:val="24"/>
          <w:szCs w:val="24"/>
          <w:highlight w:val="none"/>
          <w:lang w:val="en-US" w:eastAsia="zh-CN"/>
        </w:rPr>
        <w:t>11</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14</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供应商通过线下方式将以上响应文件送至汕尾市代建项目事务中心四楼401。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w:t>
      </w:r>
      <w:r>
        <w:rPr>
          <w:rFonts w:hint="eastAsia" w:ascii="宋体" w:hAnsi="宋体" w:eastAsia="宋体" w:cs="宋体"/>
          <w:spacing w:val="-1"/>
          <w:position w:val="3"/>
          <w:sz w:val="24"/>
          <w:szCs w:val="24"/>
          <w:highlight w:val="none"/>
        </w:rPr>
        <w:t>2023年</w:t>
      </w:r>
      <w:r>
        <w:rPr>
          <w:rFonts w:hint="eastAsia" w:ascii="宋体" w:hAnsi="宋体" w:eastAsia="宋体" w:cs="宋体"/>
          <w:spacing w:val="-1"/>
          <w:position w:val="3"/>
          <w:sz w:val="24"/>
          <w:szCs w:val="24"/>
          <w:highlight w:val="none"/>
          <w:lang w:val="en-US" w:eastAsia="zh-CN"/>
        </w:rPr>
        <w:t>11</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14</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在汕尾市代建项目事务中心四楼会议室现场开启。</w:t>
      </w:r>
    </w:p>
    <w:p>
      <w:pPr>
        <w:pStyle w:val="3"/>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28017"/>
      <w:bookmarkStart w:id="21" w:name="_Toc26718"/>
      <w:bookmarkStart w:id="22" w:name="_Toc11251"/>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址：汕尾市汕尾大道中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黄先生、邱先生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13923587420、13104876025、0660-3693983</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pPr>
        <w:pStyle w:val="2"/>
        <w:bidi w:val="0"/>
        <w:rPr>
          <w:rFonts w:hint="eastAsia" w:ascii="宋体" w:hAnsi="宋体" w:eastAsia="宋体" w:cs="宋体"/>
          <w:sz w:val="21"/>
          <w:highlight w:val="none"/>
        </w:rPr>
      </w:pPr>
      <w:bookmarkStart w:id="23" w:name="_Toc13314"/>
      <w:bookmarkStart w:id="24" w:name="_Toc12483"/>
      <w:r>
        <w:rPr>
          <w:rFonts w:hint="eastAsia" w:ascii="宋体" w:hAnsi="宋体" w:eastAsia="宋体" w:cs="宋体"/>
          <w:highlight w:val="none"/>
        </w:rPr>
        <w:t>第二章 供应商须知</w:t>
      </w:r>
      <w:bookmarkEnd w:id="23"/>
      <w:bookmarkEnd w:id="24"/>
    </w:p>
    <w:p>
      <w:pPr>
        <w:pStyle w:val="3"/>
        <w:bidi w:val="0"/>
        <w:rPr>
          <w:rFonts w:hint="eastAsia" w:ascii="宋体" w:hAnsi="宋体" w:eastAsia="宋体" w:cs="宋体"/>
          <w:highlight w:val="none"/>
        </w:rPr>
      </w:pPr>
      <w:bookmarkStart w:id="25" w:name="_Toc16888"/>
      <w:bookmarkStart w:id="26" w:name="_Toc21617"/>
      <w:bookmarkStart w:id="27" w:name="_Toc15842"/>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6"/>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141"/>
        <w:gridCol w:w="6503"/>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入围供应商</w:t>
            </w:r>
            <w:r>
              <w:rPr>
                <w:rFonts w:hint="eastAsia" w:ascii="宋体" w:hAnsi="宋体" w:eastAsia="宋体" w:cs="宋体"/>
                <w:i w:val="0"/>
                <w:iCs w:val="0"/>
                <w:sz w:val="24"/>
                <w:szCs w:val="24"/>
                <w:highlight w:val="none"/>
              </w:rPr>
              <w:t>的方式</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141"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503"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tc>
      </w:tr>
    </w:tbl>
    <w:p>
      <w:pPr>
        <w:pStyle w:val="3"/>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28" w:name="_Toc23177"/>
      <w:bookmarkStart w:id="29" w:name="_Toc12732"/>
      <w:bookmarkStart w:id="30" w:name="_Toc32487"/>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13420"/>
      <w:bookmarkStart w:id="32" w:name="_Toc4247"/>
      <w:bookmarkStart w:id="33" w:name="_Toc25523"/>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响应的依据，同时也是资格审查、评审的重要依据。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(五)入围评审办法；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(七)响应文件格式。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3812"/>
      <w:bookmarkStart w:id="35" w:name="_Toc23227"/>
      <w:bookmarkStart w:id="36" w:name="_Toc15148"/>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通过线下方式提交至汕尾市代建项目事务中心四楼401</w:t>
      </w:r>
      <w:r>
        <w:rPr>
          <w:rFonts w:hint="eastAsia" w:ascii="宋体" w:hAnsi="宋体" w:eastAsia="宋体" w:cs="宋体"/>
          <w:sz w:val="24"/>
          <w:szCs w:val="24"/>
          <w:highlight w:val="none"/>
        </w:rPr>
        <w:t>。(实质性要求)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供应商响应文件撤回后，视为未提交过响应文件。</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8820"/>
      <w:bookmarkStart w:id="38" w:name="_Toc20363"/>
      <w:bookmarkStart w:id="39" w:name="_Toc15846"/>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响应文件开启、资格审查、评审和确定入围供应商</w:t>
      </w:r>
      <w:bookmarkEnd w:id="37"/>
      <w:bookmarkEnd w:id="38"/>
      <w:bookmarkEnd w:id="39"/>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开启。开启的开始时间为响应文件提交截止时间。成功提交或解密响应文件的供应商不足3家的，不予开启，提交人将作废标处理。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查询及使用信用记录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资格审查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文件第五章。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24814"/>
      <w:bookmarkStart w:id="41" w:name="_Toc13368"/>
      <w:bookmarkStart w:id="42" w:name="_Toc17616"/>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1429"/>
      <w:bookmarkStart w:id="44" w:name="_Toc19309"/>
      <w:bookmarkStart w:id="45" w:name="_Toc3150"/>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评审活动纪律要求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人应保证评审活动在严格保密的情况下进行，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人现场管理规定，任何人不得非法干预和影响评审过程和结果。对各供应商的商业秘密，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23602"/>
      <w:bookmarkStart w:id="47" w:name="_Toc20083"/>
      <w:bookmarkStart w:id="48" w:name="_Toc30271"/>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黄先生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0660-3693983</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通讯地址：</w:t>
      </w:r>
      <w:r>
        <w:rPr>
          <w:rFonts w:hint="eastAsia" w:ascii="宋体" w:hAnsi="宋体" w:eastAsia="宋体" w:cs="宋体"/>
          <w:spacing w:val="2"/>
          <w:position w:val="3"/>
          <w:sz w:val="24"/>
          <w:szCs w:val="24"/>
          <w:highlight w:val="none"/>
          <w:lang w:val="en-US" w:eastAsia="zh-CN"/>
        </w:rPr>
        <w:t>汕尾市代建项目事务中心四楼401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注：根据《中华人民共和国政府采购法》的规定，供应商质疑不得超出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8642"/>
      <w:bookmarkStart w:id="50" w:name="_Toc13357"/>
      <w:bookmarkStart w:id="51" w:name="_Toc25659"/>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不履行合同义务或者履行合同义务不符合约定，经采购人请求履行后仍不履行或者仍未按约定履行的；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协议有效期内，因违法行为被禁止或限制参加政府采购活动的；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协议约定的其他情形。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28997"/>
      <w:bookmarkStart w:id="53" w:name="_Toc31077"/>
      <w:bookmarkStart w:id="54" w:name="_Toc230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17762"/>
      <w:bookmarkStart w:id="56" w:name="_Toc23381"/>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pPr>
        <w:pStyle w:val="3"/>
        <w:bidi w:val="0"/>
        <w:rPr>
          <w:rFonts w:hint="eastAsia" w:ascii="宋体" w:hAnsi="宋体" w:eastAsia="宋体" w:cs="宋体"/>
          <w:sz w:val="24"/>
          <w:szCs w:val="24"/>
          <w:highlight w:val="none"/>
        </w:rPr>
      </w:pPr>
      <w:bookmarkStart w:id="57" w:name="_Toc21293"/>
      <w:bookmarkStart w:id="58"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20832"/>
      <w:bookmarkStart w:id="60" w:name="_Toc1897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协议供应商承担建设项目的勘察、设计、施工、监理以及与工程建设有关的</w:t>
      </w:r>
      <w:r>
        <w:rPr>
          <w:rFonts w:hint="eastAsia" w:ascii="宋体" w:hAnsi="宋体" w:eastAsia="宋体" w:cs="宋体"/>
          <w:sz w:val="24"/>
          <w:szCs w:val="24"/>
          <w:highlight w:val="none"/>
          <w:lang w:val="en-US" w:eastAsia="zh-Hans"/>
        </w:rPr>
        <w:t>货物</w:t>
      </w:r>
      <w:r>
        <w:rPr>
          <w:rFonts w:hint="default"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sz w:val="24"/>
          <w:szCs w:val="24"/>
          <w:highlight w:val="none"/>
        </w:rPr>
        <w:t>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pPr>
        <w:pStyle w:val="3"/>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4"/>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690"/>
        <w:gridCol w:w="2159"/>
        <w:gridCol w:w="1491"/>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建设项目工程招标代理机构</w:t>
            </w:r>
          </w:p>
        </w:tc>
        <w:tc>
          <w:tcPr>
            <w:tcW w:w="2159"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pPr>
        <w:rPr>
          <w:rFonts w:hint="eastAsia"/>
          <w:highlight w:val="none"/>
        </w:rPr>
      </w:pPr>
    </w:p>
    <w:p>
      <w:pPr>
        <w:pStyle w:val="3"/>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5480"/>
      <w:bookmarkStart w:id="62" w:name="_Toc200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技术要求</w:t>
      </w:r>
    </w:p>
    <w:p>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highlight w:val="none"/>
        </w:rPr>
      </w:pPr>
      <w:r>
        <w:rPr>
          <w:rFonts w:hint="eastAsia" w:ascii="宋体" w:hAnsi="宋体" w:eastAsia="宋体" w:cs="宋体"/>
          <w:color w:val="000000"/>
          <w:kern w:val="0"/>
          <w:sz w:val="24"/>
          <w:szCs w:val="24"/>
          <w:highlight w:val="none"/>
          <w:lang w:val="en-US" w:eastAsia="zh-CN" w:bidi="ar"/>
        </w:rPr>
        <w:t>根据《中华人民共和国招标投标法》和广东省实施《中华人民共和国招标投标法》办法等招标投标法律法规，经发改部门核准需采用公开招标方式的建设项目的勘察、设计、施工、监理以及与建设</w:t>
      </w:r>
      <w:r>
        <w:rPr>
          <w:rFonts w:hint="eastAsia" w:ascii="宋体" w:hAnsi="宋体" w:eastAsia="宋体" w:cs="宋体"/>
          <w:color w:val="000000"/>
          <w:kern w:val="0"/>
          <w:sz w:val="24"/>
          <w:szCs w:val="24"/>
          <w:highlight w:val="none"/>
          <w:lang w:val="en-US" w:eastAsia="zh-Hans" w:bidi="ar"/>
        </w:rPr>
        <w:t>项目</w:t>
      </w:r>
      <w:r>
        <w:rPr>
          <w:rFonts w:hint="eastAsia" w:ascii="宋体" w:hAnsi="宋体" w:eastAsia="宋体" w:cs="宋体"/>
          <w:color w:val="000000"/>
          <w:kern w:val="0"/>
          <w:sz w:val="24"/>
          <w:szCs w:val="24"/>
          <w:highlight w:val="none"/>
          <w:lang w:val="en-US" w:eastAsia="zh-CN" w:bidi="ar"/>
        </w:rPr>
        <w:t>有关的</w:t>
      </w:r>
      <w:r>
        <w:rPr>
          <w:rFonts w:hint="eastAsia" w:ascii="宋体" w:hAnsi="宋体" w:eastAsia="宋体" w:cs="宋体"/>
          <w:color w:val="000000"/>
          <w:kern w:val="0"/>
          <w:sz w:val="24"/>
          <w:szCs w:val="24"/>
          <w:highlight w:val="none"/>
          <w:lang w:val="en-US" w:eastAsia="zh-Hans" w:bidi="ar"/>
        </w:rPr>
        <w:t>货物</w:t>
      </w:r>
      <w:r>
        <w:rPr>
          <w:rFonts w:hint="default" w:ascii="宋体" w:hAnsi="宋体" w:eastAsia="宋体" w:cs="宋体"/>
          <w:color w:val="000000"/>
          <w:kern w:val="0"/>
          <w:sz w:val="24"/>
          <w:szCs w:val="24"/>
          <w:highlight w:val="none"/>
          <w:lang w:eastAsia="zh-Hans" w:bidi="ar"/>
        </w:rPr>
        <w:t>、</w:t>
      </w:r>
      <w:r>
        <w:rPr>
          <w:rFonts w:hint="eastAsia" w:ascii="宋体" w:hAnsi="宋体" w:eastAsia="宋体" w:cs="宋体"/>
          <w:color w:val="000000"/>
          <w:kern w:val="0"/>
          <w:sz w:val="24"/>
          <w:szCs w:val="24"/>
          <w:highlight w:val="none"/>
          <w:lang w:val="en-US" w:eastAsia="zh-Hans" w:bidi="ar"/>
        </w:rPr>
        <w:t>服务</w:t>
      </w:r>
      <w:r>
        <w:rPr>
          <w:rFonts w:hint="eastAsia" w:ascii="宋体" w:hAnsi="宋体" w:eastAsia="宋体" w:cs="宋体"/>
          <w:color w:val="000000"/>
          <w:kern w:val="0"/>
          <w:sz w:val="24"/>
          <w:szCs w:val="24"/>
          <w:highlight w:val="none"/>
          <w:lang w:val="en-US" w:eastAsia="zh-CN" w:bidi="ar"/>
        </w:rPr>
        <w:t>等招标代理工作。具体工作内容如下：</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default" w:ascii="宋体" w:hAnsi="宋体" w:cs="宋体"/>
          <w:sz w:val="24"/>
          <w:szCs w:val="24"/>
          <w:highlight w:val="none"/>
          <w:lang w:eastAsia="zh-CN"/>
        </w:rPr>
        <w:t>。</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default" w:ascii="宋体" w:hAnsi="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人工作开展的需要及相关法律法规程序组织招投标活动。</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按程序组织项目的开标、评标、</w:t>
      </w:r>
      <w:r>
        <w:rPr>
          <w:rFonts w:hint="eastAsia" w:ascii="宋体" w:hAnsi="宋体" w:cs="宋体"/>
          <w:sz w:val="24"/>
          <w:szCs w:val="24"/>
          <w:highlight w:val="none"/>
          <w:lang w:val="en-US" w:eastAsia="zh-CN"/>
        </w:rPr>
        <w:t>定标、</w:t>
      </w:r>
      <w:r>
        <w:rPr>
          <w:rFonts w:hint="eastAsia" w:ascii="宋体" w:hAnsi="宋体" w:eastAsia="宋体" w:cs="宋体"/>
          <w:sz w:val="24"/>
          <w:szCs w:val="24"/>
          <w:highlight w:val="none"/>
          <w:lang w:val="en-US" w:eastAsia="zh-CN"/>
        </w:rPr>
        <w:t>中标通知书授予等相关工作，受理、处理质疑、投诉等问题。</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熟悉《中华人民共和国招标投标法》</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《中华人民共和国招标投标法实施条例》</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汕尾市政府投资工程项目招标文件联合会审及评标定标分离制度（试行）</w:t>
      </w:r>
      <w:r>
        <w:rPr>
          <w:rFonts w:hint="eastAsia" w:ascii="宋体" w:hAnsi="宋体" w:eastAsia="宋体" w:cs="宋体"/>
          <w:sz w:val="24"/>
          <w:szCs w:val="24"/>
          <w:highlight w:val="none"/>
          <w:lang w:val="en-US" w:eastAsia="zh-CN"/>
        </w:rPr>
        <w:t>》等国家、省、市</w:t>
      </w:r>
      <w:r>
        <w:rPr>
          <w:rFonts w:hint="eastAsia" w:ascii="宋体" w:hAnsi="宋体" w:eastAsia="宋体" w:cs="宋体"/>
          <w:sz w:val="24"/>
          <w:szCs w:val="24"/>
          <w:highlight w:val="none"/>
          <w:lang w:val="en-US" w:eastAsia="zh-Hans"/>
        </w:rPr>
        <w:t>有关</w:t>
      </w:r>
      <w:r>
        <w:rPr>
          <w:rFonts w:hint="eastAsia" w:ascii="宋体" w:hAnsi="宋体" w:eastAsia="宋体" w:cs="宋体"/>
          <w:sz w:val="24"/>
          <w:szCs w:val="24"/>
          <w:highlight w:val="none"/>
          <w:lang w:val="en-US" w:eastAsia="zh-CN"/>
        </w:rPr>
        <w:t>管理部门制定的有关政策、法规。</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具备编制招标文件、组织评标和定标的相应专业力量。</w:t>
      </w:r>
    </w:p>
    <w:p>
      <w:pPr>
        <w:pStyle w:val="17"/>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入围供应商须建立完备的项目管理制度：包括但不限于工作岗位职责规定、人员培训管理、招标业务审核规范、开评标流程规范、档案管理制度等。</w:t>
      </w:r>
    </w:p>
    <w:p>
      <w:pPr>
        <w:pStyle w:val="17"/>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pPr>
        <w:pStyle w:val="3"/>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入围供应商接受招标人的委托招标代理任务后，并接受招标人考核。考核不合格的，将不再授予项目委托。</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考核标准详见附表一。</w:t>
      </w:r>
    </w:p>
    <w:p>
      <w:pPr>
        <w:pStyle w:val="3"/>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bookmarkStart w:id="63" w:name="_Toc14456"/>
      <w:bookmarkStart w:id="64" w:name="_Toc4948"/>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单个项目招标代理费最高限价</w:t>
      </w:r>
      <w:r>
        <w:rPr>
          <w:rFonts w:hint="eastAsia" w:ascii="宋体" w:hAnsi="宋体" w:cs="宋体"/>
          <w:sz w:val="24"/>
          <w:szCs w:val="24"/>
          <w:highlight w:val="none"/>
          <w:lang w:val="en-US" w:eastAsia="zh-CN"/>
        </w:rPr>
        <w:t>不得超过</w:t>
      </w:r>
      <w:r>
        <w:rPr>
          <w:rFonts w:hint="eastAsia" w:ascii="宋体" w:hAnsi="宋体" w:eastAsia="宋体" w:cs="宋体"/>
          <w:sz w:val="24"/>
          <w:szCs w:val="24"/>
          <w:highlight w:val="none"/>
          <w:lang w:val="en-US" w:eastAsia="zh-Hans"/>
        </w:rPr>
        <w:t>人民币20万元。</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Hans"/>
        </w:rPr>
        <w:t>完成招标代理全部工作后，</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按</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人的财务制度向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人提出付款申请，</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人自收到</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人付款申请后的10个工作日内向市财政部门申请办理一次性付清代理酬金的手续，具体支付时间以财政部门支付时间为准。。</w:t>
      </w:r>
    </w:p>
    <w:p>
      <w:pPr>
        <w:pStyle w:val="17"/>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pPr>
        <w:pStyle w:val="3"/>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pPr>
        <w:pStyle w:val="17"/>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评审小组根据供应商递交的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每次项目择选招标代理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pPr>
        <w:pStyle w:val="17"/>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w:t>
      </w:r>
      <w:r>
        <w:rPr>
          <w:rFonts w:hint="eastAsia" w:ascii="宋体" w:hAnsi="宋体" w:eastAsia="宋体" w:cs="宋体"/>
          <w:sz w:val="24"/>
          <w:szCs w:val="24"/>
          <w:highlight w:val="none"/>
          <w:lang w:val="en-US" w:eastAsia="zh-Hans"/>
        </w:rPr>
        <w:t>招标代理费</w:t>
      </w:r>
      <w:r>
        <w:rPr>
          <w:rFonts w:hint="eastAsia" w:ascii="宋体" w:hAnsi="宋体" w:eastAsia="宋体" w:cs="宋体"/>
          <w:sz w:val="24"/>
          <w:szCs w:val="24"/>
          <w:highlight w:val="none"/>
          <w:lang w:val="en-US" w:eastAsia="zh-CN"/>
        </w:rPr>
        <w:t>最高限价，从入围供应商中选择所有符合竞价需求的供应商参与二次竞价，确定报价最低的为成交供应商。</w:t>
      </w:r>
    </w:p>
    <w:p>
      <w:pPr>
        <w:keepNext w:val="0"/>
        <w:keepLines w:val="0"/>
        <w:pageBreakBefore/>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rPr>
        <w:t>附</w:t>
      </w:r>
      <w:r>
        <w:rPr>
          <w:rFonts w:hint="eastAsia" w:ascii="宋体" w:hAnsi="宋体" w:eastAsia="宋体" w:cs="宋体"/>
          <w:b/>
          <w:bCs/>
          <w:color w:val="auto"/>
          <w:sz w:val="24"/>
          <w:highlight w:val="none"/>
          <w:u w:val="none"/>
        </w:rPr>
        <w:t>表</w:t>
      </w:r>
      <w:r>
        <w:rPr>
          <w:rFonts w:hint="eastAsia" w:ascii="宋体" w:hAnsi="宋体" w:eastAsia="宋体" w:cs="宋体"/>
          <w:b/>
          <w:bCs/>
          <w:color w:val="auto"/>
          <w:sz w:val="24"/>
          <w:highlight w:val="none"/>
          <w:u w:val="none"/>
          <w:lang w:val="en-US" w:eastAsia="zh-CN"/>
        </w:rPr>
        <w:t>一：考核标准</w:t>
      </w:r>
    </w:p>
    <w:tbl>
      <w:tblPr>
        <w:tblStyle w:val="1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cstheme="minorEastAsia"/>
                <w:b/>
                <w:bCs/>
                <w:color w:val="auto"/>
                <w:sz w:val="22"/>
                <w:szCs w:val="22"/>
                <w:highlight w:val="none"/>
                <w:vertAlign w:val="baseline"/>
                <w:lang w:val="en-US" w:eastAsia="zh-CN"/>
              </w:rPr>
              <w:t>一、代理</w:t>
            </w:r>
            <w:r>
              <w:rPr>
                <w:rFonts w:hint="default" w:asciiTheme="minorEastAsia" w:hAnsiTheme="minorEastAsia" w:eastAsiaTheme="minorEastAsia" w:cstheme="minorEastAsia"/>
                <w:b/>
                <w:bCs/>
                <w:color w:val="auto"/>
                <w:sz w:val="22"/>
                <w:szCs w:val="22"/>
                <w:highlight w:val="none"/>
                <w:vertAlign w:val="baseline"/>
                <w:lang w:val="en-US" w:eastAsia="zh-CN"/>
              </w:rPr>
              <w:t>行为</w:t>
            </w:r>
            <w:r>
              <w:rPr>
                <w:rFonts w:hint="eastAsia" w:asciiTheme="minorEastAsia" w:hAnsiTheme="minorEastAsia" w:cstheme="minorEastAsia"/>
                <w:b/>
                <w:bCs/>
                <w:color w:val="auto"/>
                <w:sz w:val="22"/>
                <w:szCs w:val="22"/>
                <w:highlight w:val="none"/>
                <w:vertAlign w:val="baseline"/>
                <w:lang w:val="en-US" w:eastAsia="zh-CN"/>
              </w:rPr>
              <w:t>（30分）</w:t>
            </w:r>
          </w:p>
        </w:tc>
        <w:tc>
          <w:tcPr>
            <w:tcW w:w="1305" w:type="dxa"/>
            <w:vMerge w:val="restart"/>
            <w:vAlign w:val="center"/>
          </w:tcPr>
          <w:p>
            <w:pPr>
              <w:widowControl w:val="0"/>
              <w:numPr>
                <w:ilvl w:val="0"/>
                <w:numId w:val="0"/>
              </w:numPr>
              <w:jc w:val="left"/>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cstheme="minorEastAsia"/>
                <w:b/>
                <w:bCs/>
                <w:color w:val="auto"/>
                <w:sz w:val="22"/>
                <w:szCs w:val="22"/>
                <w:highlight w:val="none"/>
                <w:vertAlign w:val="baseline"/>
                <w:lang w:val="en-US" w:eastAsia="zh-CN"/>
              </w:rPr>
              <w:t>行为规范及服务态度（30分）</w:t>
            </w: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1.1</w:t>
            </w:r>
            <w:r>
              <w:rPr>
                <w:rFonts w:hint="eastAsia" w:asciiTheme="minorEastAsia" w:hAnsiTheme="minorEastAsia" w:eastAsiaTheme="minorEastAsia" w:cstheme="minorEastAsia"/>
                <w:i w:val="0"/>
                <w:iCs w:val="0"/>
                <w:caps w:val="0"/>
                <w:color w:val="auto"/>
                <w:spacing w:val="0"/>
                <w:sz w:val="22"/>
                <w:szCs w:val="22"/>
                <w:highlight w:val="none"/>
                <w:shd w:val="clear"/>
              </w:rPr>
              <w:t>在招标代理过程中发现违法违规问题，不及时向</w:t>
            </w:r>
            <w:r>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t>市代建中心</w:t>
            </w:r>
            <w:r>
              <w:rPr>
                <w:rFonts w:hint="eastAsia" w:asciiTheme="minorEastAsia" w:hAnsiTheme="minorEastAsia" w:eastAsiaTheme="minorEastAsia" w:cstheme="minorEastAsia"/>
                <w:i w:val="0"/>
                <w:iCs w:val="0"/>
                <w:caps w:val="0"/>
                <w:color w:val="auto"/>
                <w:spacing w:val="0"/>
                <w:sz w:val="22"/>
                <w:szCs w:val="22"/>
                <w:highlight w:val="none"/>
                <w:shd w:val="clear"/>
              </w:rPr>
              <w:t>汇报的，每次扣3分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restart"/>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1.2</w:t>
            </w:r>
            <w:r>
              <w:rPr>
                <w:rFonts w:hint="eastAsia" w:asciiTheme="minorEastAsia" w:hAnsiTheme="minorEastAsia" w:eastAsiaTheme="minorEastAsia" w:cstheme="minorEastAsia"/>
                <w:i w:val="0"/>
                <w:iCs w:val="0"/>
                <w:caps w:val="0"/>
                <w:color w:val="auto"/>
                <w:spacing w:val="0"/>
                <w:sz w:val="22"/>
                <w:szCs w:val="22"/>
                <w:highlight w:val="none"/>
                <w:shd w:val="clear"/>
              </w:rPr>
              <w:t>服务态度生硬，与服务对象发生争吵，造成不良影响的，每次扣 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1.3</w:t>
            </w:r>
            <w:r>
              <w:rPr>
                <w:rFonts w:hint="eastAsia" w:asciiTheme="minorEastAsia" w:hAnsiTheme="minorEastAsia" w:eastAsiaTheme="minorEastAsia" w:cstheme="minorEastAsia"/>
                <w:i w:val="0"/>
                <w:iCs w:val="0"/>
                <w:caps w:val="0"/>
                <w:color w:val="auto"/>
                <w:spacing w:val="0"/>
                <w:sz w:val="22"/>
                <w:szCs w:val="22"/>
                <w:highlight w:val="none"/>
                <w:shd w:val="clear"/>
              </w:rPr>
              <w:t>干预评</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cstheme="minorEastAsia"/>
                <w:i w:val="0"/>
                <w:iCs w:val="0"/>
                <w:caps w:val="0"/>
                <w:color w:val="auto"/>
                <w:spacing w:val="0"/>
                <w:sz w:val="22"/>
                <w:szCs w:val="22"/>
                <w:highlight w:val="none"/>
                <w:shd w:val="clear"/>
                <w:lang w:val="en-US" w:eastAsia="zh-CN"/>
              </w:rPr>
              <w:t>定</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rPr>
              <w:t>标委员会活动和影响评</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cstheme="minorEastAsia"/>
                <w:i w:val="0"/>
                <w:iCs w:val="0"/>
                <w:caps w:val="0"/>
                <w:color w:val="auto"/>
                <w:spacing w:val="0"/>
                <w:sz w:val="22"/>
                <w:szCs w:val="22"/>
                <w:highlight w:val="none"/>
                <w:shd w:val="clear"/>
                <w:lang w:val="en-US" w:eastAsia="zh-CN"/>
              </w:rPr>
              <w:t>定</w:t>
            </w:r>
            <w:r>
              <w:rPr>
                <w:rFonts w:hint="eastAsia" w:asciiTheme="minorEastAsia" w:hAnsiTheme="minorEastAsia" w:cstheme="minorEastAsia"/>
                <w:i w:val="0"/>
                <w:iCs w:val="0"/>
                <w:caps w:val="0"/>
                <w:color w:val="auto"/>
                <w:spacing w:val="0"/>
                <w:sz w:val="22"/>
                <w:szCs w:val="22"/>
                <w:highlight w:val="none"/>
                <w:shd w:val="clear"/>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rPr>
              <w:t>标专家的意思表示的，每次扣2分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1.4</w:t>
            </w:r>
            <w:r>
              <w:rPr>
                <w:rFonts w:hint="eastAsia" w:asciiTheme="minorEastAsia" w:hAnsiTheme="minorEastAsia" w:eastAsiaTheme="minorEastAsia" w:cstheme="minorEastAsia"/>
                <w:i w:val="0"/>
                <w:iCs w:val="0"/>
                <w:caps w:val="0"/>
                <w:color w:val="auto"/>
                <w:spacing w:val="0"/>
                <w:sz w:val="22"/>
                <w:szCs w:val="22"/>
                <w:highlight w:val="none"/>
                <w:shd w:val="clear"/>
              </w:rPr>
              <w:t>不配合</w:t>
            </w:r>
            <w:r>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t>市代建中心</w:t>
            </w:r>
            <w:r>
              <w:rPr>
                <w:rFonts w:hint="eastAsia" w:asciiTheme="minorEastAsia" w:hAnsiTheme="minorEastAsia" w:eastAsiaTheme="minorEastAsia" w:cstheme="minorEastAsia"/>
                <w:i w:val="0"/>
                <w:iCs w:val="0"/>
                <w:caps w:val="0"/>
                <w:color w:val="auto"/>
                <w:spacing w:val="0"/>
                <w:sz w:val="22"/>
                <w:szCs w:val="22"/>
                <w:highlight w:val="none"/>
                <w:shd w:val="clear"/>
              </w:rPr>
              <w:t>对招投标投诉调查处理，不如实反映情况，不及时提供材料的，每次扣2分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val="0"/>
                <w:bCs w:val="0"/>
                <w:color w:val="auto"/>
                <w:sz w:val="22"/>
                <w:szCs w:val="22"/>
                <w:highlight w:val="none"/>
                <w:vertAlign w:val="baseline"/>
                <w:lang w:val="en-US" w:eastAsia="zh-CN"/>
              </w:rPr>
              <w:t>1.5</w:t>
            </w:r>
            <w:r>
              <w:rPr>
                <w:rFonts w:hint="eastAsia" w:asciiTheme="minorEastAsia" w:hAnsiTheme="minorEastAsia" w:eastAsiaTheme="minorEastAsia" w:cstheme="minorEastAsia"/>
                <w:b w:val="0"/>
                <w:bCs w:val="0"/>
                <w:color w:val="auto"/>
                <w:sz w:val="22"/>
                <w:szCs w:val="22"/>
                <w:highlight w:val="none"/>
                <w:vertAlign w:val="baseline"/>
                <w:lang w:val="en-US" w:eastAsia="zh-CN"/>
              </w:rPr>
              <w:t>缺席</w:t>
            </w:r>
            <w:r>
              <w:rPr>
                <w:rFonts w:hint="eastAsia" w:asciiTheme="minorEastAsia" w:hAnsiTheme="minorEastAsia" w:cstheme="minorEastAsia"/>
                <w:b w:val="0"/>
                <w:bCs w:val="0"/>
                <w:color w:val="auto"/>
                <w:sz w:val="22"/>
                <w:szCs w:val="22"/>
                <w:highlight w:val="none"/>
                <w:vertAlign w:val="baseline"/>
                <w:lang w:val="en-US" w:eastAsia="zh-CN"/>
              </w:rPr>
              <w:t>市代建中心、业主方</w:t>
            </w:r>
            <w:r>
              <w:rPr>
                <w:rFonts w:hint="eastAsia" w:asciiTheme="minorEastAsia" w:hAnsiTheme="minorEastAsia" w:eastAsiaTheme="minorEastAsia" w:cstheme="minorEastAsia"/>
                <w:b w:val="0"/>
                <w:bCs w:val="0"/>
                <w:color w:val="auto"/>
                <w:sz w:val="22"/>
                <w:szCs w:val="22"/>
                <w:highlight w:val="none"/>
                <w:vertAlign w:val="baseline"/>
                <w:lang w:val="en-US" w:eastAsia="zh-CN"/>
              </w:rPr>
              <w:t>或其他任何需要</w:t>
            </w:r>
            <w:r>
              <w:rPr>
                <w:rFonts w:hint="eastAsia" w:asciiTheme="minorEastAsia" w:hAnsiTheme="minorEastAsia" w:cstheme="minorEastAsia"/>
                <w:b w:val="0"/>
                <w:bCs w:val="0"/>
                <w:color w:val="auto"/>
                <w:sz w:val="22"/>
                <w:szCs w:val="22"/>
                <w:highlight w:val="none"/>
                <w:vertAlign w:val="baseline"/>
                <w:lang w:val="en-US" w:eastAsia="zh-CN"/>
              </w:rPr>
              <w:t>招标代理</w:t>
            </w:r>
            <w:r>
              <w:rPr>
                <w:rFonts w:hint="eastAsia" w:asciiTheme="minorEastAsia" w:hAnsiTheme="minorEastAsia" w:eastAsiaTheme="minorEastAsia" w:cstheme="minorEastAsia"/>
                <w:b w:val="0"/>
                <w:bCs w:val="0"/>
                <w:color w:val="auto"/>
                <w:sz w:val="22"/>
                <w:szCs w:val="22"/>
                <w:highlight w:val="none"/>
                <w:vertAlign w:val="baseline"/>
                <w:lang w:val="en-US" w:eastAsia="zh-CN"/>
              </w:rPr>
              <w:t>单位参与的工作会议</w:t>
            </w:r>
            <w:r>
              <w:rPr>
                <w:rFonts w:hint="eastAsia" w:asciiTheme="minorEastAsia" w:hAnsiTheme="minorEastAsia" w:eastAsiaTheme="minorEastAsia" w:cstheme="minorEastAsia"/>
                <w:i w:val="0"/>
                <w:iCs w:val="0"/>
                <w:caps w:val="0"/>
                <w:color w:val="auto"/>
                <w:spacing w:val="0"/>
                <w:sz w:val="22"/>
                <w:szCs w:val="22"/>
                <w:highlight w:val="none"/>
                <w:shd w:val="clear"/>
              </w:rPr>
              <w:t>，每次扣2分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1.6</w:t>
            </w:r>
            <w:r>
              <w:rPr>
                <w:rFonts w:hint="eastAsia" w:asciiTheme="minorEastAsia" w:hAnsiTheme="minorEastAsia" w:eastAsiaTheme="minorEastAsia" w:cstheme="minorEastAsia"/>
                <w:i w:val="0"/>
                <w:iCs w:val="0"/>
                <w:caps w:val="0"/>
                <w:color w:val="auto"/>
                <w:spacing w:val="0"/>
                <w:sz w:val="22"/>
                <w:szCs w:val="22"/>
                <w:highlight w:val="none"/>
                <w:shd w:val="clear"/>
              </w:rPr>
              <w:t>未按规定提前到达开标场所作准备的，每次扣</w:t>
            </w:r>
            <w:r>
              <w:rPr>
                <w:rFonts w:hint="eastAsia" w:asciiTheme="minorEastAsia" w:hAnsiTheme="minorEastAsia" w:cstheme="minorEastAsia"/>
                <w:i w:val="0"/>
                <w:iCs w:val="0"/>
                <w:caps w:val="0"/>
                <w:color w:val="auto"/>
                <w:spacing w:val="0"/>
                <w:sz w:val="22"/>
                <w:szCs w:val="22"/>
                <w:highlight w:val="none"/>
                <w:shd w:val="clear"/>
                <w:lang w:val="en-US" w:eastAsia="zh-CN"/>
              </w:rPr>
              <w:t>3</w:t>
            </w:r>
            <w:r>
              <w:rPr>
                <w:rFonts w:hint="eastAsia" w:asciiTheme="minorEastAsia" w:hAnsiTheme="minorEastAsia" w:eastAsiaTheme="minorEastAsia" w:cstheme="minorEastAsia"/>
                <w:i w:val="0"/>
                <w:iCs w:val="0"/>
                <w:caps w:val="0"/>
                <w:color w:val="auto"/>
                <w:spacing w:val="0"/>
                <w:sz w:val="22"/>
                <w:szCs w:val="22"/>
                <w:highlight w:val="none"/>
                <w:shd w:val="clear"/>
              </w:rPr>
              <w:t>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1.7</w:t>
            </w:r>
            <w:r>
              <w:rPr>
                <w:rFonts w:hint="eastAsia" w:asciiTheme="minorEastAsia" w:hAnsiTheme="minorEastAsia" w:eastAsiaTheme="minorEastAsia" w:cstheme="minorEastAsia"/>
                <w:i w:val="0"/>
                <w:iCs w:val="0"/>
                <w:caps w:val="0"/>
                <w:color w:val="auto"/>
                <w:spacing w:val="0"/>
                <w:sz w:val="22"/>
                <w:szCs w:val="22"/>
                <w:highlight w:val="none"/>
                <w:shd w:val="clear"/>
              </w:rPr>
              <w:t>未按规定填报抽取评标专家的区域或者专业的，每次扣2分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1.8</w:t>
            </w:r>
            <w:r>
              <w:rPr>
                <w:rFonts w:hint="eastAsia" w:asciiTheme="minorEastAsia" w:hAnsiTheme="minorEastAsia" w:eastAsiaTheme="minorEastAsia" w:cstheme="minorEastAsia"/>
                <w:i w:val="0"/>
                <w:iCs w:val="0"/>
                <w:caps w:val="0"/>
                <w:color w:val="auto"/>
                <w:spacing w:val="0"/>
                <w:sz w:val="22"/>
                <w:szCs w:val="22"/>
                <w:highlight w:val="none"/>
                <w:shd w:val="clear"/>
              </w:rPr>
              <w:t>对投标人开标期间提出的异议，</w:t>
            </w:r>
            <w:r>
              <w:rPr>
                <w:rFonts w:hint="eastAsia" w:asciiTheme="minorEastAsia" w:hAnsiTheme="minorEastAsia" w:cstheme="minorEastAsia"/>
                <w:i w:val="0"/>
                <w:iCs w:val="0"/>
                <w:caps w:val="0"/>
                <w:color w:val="auto"/>
                <w:spacing w:val="0"/>
                <w:sz w:val="22"/>
                <w:szCs w:val="22"/>
                <w:highlight w:val="none"/>
                <w:shd w:val="clear"/>
                <w:lang w:val="en-US" w:eastAsia="zh-CN"/>
              </w:rPr>
              <w:t>未及时反馈给招标人或</w:t>
            </w:r>
            <w:r>
              <w:rPr>
                <w:rFonts w:hint="eastAsia" w:asciiTheme="minorEastAsia" w:hAnsiTheme="minorEastAsia" w:eastAsiaTheme="minorEastAsia" w:cstheme="minorEastAsia"/>
                <w:i w:val="0"/>
                <w:iCs w:val="0"/>
                <w:caps w:val="0"/>
                <w:color w:val="auto"/>
                <w:spacing w:val="0"/>
                <w:sz w:val="22"/>
                <w:szCs w:val="22"/>
                <w:highlight w:val="none"/>
                <w:shd w:val="clear"/>
              </w:rPr>
              <w:t>未按规定答复并记录的，每次扣1分，对投标人在公示期间提出的异议，</w:t>
            </w:r>
            <w:r>
              <w:rPr>
                <w:rFonts w:hint="eastAsia" w:asciiTheme="minorEastAsia" w:hAnsiTheme="minorEastAsia" w:cstheme="minorEastAsia"/>
                <w:i w:val="0"/>
                <w:iCs w:val="0"/>
                <w:caps w:val="0"/>
                <w:color w:val="auto"/>
                <w:spacing w:val="0"/>
                <w:sz w:val="22"/>
                <w:szCs w:val="22"/>
                <w:highlight w:val="none"/>
                <w:shd w:val="clear"/>
                <w:lang w:val="en-US" w:eastAsia="zh-CN"/>
              </w:rPr>
              <w:t>未及时反馈给招标人或</w:t>
            </w:r>
            <w:r>
              <w:rPr>
                <w:rFonts w:hint="eastAsia" w:asciiTheme="minorEastAsia" w:hAnsiTheme="minorEastAsia" w:eastAsiaTheme="minorEastAsia" w:cstheme="minorEastAsia"/>
                <w:i w:val="0"/>
                <w:iCs w:val="0"/>
                <w:caps w:val="0"/>
                <w:color w:val="auto"/>
                <w:spacing w:val="0"/>
                <w:sz w:val="22"/>
                <w:szCs w:val="22"/>
                <w:highlight w:val="none"/>
                <w:shd w:val="clear"/>
              </w:rPr>
              <w:t>未按规定及时答复或答复不到位的，每次扣2分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1.9</w:t>
            </w:r>
            <w:r>
              <w:rPr>
                <w:rFonts w:hint="eastAsia" w:asciiTheme="minorEastAsia" w:hAnsiTheme="minorEastAsia" w:eastAsiaTheme="minorEastAsia" w:cstheme="minorEastAsia"/>
                <w:i w:val="0"/>
                <w:iCs w:val="0"/>
                <w:caps w:val="0"/>
                <w:color w:val="auto"/>
                <w:spacing w:val="0"/>
                <w:sz w:val="22"/>
                <w:szCs w:val="22"/>
                <w:highlight w:val="none"/>
                <w:shd w:val="clear"/>
              </w:rPr>
              <w:t>评标前，未告知评标专家回避要求、承诺事项、评标纪律、权利义务、评标流程等评标所必需的信息的，每次扣2分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1.10</w:t>
            </w:r>
            <w:r>
              <w:rPr>
                <w:rFonts w:hint="eastAsia" w:asciiTheme="minorEastAsia" w:hAnsiTheme="minorEastAsia" w:eastAsiaTheme="minorEastAsia" w:cstheme="minorEastAsia"/>
                <w:i w:val="0"/>
                <w:iCs w:val="0"/>
                <w:caps w:val="0"/>
                <w:color w:val="auto"/>
                <w:spacing w:val="0"/>
                <w:sz w:val="22"/>
                <w:szCs w:val="22"/>
                <w:highlight w:val="none"/>
                <w:shd w:val="clear"/>
              </w:rPr>
              <w:t>对招标文件不熟悉、准备工作不充分，影响开、评标工作有序正常开展的，每次扣</w:t>
            </w:r>
            <w:r>
              <w:rPr>
                <w:rFonts w:hint="eastAsia" w:asciiTheme="minorEastAsia" w:hAnsiTheme="minorEastAsia" w:cstheme="minorEastAsia"/>
                <w:i w:val="0"/>
                <w:iCs w:val="0"/>
                <w:caps w:val="0"/>
                <w:color w:val="auto"/>
                <w:spacing w:val="0"/>
                <w:sz w:val="22"/>
                <w:szCs w:val="22"/>
                <w:highlight w:val="none"/>
                <w:shd w:val="clear"/>
                <w:lang w:val="en-US" w:eastAsia="zh-CN"/>
              </w:rPr>
              <w:t>2</w:t>
            </w:r>
            <w:r>
              <w:rPr>
                <w:rFonts w:hint="eastAsia" w:asciiTheme="minorEastAsia" w:hAnsiTheme="minorEastAsia" w:eastAsiaTheme="minorEastAsia" w:cstheme="minorEastAsia"/>
                <w:i w:val="0"/>
                <w:iCs w:val="0"/>
                <w:caps w:val="0"/>
                <w:color w:val="auto"/>
                <w:spacing w:val="0"/>
                <w:sz w:val="22"/>
                <w:szCs w:val="22"/>
                <w:highlight w:val="none"/>
                <w:shd w:val="clear"/>
              </w:rPr>
              <w:t>分</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95" w:type="dxa"/>
            <w:vMerge w:val="restart"/>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bCs/>
                <w:color w:val="auto"/>
                <w:sz w:val="22"/>
                <w:szCs w:val="22"/>
                <w:highlight w:val="none"/>
                <w:vertAlign w:val="baseline"/>
                <w:lang w:val="en-US" w:eastAsia="zh-CN"/>
              </w:rPr>
              <w:t>二</w:t>
            </w:r>
            <w:r>
              <w:rPr>
                <w:rFonts w:hint="eastAsia" w:asciiTheme="minorEastAsia" w:hAnsiTheme="minorEastAsia" w:eastAsiaTheme="minorEastAsia" w:cstheme="minorEastAsia"/>
                <w:b/>
                <w:bCs/>
                <w:color w:val="auto"/>
                <w:sz w:val="22"/>
                <w:szCs w:val="22"/>
                <w:highlight w:val="none"/>
                <w:vertAlign w:val="baseline"/>
                <w:lang w:eastAsia="zh-CN"/>
              </w:rPr>
              <w:t>、</w:t>
            </w:r>
            <w:r>
              <w:rPr>
                <w:rFonts w:hint="eastAsia" w:asciiTheme="minorEastAsia" w:hAnsiTheme="minorEastAsia" w:cstheme="minorEastAsia"/>
                <w:b/>
                <w:bCs/>
                <w:color w:val="auto"/>
                <w:sz w:val="22"/>
                <w:szCs w:val="22"/>
                <w:highlight w:val="none"/>
                <w:vertAlign w:val="baseline"/>
                <w:lang w:val="en-US" w:eastAsia="zh-CN"/>
              </w:rPr>
              <w:t>代理</w:t>
            </w:r>
            <w:r>
              <w:rPr>
                <w:rFonts w:hint="eastAsia" w:asciiTheme="minorEastAsia" w:hAnsiTheme="minorEastAsia" w:eastAsiaTheme="minorEastAsia" w:cstheme="minorEastAsia"/>
                <w:b/>
                <w:bCs/>
                <w:color w:val="auto"/>
                <w:sz w:val="22"/>
                <w:szCs w:val="22"/>
                <w:highlight w:val="none"/>
                <w:vertAlign w:val="baseline"/>
                <w:lang w:eastAsia="zh-CN"/>
              </w:rPr>
              <w:t>质量（</w:t>
            </w:r>
            <w:r>
              <w:rPr>
                <w:rFonts w:hint="eastAsia" w:asciiTheme="minorEastAsia" w:hAnsiTheme="minorEastAsia" w:cstheme="minorEastAsia"/>
                <w:b/>
                <w:bCs/>
                <w:color w:val="auto"/>
                <w:sz w:val="22"/>
                <w:szCs w:val="22"/>
                <w:highlight w:val="none"/>
                <w:vertAlign w:val="baseline"/>
                <w:lang w:val="en-US" w:eastAsia="zh-CN"/>
              </w:rPr>
              <w:t>50</w:t>
            </w:r>
            <w:r>
              <w:rPr>
                <w:rFonts w:hint="eastAsia" w:asciiTheme="minorEastAsia" w:hAnsiTheme="minorEastAsia" w:eastAsiaTheme="minorEastAsia" w:cstheme="minorEastAsia"/>
                <w:b/>
                <w:bCs/>
                <w:color w:val="auto"/>
                <w:sz w:val="22"/>
                <w:szCs w:val="22"/>
                <w:highlight w:val="none"/>
                <w:vertAlign w:val="baseline"/>
                <w:lang w:val="en-US" w:eastAsia="zh-CN"/>
              </w:rPr>
              <w:t>分</w:t>
            </w:r>
            <w:r>
              <w:rPr>
                <w:rFonts w:hint="eastAsia" w:asciiTheme="minorEastAsia" w:hAnsiTheme="minorEastAsia" w:eastAsiaTheme="minorEastAsia" w:cstheme="minorEastAsia"/>
                <w:b/>
                <w:bCs/>
                <w:color w:val="auto"/>
                <w:sz w:val="22"/>
                <w:szCs w:val="22"/>
                <w:highlight w:val="none"/>
                <w:vertAlign w:val="baseline"/>
                <w:lang w:eastAsia="zh-CN"/>
              </w:rPr>
              <w:t>）</w:t>
            </w:r>
          </w:p>
        </w:tc>
        <w:tc>
          <w:tcPr>
            <w:tcW w:w="1305" w:type="dxa"/>
            <w:vMerge w:val="restart"/>
            <w:vAlign w:val="center"/>
          </w:tcPr>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default"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招标文件编制及执行（50分）</w:t>
            </w:r>
          </w:p>
        </w:tc>
        <w:tc>
          <w:tcPr>
            <w:tcW w:w="5412" w:type="dxa"/>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w:t>
            </w:r>
            <w:r>
              <w:rPr>
                <w:rFonts w:hint="eastAsia" w:asciiTheme="minorEastAsia" w:hAnsiTheme="minorEastAsia" w:eastAsiaTheme="minorEastAsia" w:cstheme="minorEastAsia"/>
                <w:i w:val="0"/>
                <w:iCs w:val="0"/>
                <w:caps w:val="0"/>
                <w:color w:val="auto"/>
                <w:spacing w:val="0"/>
                <w:sz w:val="22"/>
                <w:szCs w:val="22"/>
                <w:highlight w:val="none"/>
                <w:shd w:val="clear"/>
              </w:rPr>
              <w:t>招标文件存在明显差错的，每处扣2分</w:t>
            </w:r>
            <w:r>
              <w:rPr>
                <w:rFonts w:hint="eastAsia" w:asciiTheme="minorEastAsia" w:hAnsiTheme="minorEastAsia" w:cstheme="minorEastAsia"/>
                <w:b w:val="0"/>
                <w:bCs w:val="0"/>
                <w:color w:val="auto"/>
                <w:sz w:val="22"/>
                <w:szCs w:val="22"/>
                <w:highlight w:val="none"/>
                <w:vertAlign w:val="baseline"/>
                <w:lang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c>
          <w:tcPr>
            <w:tcW w:w="810" w:type="dxa"/>
            <w:vMerge w:val="restart"/>
          </w:tcPr>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vAlign w:val="center"/>
          </w:tcPr>
          <w:p>
            <w:pPr>
              <w:widowControl w:val="0"/>
              <w:numPr>
                <w:ilvl w:val="0"/>
                <w:numId w:val="0"/>
              </w:numPr>
              <w:ind w:left="0" w:leftChars="0" w:firstLine="0" w:firstLineChars="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2.2</w:t>
            </w:r>
            <w:r>
              <w:rPr>
                <w:rFonts w:hint="eastAsia" w:asciiTheme="minorEastAsia" w:hAnsiTheme="minorEastAsia" w:eastAsiaTheme="minorEastAsia" w:cstheme="minorEastAsia"/>
                <w:i w:val="0"/>
                <w:iCs w:val="0"/>
                <w:caps w:val="0"/>
                <w:color w:val="auto"/>
                <w:spacing w:val="0"/>
                <w:sz w:val="22"/>
                <w:szCs w:val="22"/>
                <w:highlight w:val="none"/>
                <w:shd w:val="clear"/>
              </w:rPr>
              <w:t>招标文件内容设置不合理的，每处扣2分</w:t>
            </w:r>
            <w:r>
              <w:rPr>
                <w:rFonts w:hint="eastAsia" w:asciiTheme="minorEastAsia" w:hAnsi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2.3</w:t>
            </w:r>
            <w:r>
              <w:rPr>
                <w:rFonts w:hint="eastAsia" w:asciiTheme="minorEastAsia" w:hAnsiTheme="minorEastAsia" w:eastAsiaTheme="minorEastAsia" w:cstheme="minorEastAsia"/>
                <w:i w:val="0"/>
                <w:iCs w:val="0"/>
                <w:caps w:val="0"/>
                <w:color w:val="auto"/>
                <w:spacing w:val="0"/>
                <w:sz w:val="22"/>
                <w:szCs w:val="22"/>
                <w:highlight w:val="none"/>
                <w:shd w:val="clear"/>
              </w:rPr>
              <w:t>招标文件中存在违法条款的，每处扣10分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2.4</w:t>
            </w:r>
            <w:r>
              <w:rPr>
                <w:rFonts w:hint="eastAsia" w:asciiTheme="minorEastAsia" w:hAnsiTheme="minorEastAsia" w:eastAsiaTheme="minorEastAsia" w:cstheme="minorEastAsia"/>
                <w:i w:val="0"/>
                <w:iCs w:val="0"/>
                <w:caps w:val="0"/>
                <w:color w:val="auto"/>
                <w:spacing w:val="0"/>
                <w:sz w:val="22"/>
                <w:szCs w:val="22"/>
                <w:highlight w:val="none"/>
                <w:shd w:val="clear"/>
              </w:rPr>
              <w:t>无特殊情况多次发布补充文件，每次扣1分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2.5</w:t>
            </w:r>
            <w:r>
              <w:rPr>
                <w:rFonts w:hint="eastAsia" w:asciiTheme="minorEastAsia" w:hAnsiTheme="minorEastAsia" w:eastAsiaTheme="minorEastAsia" w:cstheme="minorEastAsia"/>
                <w:i w:val="0"/>
                <w:iCs w:val="0"/>
                <w:caps w:val="0"/>
                <w:color w:val="auto"/>
                <w:spacing w:val="0"/>
                <w:sz w:val="22"/>
                <w:szCs w:val="22"/>
                <w:highlight w:val="none"/>
                <w:shd w:val="clear"/>
              </w:rPr>
              <w:t>擅自修改经备案确认的招标文件或者擅自修改招标文件范本中固定内容的，每处扣</w:t>
            </w:r>
            <w:r>
              <w:rPr>
                <w:rFonts w:hint="eastAsia" w:asciiTheme="minorEastAsia" w:hAnsiTheme="minorEastAsia" w:cstheme="minorEastAsia"/>
                <w:i w:val="0"/>
                <w:iCs w:val="0"/>
                <w:caps w:val="0"/>
                <w:color w:val="auto"/>
                <w:spacing w:val="0"/>
                <w:sz w:val="22"/>
                <w:szCs w:val="22"/>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2"/>
                <w:szCs w:val="22"/>
                <w:highlight w:val="none"/>
                <w:shd w:val="clear"/>
              </w:rPr>
              <w:t>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2.6</w:t>
            </w:r>
            <w:r>
              <w:rPr>
                <w:rFonts w:hint="eastAsia" w:asciiTheme="minorEastAsia" w:hAnsiTheme="minorEastAsia" w:eastAsiaTheme="minorEastAsia" w:cstheme="minorEastAsia"/>
                <w:i w:val="0"/>
                <w:iCs w:val="0"/>
                <w:caps w:val="0"/>
                <w:color w:val="auto"/>
                <w:spacing w:val="0"/>
                <w:sz w:val="22"/>
                <w:szCs w:val="22"/>
                <w:highlight w:val="none"/>
                <w:shd w:val="clear"/>
              </w:rPr>
              <w:t>未及时提交招标文件备案资料的，每次扣2分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2.7</w:t>
            </w:r>
            <w:r>
              <w:rPr>
                <w:rFonts w:hint="eastAsia" w:asciiTheme="minorEastAsia" w:hAnsiTheme="minorEastAsia" w:eastAsiaTheme="minorEastAsia" w:cstheme="minorEastAsia"/>
                <w:i w:val="0"/>
                <w:iCs w:val="0"/>
                <w:caps w:val="0"/>
                <w:color w:val="auto"/>
                <w:spacing w:val="0"/>
                <w:sz w:val="22"/>
                <w:szCs w:val="22"/>
                <w:highlight w:val="none"/>
                <w:shd w:val="clear"/>
              </w:rPr>
              <w:t>未如实记录、计算、汇总或妥善保管招投标原始记录的，每次扣 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2.8</w:t>
            </w:r>
            <w:r>
              <w:rPr>
                <w:rFonts w:hint="eastAsia" w:asciiTheme="minorEastAsia" w:hAnsiTheme="minorEastAsia" w:eastAsiaTheme="minorEastAsia" w:cstheme="minorEastAsia"/>
                <w:i w:val="0"/>
                <w:iCs w:val="0"/>
                <w:caps w:val="0"/>
                <w:color w:val="auto"/>
                <w:spacing w:val="0"/>
                <w:sz w:val="22"/>
                <w:szCs w:val="22"/>
                <w:highlight w:val="none"/>
                <w:shd w:val="clear"/>
              </w:rPr>
              <w:t>因代理原因，导致延期开标或者影响开评标结果或者造成不良后果或影响的，每次扣</w:t>
            </w:r>
            <w:r>
              <w:rPr>
                <w:rFonts w:hint="eastAsia" w:asciiTheme="minorEastAsia" w:hAnsiTheme="minorEastAsia" w:cstheme="minorEastAsia"/>
                <w:i w:val="0"/>
                <w:iCs w:val="0"/>
                <w:caps w:val="0"/>
                <w:color w:val="auto"/>
                <w:spacing w:val="0"/>
                <w:sz w:val="22"/>
                <w:szCs w:val="22"/>
                <w:highlight w:val="none"/>
                <w:shd w:val="clear"/>
                <w:lang w:val="en-US" w:eastAsia="zh-CN"/>
              </w:rPr>
              <w:t>5</w:t>
            </w:r>
            <w:r>
              <w:rPr>
                <w:rFonts w:hint="eastAsia" w:asciiTheme="minorEastAsia" w:hAnsiTheme="minorEastAsia" w:eastAsiaTheme="minorEastAsia" w:cstheme="minorEastAsia"/>
                <w:i w:val="0"/>
                <w:iCs w:val="0"/>
                <w:caps w:val="0"/>
                <w:color w:val="auto"/>
                <w:spacing w:val="0"/>
                <w:sz w:val="22"/>
                <w:szCs w:val="22"/>
                <w:highlight w:val="none"/>
                <w:shd w:val="clear"/>
              </w:rPr>
              <w:t>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2.9</w:t>
            </w:r>
            <w:r>
              <w:rPr>
                <w:rFonts w:hint="eastAsia" w:asciiTheme="minorEastAsia" w:hAnsiTheme="minorEastAsia" w:eastAsiaTheme="minorEastAsia" w:cstheme="minorEastAsia"/>
                <w:i w:val="0"/>
                <w:iCs w:val="0"/>
                <w:caps w:val="0"/>
                <w:color w:val="auto"/>
                <w:spacing w:val="0"/>
                <w:sz w:val="22"/>
                <w:szCs w:val="22"/>
                <w:highlight w:val="none"/>
                <w:shd w:val="clear"/>
              </w:rPr>
              <w:t>因上传资料不完整或不准确，或者前期准备工作不充分等原因，影响</w:t>
            </w:r>
            <w:r>
              <w:rPr>
                <w:rFonts w:hint="eastAsia" w:asciiTheme="minorEastAsia" w:hAnsiTheme="minorEastAsia" w:cstheme="minorEastAsia"/>
                <w:i w:val="0"/>
                <w:iCs w:val="0"/>
                <w:caps w:val="0"/>
                <w:color w:val="auto"/>
                <w:spacing w:val="0"/>
                <w:sz w:val="22"/>
                <w:szCs w:val="22"/>
                <w:highlight w:val="none"/>
                <w:shd w:val="clear"/>
                <w:lang w:val="en-US" w:eastAsia="zh-CN"/>
              </w:rPr>
              <w:t>招投标</w:t>
            </w:r>
            <w:r>
              <w:rPr>
                <w:rFonts w:hint="eastAsia" w:asciiTheme="minorEastAsia" w:hAnsiTheme="minorEastAsia" w:eastAsiaTheme="minorEastAsia" w:cstheme="minorEastAsia"/>
                <w:i w:val="0"/>
                <w:iCs w:val="0"/>
                <w:caps w:val="0"/>
                <w:color w:val="auto"/>
                <w:spacing w:val="0"/>
                <w:sz w:val="22"/>
                <w:szCs w:val="22"/>
                <w:highlight w:val="none"/>
                <w:shd w:val="clear"/>
              </w:rPr>
              <w:t>程序的，每次扣1分，导致延时</w:t>
            </w:r>
            <w:r>
              <w:rPr>
                <w:rFonts w:hint="eastAsia" w:asciiTheme="minorEastAsia" w:hAnsiTheme="minorEastAsia" w:cstheme="minorEastAsia"/>
                <w:i w:val="0"/>
                <w:iCs w:val="0"/>
                <w:caps w:val="0"/>
                <w:color w:val="auto"/>
                <w:spacing w:val="0"/>
                <w:sz w:val="22"/>
                <w:szCs w:val="22"/>
                <w:highlight w:val="none"/>
                <w:shd w:val="clear"/>
                <w:lang w:val="en-US" w:eastAsia="zh-CN"/>
              </w:rPr>
              <w:t>发布公告、</w:t>
            </w:r>
            <w:r>
              <w:rPr>
                <w:rFonts w:hint="eastAsia" w:asciiTheme="minorEastAsia" w:hAnsiTheme="minorEastAsia" w:eastAsiaTheme="minorEastAsia" w:cstheme="minorEastAsia"/>
                <w:i w:val="0"/>
                <w:iCs w:val="0"/>
                <w:caps w:val="0"/>
                <w:color w:val="auto"/>
                <w:spacing w:val="0"/>
                <w:sz w:val="22"/>
                <w:szCs w:val="22"/>
                <w:highlight w:val="none"/>
                <w:shd w:val="clear"/>
              </w:rPr>
              <w:t>开标、影响开评标结果或者造成不良后果的，每次扣3分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2.10</w:t>
            </w:r>
            <w:r>
              <w:rPr>
                <w:rFonts w:hint="eastAsia" w:asciiTheme="minorEastAsia" w:hAnsiTheme="minorEastAsia" w:eastAsiaTheme="minorEastAsia" w:cstheme="minorEastAsia"/>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2.11</w:t>
            </w:r>
            <w:r>
              <w:rPr>
                <w:rFonts w:hint="eastAsia" w:asciiTheme="minorEastAsia" w:hAnsiTheme="minorEastAsia" w:eastAsiaTheme="minorEastAsia" w:cstheme="minorEastAsia"/>
                <w:i w:val="0"/>
                <w:iCs w:val="0"/>
                <w:caps w:val="0"/>
                <w:color w:val="auto"/>
                <w:spacing w:val="0"/>
                <w:sz w:val="22"/>
                <w:szCs w:val="22"/>
                <w:highlight w:val="none"/>
                <w:shd w:val="clear"/>
              </w:rPr>
              <w:t>评标结束后未及时推送中标候选人应公示公告的相关数据或者中标候选人公示或中标公告内容存在明显失误或错误的，每次扣 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2.12</w:t>
            </w:r>
            <w:r>
              <w:rPr>
                <w:rFonts w:hint="eastAsia" w:asciiTheme="minorEastAsia" w:hAnsiTheme="minorEastAsia" w:eastAsiaTheme="minorEastAsia" w:cstheme="minorEastAsia"/>
                <w:i w:val="0"/>
                <w:iCs w:val="0"/>
                <w:caps w:val="0"/>
                <w:color w:val="auto"/>
                <w:spacing w:val="0"/>
                <w:sz w:val="22"/>
                <w:szCs w:val="22"/>
                <w:highlight w:val="none"/>
                <w:shd w:val="clear"/>
              </w:rPr>
              <w:t>未按招标文件规定组织开、评标活动，每次扣2分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vAlign w:val="center"/>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2.13</w:t>
            </w:r>
            <w:r>
              <w:rPr>
                <w:rFonts w:hint="eastAsia" w:asciiTheme="minorEastAsia" w:hAnsiTheme="minorEastAsia" w:eastAsiaTheme="minorEastAsia" w:cstheme="minorEastAsia"/>
                <w:i w:val="0"/>
                <w:iCs w:val="0"/>
                <w:caps w:val="0"/>
                <w:color w:val="auto"/>
                <w:spacing w:val="0"/>
                <w:sz w:val="22"/>
                <w:szCs w:val="22"/>
                <w:highlight w:val="none"/>
                <w:shd w:val="clear"/>
              </w:rPr>
              <w:t>代理过程中，因存在过失，导致项目流标的，每次扣5分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2.14</w:t>
            </w:r>
            <w:r>
              <w:rPr>
                <w:rFonts w:hint="eastAsia" w:asciiTheme="minorEastAsia" w:hAnsiTheme="minorEastAsia" w:eastAsiaTheme="minorEastAsia" w:cstheme="minorEastAsia"/>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1305"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5412"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2.15招标文件编制</w:t>
            </w:r>
            <w:r>
              <w:rPr>
                <w:rFonts w:hint="eastAsia" w:asciiTheme="minorEastAsia" w:hAnsiTheme="minorEastAsia" w:eastAsiaTheme="minorEastAsia" w:cstheme="minorEastAsia"/>
                <w:b w:val="0"/>
                <w:bCs w:val="0"/>
                <w:color w:val="auto"/>
                <w:sz w:val="22"/>
                <w:szCs w:val="22"/>
                <w:highlight w:val="none"/>
                <w:vertAlign w:val="baseline"/>
                <w:lang w:val="en-US" w:eastAsia="zh-CN"/>
              </w:rPr>
              <w:t>未</w:t>
            </w:r>
            <w:r>
              <w:rPr>
                <w:rFonts w:hint="eastAsia" w:asciiTheme="minorEastAsia" w:hAnsiTheme="minorEastAsia" w:cstheme="minorEastAsia"/>
                <w:b w:val="0"/>
                <w:bCs w:val="0"/>
                <w:color w:val="auto"/>
                <w:sz w:val="22"/>
                <w:szCs w:val="22"/>
                <w:highlight w:val="none"/>
                <w:vertAlign w:val="baseline"/>
                <w:lang w:val="en-US" w:eastAsia="zh-CN"/>
              </w:rPr>
              <w:t>按市代建中心要求的时间提供，</w:t>
            </w:r>
            <w:r>
              <w:rPr>
                <w:rFonts w:hint="eastAsia" w:asciiTheme="minorEastAsia" w:hAnsiTheme="minorEastAsia" w:eastAsiaTheme="minorEastAsia" w:cstheme="minorEastAsia"/>
                <w:i w:val="0"/>
                <w:iCs w:val="0"/>
                <w:caps w:val="0"/>
                <w:color w:val="auto"/>
                <w:spacing w:val="0"/>
                <w:sz w:val="22"/>
                <w:szCs w:val="22"/>
                <w:highlight w:val="none"/>
                <w:shd w:val="clear"/>
              </w:rPr>
              <w:t>每次</w:t>
            </w:r>
            <w:r>
              <w:rPr>
                <w:rFonts w:hint="eastAsia" w:asciiTheme="minorEastAsia" w:hAnsiTheme="minorEastAsia" w:eastAsiaTheme="minorEastAsia" w:cstheme="minorEastAsia"/>
                <w:b w:val="0"/>
                <w:bCs w:val="0"/>
                <w:color w:val="auto"/>
                <w:sz w:val="22"/>
                <w:szCs w:val="22"/>
                <w:highlight w:val="none"/>
                <w:vertAlign w:val="baseline"/>
                <w:lang w:val="en-US" w:eastAsia="zh-CN"/>
              </w:rPr>
              <w:t>扣</w:t>
            </w:r>
            <w:r>
              <w:rPr>
                <w:rFonts w:hint="eastAsia" w:asciiTheme="minorEastAsia" w:hAnsiTheme="minorEastAsia" w:cstheme="minorEastAsia"/>
                <w:b w:val="0"/>
                <w:bCs w:val="0"/>
                <w:color w:val="auto"/>
                <w:sz w:val="22"/>
                <w:szCs w:val="22"/>
                <w:highlight w:val="none"/>
                <w:vertAlign w:val="baseline"/>
                <w:lang w:val="en-US" w:eastAsia="zh-CN"/>
              </w:rPr>
              <w:t>3</w:t>
            </w:r>
            <w:r>
              <w:rPr>
                <w:rFonts w:hint="eastAsia" w:asciiTheme="minorEastAsia" w:hAnsiTheme="minorEastAsia" w:eastAsiaTheme="minorEastAsia" w:cstheme="minorEastAsia"/>
                <w:b w:val="0"/>
                <w:bCs w:val="0"/>
                <w:color w:val="auto"/>
                <w:sz w:val="22"/>
                <w:szCs w:val="22"/>
                <w:highlight w:val="none"/>
                <w:vertAlign w:val="baseline"/>
                <w:lang w:val="en-US" w:eastAsia="zh-CN"/>
              </w:rPr>
              <w:t>分</w:t>
            </w:r>
            <w:r>
              <w:rPr>
                <w:rFonts w:hint="eastAsia" w:asciiTheme="minorEastAsia" w:hAnsiTheme="minorEastAsia" w:eastAsiaTheme="minorEastAsia" w:cstheme="minorEastAsia"/>
                <w:b w:val="0"/>
                <w:bCs w:val="0"/>
                <w:color w:val="auto"/>
                <w:sz w:val="22"/>
                <w:szCs w:val="22"/>
                <w:highlight w:val="none"/>
                <w:vertAlign w:val="baseline"/>
                <w:lang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vMerge w:val="continue"/>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cstheme="minorEastAsia"/>
                <w:b/>
                <w:bCs/>
                <w:color w:val="auto"/>
                <w:sz w:val="22"/>
                <w:szCs w:val="22"/>
                <w:highlight w:val="none"/>
                <w:vertAlign w:val="baseline"/>
                <w:lang w:val="en-US" w:eastAsia="zh-CN"/>
              </w:rPr>
              <w:t>三</w:t>
            </w:r>
            <w:r>
              <w:rPr>
                <w:rFonts w:hint="eastAsia" w:asciiTheme="minorEastAsia" w:hAnsiTheme="minorEastAsia" w:eastAsiaTheme="minorEastAsia" w:cstheme="minorEastAsia"/>
                <w:b/>
                <w:bCs/>
                <w:color w:val="auto"/>
                <w:sz w:val="22"/>
                <w:szCs w:val="22"/>
                <w:highlight w:val="none"/>
                <w:vertAlign w:val="baseline"/>
                <w:lang w:eastAsia="zh-CN"/>
              </w:rPr>
              <w:t>、其它情况（</w:t>
            </w:r>
            <w:r>
              <w:rPr>
                <w:rFonts w:hint="eastAsia" w:asciiTheme="minorEastAsia" w:hAnsiTheme="minorEastAsia" w:cstheme="minorEastAsia"/>
                <w:b/>
                <w:bCs/>
                <w:color w:val="auto"/>
                <w:sz w:val="22"/>
                <w:szCs w:val="22"/>
                <w:highlight w:val="none"/>
                <w:vertAlign w:val="baseline"/>
                <w:lang w:val="en-US" w:eastAsia="zh-CN"/>
              </w:rPr>
              <w:t>2</w:t>
            </w:r>
            <w:r>
              <w:rPr>
                <w:rFonts w:hint="eastAsia" w:asciiTheme="minorEastAsia" w:hAnsiTheme="minorEastAsia" w:eastAsiaTheme="minorEastAsia" w:cstheme="minorEastAsia"/>
                <w:b/>
                <w:bCs/>
                <w:color w:val="auto"/>
                <w:sz w:val="22"/>
                <w:szCs w:val="22"/>
                <w:highlight w:val="none"/>
                <w:vertAlign w:val="baseline"/>
                <w:lang w:val="en-US" w:eastAsia="zh-CN"/>
              </w:rPr>
              <w:t>0分</w:t>
            </w:r>
            <w:r>
              <w:rPr>
                <w:rFonts w:hint="eastAsia" w:asciiTheme="minorEastAsia" w:hAnsiTheme="minorEastAsia" w:eastAsiaTheme="minorEastAsia" w:cstheme="minorEastAsia"/>
                <w:b/>
                <w:bCs/>
                <w:color w:val="auto"/>
                <w:sz w:val="22"/>
                <w:szCs w:val="22"/>
                <w:highlight w:val="none"/>
                <w:vertAlign w:val="baseline"/>
                <w:lang w:eastAsia="zh-CN"/>
              </w:rPr>
              <w:t>）</w:t>
            </w:r>
          </w:p>
        </w:tc>
        <w:tc>
          <w:tcPr>
            <w:tcW w:w="1305" w:type="dxa"/>
          </w:tcPr>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p>
            <w:pPr>
              <w:widowControl/>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r>
              <w:rPr>
                <w:rFonts w:hint="eastAsia" w:asciiTheme="minorEastAsia" w:hAnsiTheme="minorEastAsia" w:eastAsiaTheme="minorEastAsia" w:cstheme="minorEastAsia"/>
                <w:b w:val="0"/>
                <w:bCs w:val="0"/>
                <w:color w:val="auto"/>
                <w:kern w:val="2"/>
                <w:sz w:val="22"/>
                <w:szCs w:val="22"/>
                <w:highlight w:val="none"/>
                <w:lang w:val="en-US" w:eastAsia="zh-CN" w:bidi="ar"/>
              </w:rPr>
              <w:t>廉政纪律</w:t>
            </w:r>
            <w:r>
              <w:rPr>
                <w:rFonts w:hint="eastAsia" w:asciiTheme="minorEastAsia" w:hAnsiTheme="minorEastAsia" w:cstheme="minorEastAsia"/>
                <w:b w:val="0"/>
                <w:bCs w:val="0"/>
                <w:color w:val="auto"/>
                <w:sz w:val="22"/>
                <w:szCs w:val="22"/>
                <w:highlight w:val="none"/>
                <w:vertAlign w:val="baseline"/>
                <w:lang w:val="en-US" w:eastAsia="zh-CN"/>
              </w:rPr>
              <w:t>（20分）</w:t>
            </w:r>
          </w:p>
        </w:tc>
        <w:tc>
          <w:tcPr>
            <w:tcW w:w="5412" w:type="dxa"/>
          </w:tcPr>
          <w:p>
            <w:pPr>
              <w:widowControl w:val="0"/>
              <w:numPr>
                <w:ilvl w:val="0"/>
                <w:numId w:val="0"/>
              </w:numPr>
              <w:jc w:val="left"/>
              <w:rPr>
                <w:rFonts w:hint="default" w:asciiTheme="minorEastAsia" w:hAnsiTheme="minorEastAsia" w:cstheme="minorEastAsia"/>
                <w:i w:val="0"/>
                <w:iCs w:val="0"/>
                <w:caps w:val="0"/>
                <w:color w:val="auto"/>
                <w:spacing w:val="0"/>
                <w:sz w:val="22"/>
                <w:szCs w:val="22"/>
                <w:highlight w:val="none"/>
                <w:shd w:val="clear"/>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招标代理机构存在以下情形之一的，扣</w:t>
            </w:r>
            <w:r>
              <w:rPr>
                <w:rFonts w:hint="default" w:asciiTheme="minorEastAsia" w:hAnsiTheme="minorEastAsia" w:cstheme="minorEastAsia"/>
                <w:i w:val="0"/>
                <w:iCs w:val="0"/>
                <w:caps w:val="0"/>
                <w:color w:val="auto"/>
                <w:spacing w:val="0"/>
                <w:sz w:val="22"/>
                <w:szCs w:val="22"/>
                <w:highlight w:val="none"/>
                <w:shd w:val="clear"/>
                <w:lang w:val="en-US" w:eastAsia="zh-CN"/>
              </w:rPr>
              <w:t>20</w:t>
            </w:r>
            <w:r>
              <w:rPr>
                <w:rFonts w:hint="eastAsia" w:asciiTheme="minorEastAsia" w:hAnsiTheme="minorEastAsia" w:cstheme="minorEastAsia"/>
                <w:i w:val="0"/>
                <w:iCs w:val="0"/>
                <w:caps w:val="0"/>
                <w:color w:val="auto"/>
                <w:spacing w:val="0"/>
                <w:sz w:val="22"/>
                <w:szCs w:val="22"/>
                <w:highlight w:val="none"/>
                <w:shd w:val="clear"/>
                <w:lang w:val="en-US" w:eastAsia="zh-CN"/>
              </w:rPr>
              <w:t>分。</w:t>
            </w:r>
          </w:p>
          <w:p>
            <w:pPr>
              <w:widowControl w:val="0"/>
              <w:numPr>
                <w:ilvl w:val="0"/>
                <w:numId w:val="0"/>
              </w:numPr>
              <w:jc w:val="left"/>
              <w:rPr>
                <w:rFonts w:hint="eastAsia" w:asciiTheme="minorEastAsia" w:hAnsiTheme="minorEastAsia" w:eastAsiaTheme="minorEastAsia" w:cstheme="minorEastAsia"/>
                <w:i w:val="0"/>
                <w:iCs w:val="0"/>
                <w:caps w:val="0"/>
                <w:color w:val="auto"/>
                <w:spacing w:val="0"/>
                <w:sz w:val="22"/>
                <w:szCs w:val="22"/>
                <w:highlight w:val="none"/>
                <w:shd w:val="clear"/>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3.1</w:t>
            </w:r>
            <w:r>
              <w:rPr>
                <w:rFonts w:hint="eastAsia" w:asciiTheme="minorEastAsia" w:hAnsiTheme="minorEastAsia" w:eastAsiaTheme="minorEastAsia" w:cstheme="minorEastAsia"/>
                <w:i w:val="0"/>
                <w:iCs w:val="0"/>
                <w:caps w:val="0"/>
                <w:color w:val="auto"/>
                <w:spacing w:val="0"/>
                <w:sz w:val="22"/>
                <w:szCs w:val="22"/>
                <w:highlight w:val="none"/>
                <w:shd w:val="clear"/>
              </w:rPr>
              <w:t>与招标人、投标人串通招投标的</w:t>
            </w:r>
            <w:r>
              <w:rPr>
                <w:rFonts w:hint="eastAsia" w:asciiTheme="minorEastAsia" w:hAnsiTheme="minorEastAsia" w:cstheme="minorEastAsia"/>
                <w:i w:val="0"/>
                <w:iCs w:val="0"/>
                <w:caps w:val="0"/>
                <w:color w:val="auto"/>
                <w:spacing w:val="0"/>
                <w:sz w:val="22"/>
                <w:szCs w:val="22"/>
                <w:highlight w:val="none"/>
                <w:shd w:val="clear"/>
                <w:lang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3.2</w:t>
            </w:r>
            <w:r>
              <w:rPr>
                <w:rFonts w:hint="eastAsia" w:asciiTheme="minorEastAsia" w:hAnsiTheme="minorEastAsia" w:eastAsiaTheme="minorEastAsia" w:cstheme="minorEastAsia"/>
                <w:i w:val="0"/>
                <w:iCs w:val="0"/>
                <w:caps w:val="0"/>
                <w:color w:val="auto"/>
                <w:spacing w:val="0"/>
                <w:sz w:val="22"/>
                <w:szCs w:val="22"/>
                <w:highlight w:val="none"/>
                <w:shd w:val="clear"/>
              </w:rPr>
              <w:t>在招投标活动中有行贿或受贿行为的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3.3</w:t>
            </w:r>
            <w:r>
              <w:rPr>
                <w:rFonts w:hint="eastAsia" w:asciiTheme="minorEastAsia" w:hAnsiTheme="minorEastAsia" w:eastAsiaTheme="minorEastAsia" w:cstheme="minorEastAsia"/>
                <w:i w:val="0"/>
                <w:iCs w:val="0"/>
                <w:caps w:val="0"/>
                <w:color w:val="auto"/>
                <w:spacing w:val="0"/>
                <w:sz w:val="22"/>
                <w:szCs w:val="22"/>
                <w:highlight w:val="none"/>
                <w:shd w:val="clear"/>
              </w:rPr>
              <w:t>接受同一项目的招标代理和投标咨询业务的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3.4</w:t>
            </w:r>
            <w:r>
              <w:rPr>
                <w:rFonts w:hint="eastAsia" w:asciiTheme="minorEastAsia" w:hAnsiTheme="minorEastAsia" w:eastAsiaTheme="minorEastAsia" w:cstheme="minorEastAsia"/>
                <w:i w:val="0"/>
                <w:iCs w:val="0"/>
                <w:caps w:val="0"/>
                <w:color w:val="auto"/>
                <w:spacing w:val="0"/>
                <w:sz w:val="22"/>
                <w:szCs w:val="22"/>
                <w:highlight w:val="none"/>
                <w:shd w:val="clear"/>
              </w:rPr>
              <w:t>泄露应当保密的与招投标活动有关的情况和资料的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3.5</w:t>
            </w:r>
            <w:r>
              <w:rPr>
                <w:rFonts w:hint="eastAsia" w:asciiTheme="minorEastAsia" w:hAnsiTheme="minorEastAsia" w:eastAsiaTheme="minorEastAsia" w:cstheme="minorEastAsia"/>
                <w:i w:val="0"/>
                <w:iCs w:val="0"/>
                <w:caps w:val="0"/>
                <w:color w:val="auto"/>
                <w:spacing w:val="0"/>
                <w:sz w:val="22"/>
                <w:szCs w:val="22"/>
                <w:highlight w:val="none"/>
                <w:shd w:val="clear"/>
              </w:rPr>
              <w:t>私自转让代理或咨询业务的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i w:val="0"/>
                <w:iCs w:val="0"/>
                <w:caps w:val="0"/>
                <w:color w:val="auto"/>
                <w:spacing w:val="0"/>
                <w:sz w:val="22"/>
                <w:szCs w:val="22"/>
                <w:highlight w:val="none"/>
                <w:shd w:val="clear"/>
                <w:lang w:val="en-US" w:eastAsia="zh-CN"/>
              </w:rPr>
              <w:t>3.6</w:t>
            </w:r>
            <w:r>
              <w:rPr>
                <w:rFonts w:hint="eastAsia" w:asciiTheme="minorEastAsia" w:hAnsiTheme="minorEastAsia" w:eastAsiaTheme="minorEastAsia" w:cstheme="minorEastAsia"/>
                <w:i w:val="0"/>
                <w:iCs w:val="0"/>
                <w:caps w:val="0"/>
                <w:color w:val="auto"/>
                <w:spacing w:val="0"/>
                <w:sz w:val="22"/>
                <w:szCs w:val="22"/>
                <w:highlight w:val="none"/>
                <w:shd w:val="clear"/>
              </w:rPr>
              <w:t>泄露在咨询服务活动中获取的商业秘密和技术秘密的</w:t>
            </w:r>
            <w:r>
              <w:rPr>
                <w:rFonts w:hint="eastAsia" w:asciiTheme="minorEastAsia" w:hAnsiTheme="minorEastAsia" w:eastAsiaTheme="minorEastAsia" w:cstheme="minorEastAsia"/>
                <w:b w:val="0"/>
                <w:bCs w:val="0"/>
                <w:color w:val="auto"/>
                <w:sz w:val="22"/>
                <w:szCs w:val="22"/>
                <w:highlight w:val="none"/>
                <w:vertAlign w:val="baseline"/>
                <w:lang w:val="en-US" w:eastAsia="zh-CN"/>
              </w:rPr>
              <w:t>。</w:t>
            </w:r>
          </w:p>
        </w:tc>
        <w:tc>
          <w:tcPr>
            <w:tcW w:w="82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c>
          <w:tcPr>
            <w:tcW w:w="810"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747" w:type="dxa"/>
            <w:gridSpan w:val="5"/>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val="0"/>
                <w:bCs w:val="0"/>
                <w:color w:val="auto"/>
                <w:sz w:val="22"/>
                <w:szCs w:val="22"/>
                <w:highlight w:val="none"/>
                <w:vertAlign w:val="baseline"/>
                <w:lang w:eastAsia="zh-CN"/>
              </w:rPr>
              <w:t>合计：</w:t>
            </w:r>
            <w:r>
              <w:rPr>
                <w:rFonts w:hint="eastAsia" w:asciiTheme="minorEastAsia" w:hAnsiTheme="minorEastAsia" w:eastAsiaTheme="minorEastAsia" w:cstheme="minorEastAsia"/>
                <w:b w:val="0"/>
                <w:bCs w:val="0"/>
                <w:color w:val="auto"/>
                <w:sz w:val="22"/>
                <w:szCs w:val="22"/>
                <w:highlight w:val="none"/>
                <w:vertAlign w:val="baseline"/>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加分项</w:t>
            </w:r>
          </w:p>
        </w:tc>
        <w:tc>
          <w:tcPr>
            <w:tcW w:w="6717" w:type="dxa"/>
            <w:gridSpan w:val="2"/>
          </w:tcPr>
          <w:p>
            <w:pPr>
              <w:widowControl w:val="0"/>
              <w:numPr>
                <w:ilvl w:val="0"/>
                <w:numId w:val="0"/>
              </w:numPr>
              <w:jc w:val="left"/>
              <w:rPr>
                <w:rFonts w:hint="default"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4</w:t>
            </w:r>
            <w:r>
              <w:rPr>
                <w:rFonts w:hint="default" w:asciiTheme="minorEastAsia" w:hAnsiTheme="minorEastAsia" w:eastAsiaTheme="minorEastAsia" w:cstheme="minorEastAsia"/>
                <w:b w:val="0"/>
                <w:bCs w:val="0"/>
                <w:color w:val="auto"/>
                <w:sz w:val="22"/>
                <w:szCs w:val="22"/>
                <w:highlight w:val="none"/>
                <w:vertAlign w:val="baseline"/>
                <w:lang w:val="en-US" w:eastAsia="zh-CN"/>
              </w:rPr>
              <w:t>.1及时反映招标活动中的违法行为，被查属实的，加</w:t>
            </w:r>
            <w:r>
              <w:rPr>
                <w:rFonts w:hint="eastAsia" w:asciiTheme="minorEastAsia" w:hAnsiTheme="minorEastAsia" w:eastAsiaTheme="minorEastAsia" w:cstheme="minorEastAsia"/>
                <w:b w:val="0"/>
                <w:bCs w:val="0"/>
                <w:color w:val="auto"/>
                <w:sz w:val="22"/>
                <w:szCs w:val="22"/>
                <w:highlight w:val="none"/>
                <w:shd w:val="clear"/>
                <w:vertAlign w:val="baseline"/>
                <w:lang w:val="en-US" w:eastAsia="zh-CN"/>
              </w:rPr>
              <w:t>5</w:t>
            </w:r>
            <w:r>
              <w:rPr>
                <w:rFonts w:hint="default" w:asciiTheme="minorEastAsia" w:hAnsiTheme="minorEastAsia" w:eastAsiaTheme="minorEastAsia" w:cstheme="minorEastAsia"/>
                <w:b w:val="0"/>
                <w:bCs w:val="0"/>
                <w:color w:val="auto"/>
                <w:sz w:val="22"/>
                <w:szCs w:val="22"/>
                <w:highlight w:val="none"/>
                <w:vertAlign w:val="baseline"/>
                <w:lang w:val="en-US" w:eastAsia="zh-CN"/>
              </w:rPr>
              <w:t>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4</w:t>
            </w:r>
            <w:r>
              <w:rPr>
                <w:rFonts w:hint="default" w:asciiTheme="minorEastAsia" w:hAnsiTheme="minorEastAsia" w:eastAsiaTheme="minorEastAsia" w:cstheme="minorEastAsia"/>
                <w:b w:val="0"/>
                <w:bCs w:val="0"/>
                <w:color w:val="auto"/>
                <w:sz w:val="22"/>
                <w:szCs w:val="22"/>
                <w:highlight w:val="none"/>
                <w:vertAlign w:val="baseline"/>
                <w:lang w:val="en-US" w:eastAsia="zh-CN"/>
              </w:rPr>
              <w:t>.2</w:t>
            </w:r>
            <w:r>
              <w:rPr>
                <w:rFonts w:hint="eastAsia" w:asciiTheme="minorEastAsia" w:hAnsiTheme="minorEastAsia" w:eastAsiaTheme="minorEastAsia" w:cstheme="minorEastAsia"/>
                <w:i w:val="0"/>
                <w:iCs w:val="0"/>
                <w:caps w:val="0"/>
                <w:color w:val="auto"/>
                <w:spacing w:val="0"/>
                <w:sz w:val="22"/>
                <w:szCs w:val="22"/>
                <w:highlight w:val="none"/>
                <w:shd w:val="clear"/>
              </w:rPr>
              <w:t>被相关管理部门书面表扬的，</w:t>
            </w:r>
            <w:r>
              <w:rPr>
                <w:rFonts w:hint="default" w:asciiTheme="minorEastAsia" w:hAnsiTheme="minorEastAsia" w:eastAsiaTheme="minorEastAsia" w:cstheme="minorEastAsia"/>
                <w:b w:val="0"/>
                <w:bCs w:val="0"/>
                <w:color w:val="auto"/>
                <w:sz w:val="22"/>
                <w:szCs w:val="22"/>
                <w:highlight w:val="none"/>
                <w:vertAlign w:val="baseline"/>
                <w:lang w:val="en-US" w:eastAsia="zh-CN"/>
              </w:rPr>
              <w:t>国家级加15分，省级加10分，市级加5分。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bCs/>
                <w:color w:val="auto"/>
                <w:sz w:val="22"/>
                <w:szCs w:val="22"/>
                <w:highlight w:val="none"/>
                <w:vertAlign w:val="baseline"/>
                <w:lang w:val="en-US" w:eastAsia="zh-CN"/>
              </w:rPr>
            </w:pP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扣分项</w:t>
            </w:r>
          </w:p>
        </w:tc>
        <w:tc>
          <w:tcPr>
            <w:tcW w:w="6717"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val="0"/>
                <w:bCs w:val="0"/>
                <w:color w:val="auto"/>
                <w:sz w:val="22"/>
                <w:szCs w:val="22"/>
                <w:highlight w:val="none"/>
                <w:vertAlign w:val="baseline"/>
                <w:lang w:val="en-US" w:eastAsia="zh-CN"/>
              </w:rPr>
              <w:t>因违反合同约定，收到</w:t>
            </w:r>
            <w:r>
              <w:rPr>
                <w:rFonts w:hint="eastAsia" w:asciiTheme="minorEastAsia" w:hAnsiTheme="minorEastAsia" w:cstheme="minorEastAsia"/>
                <w:b w:val="0"/>
                <w:bCs w:val="0"/>
                <w:color w:val="auto"/>
                <w:sz w:val="22"/>
                <w:szCs w:val="22"/>
                <w:highlight w:val="none"/>
                <w:vertAlign w:val="baseline"/>
                <w:lang w:val="en-US" w:eastAsia="zh-CN"/>
              </w:rPr>
              <w:t>市代建中心</w:t>
            </w:r>
            <w:r>
              <w:rPr>
                <w:rFonts w:hint="eastAsia" w:asciiTheme="minorEastAsia" w:hAnsiTheme="minorEastAsia" w:eastAsiaTheme="minorEastAsia" w:cstheme="minorEastAsia"/>
                <w:b w:val="0"/>
                <w:bCs w:val="0"/>
                <w:color w:val="auto"/>
                <w:sz w:val="22"/>
                <w:szCs w:val="22"/>
                <w:highlight w:val="none"/>
                <w:vertAlign w:val="baseline"/>
                <w:lang w:val="en-US" w:eastAsia="zh-CN"/>
              </w:rPr>
              <w:t>发出书面违约通知，给予以下处理：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.1评价年度违约金额累计达到合同金额的0.5%以下，扣3分。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.2评价年度违约金额累计达到合同金额的0.6%-1.5%，扣6分。</w:t>
            </w:r>
          </w:p>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w:t>
            </w:r>
            <w:r>
              <w:rPr>
                <w:rFonts w:hint="eastAsia" w:asciiTheme="minorEastAsia" w:hAnsiTheme="minorEastAsia" w:eastAsiaTheme="minorEastAsia" w:cstheme="minorEastAsia"/>
                <w:b w:val="0"/>
                <w:bCs w:val="0"/>
                <w:color w:val="auto"/>
                <w:sz w:val="22"/>
                <w:szCs w:val="22"/>
                <w:highlight w:val="none"/>
                <w:vertAlign w:val="baseline"/>
                <w:lang w:val="en-US" w:eastAsia="zh-CN"/>
              </w:rPr>
              <w:t>.3评价年度违约金额累计达到合同金额的1.6%以上的，扣10分。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ind w:firstLine="660" w:firstLineChars="30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c>
          <w:tcPr>
            <w:tcW w:w="6717"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cstheme="minorEastAsia"/>
                <w:b w:val="0"/>
                <w:bCs w:val="0"/>
                <w:color w:val="auto"/>
                <w:sz w:val="22"/>
                <w:szCs w:val="22"/>
                <w:highlight w:val="none"/>
                <w:vertAlign w:val="baseline"/>
                <w:lang w:val="en-US" w:eastAsia="zh-CN"/>
              </w:rPr>
              <w:t>5.4招标代理机构</w:t>
            </w:r>
            <w:r>
              <w:rPr>
                <w:rFonts w:hint="eastAsia" w:asciiTheme="minorEastAsia" w:hAnsiTheme="minorEastAsia" w:eastAsiaTheme="minorEastAsia" w:cstheme="minorEastAsia"/>
                <w:b w:val="0"/>
                <w:bCs w:val="0"/>
                <w:color w:val="auto"/>
                <w:sz w:val="22"/>
                <w:szCs w:val="22"/>
                <w:highlight w:val="none"/>
                <w:vertAlign w:val="baseline"/>
                <w:lang w:val="en-US" w:eastAsia="zh-CN"/>
              </w:rPr>
              <w:t>受到行政主管部门的通报或处罚等，每次扣5-10分。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pPr>
              <w:widowControl w:val="0"/>
              <w:numPr>
                <w:ilvl w:val="0"/>
                <w:numId w:val="0"/>
              </w:numPr>
              <w:ind w:firstLine="660" w:firstLineChars="300"/>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c>
          <w:tcPr>
            <w:tcW w:w="6717" w:type="dxa"/>
            <w:gridSpan w:val="2"/>
          </w:tcPr>
          <w:p>
            <w:pPr>
              <w:widowControl w:val="0"/>
              <w:numPr>
                <w:ilvl w:val="0"/>
                <w:numId w:val="0"/>
              </w:numPr>
              <w:jc w:val="left"/>
              <w:rPr>
                <w:rFonts w:hint="default" w:asciiTheme="minorEastAsia" w:hAnsiTheme="minorEastAsia" w:cstheme="minorEastAsia"/>
                <w:b w:val="0"/>
                <w:bCs w:val="0"/>
                <w:color w:val="auto"/>
                <w:sz w:val="22"/>
                <w:szCs w:val="22"/>
                <w:highlight w:val="none"/>
                <w:vertAlign w:val="baseline"/>
                <w:lang w:val="en-US" w:eastAsia="zh-CN"/>
              </w:rPr>
            </w:pPr>
            <w:r>
              <w:rPr>
                <w:rFonts w:hint="default" w:asciiTheme="minorEastAsia" w:hAnsiTheme="minorEastAsia" w:cstheme="minorEastAsia"/>
                <w:b w:val="0"/>
                <w:bCs w:val="0"/>
                <w:color w:val="auto"/>
                <w:sz w:val="22"/>
                <w:szCs w:val="22"/>
                <w:highlight w:val="none"/>
                <w:vertAlign w:val="baseline"/>
                <w:lang w:val="en-US" w:eastAsia="zh-CN"/>
              </w:rPr>
              <w:t>5.5在日常考核中被亮黄牌的，一次扣5分。</w:t>
            </w:r>
          </w:p>
        </w:tc>
        <w:tc>
          <w:tcPr>
            <w:tcW w:w="1635" w:type="dxa"/>
            <w:gridSpan w:val="2"/>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tcPr>
          <w:p>
            <w:pPr>
              <w:widowControl w:val="0"/>
              <w:numPr>
                <w:ilvl w:val="0"/>
                <w:numId w:val="0"/>
              </w:numPr>
              <w:jc w:val="left"/>
              <w:rPr>
                <w:rFonts w:hint="eastAsia" w:asciiTheme="minorEastAsia" w:hAnsiTheme="minorEastAsia" w:eastAsiaTheme="minorEastAsia" w:cstheme="minorEastAsia"/>
                <w:b w:val="0"/>
                <w:bCs w:val="0"/>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总分数（    ）=100分－扣分项（   ）＋加分项（   ）</w:t>
            </w:r>
          </w:p>
        </w:tc>
      </w:tr>
    </w:tbl>
    <w:p>
      <w:pPr>
        <w:numPr>
          <w:ilvl w:val="0"/>
          <w:numId w:val="0"/>
        </w:numPr>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评分说明：</w:t>
      </w:r>
    </w:p>
    <w:p>
      <w:pPr>
        <w:numPr>
          <w:ilvl w:val="0"/>
          <w:numId w:val="1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招标代理机构</w:t>
      </w:r>
      <w:r>
        <w:rPr>
          <w:rFonts w:hint="eastAsia" w:ascii="宋体" w:hAnsi="宋体" w:eastAsia="宋体" w:cs="宋体"/>
          <w:b w:val="0"/>
          <w:bCs w:val="0"/>
          <w:color w:val="auto"/>
          <w:sz w:val="24"/>
          <w:szCs w:val="24"/>
          <w:highlight w:val="none"/>
          <w:lang w:val="en-US" w:eastAsia="zh-CN"/>
        </w:rPr>
        <w:t>如发生违约的，予以扣分处理，最高扣分不超过“评审分项”分值；</w:t>
      </w:r>
    </w:p>
    <w:p>
      <w:pPr>
        <w:numPr>
          <w:ilvl w:val="0"/>
          <w:numId w:val="10"/>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涉及工程项目的，以单项工程（合同/标段）为评价记录，有多项不良行为的则分别扣分。</w:t>
      </w:r>
    </w:p>
    <w:p>
      <w:pPr>
        <w:numPr>
          <w:ilvl w:val="0"/>
          <w:numId w:val="10"/>
        </w:numPr>
        <w:bidi w:val="0"/>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同一</w:t>
      </w:r>
      <w:r>
        <w:rPr>
          <w:rFonts w:hint="eastAsia" w:ascii="宋体" w:hAnsi="宋体" w:eastAsia="宋体" w:cs="宋体"/>
          <w:b w:val="0"/>
          <w:bCs w:val="0"/>
          <w:color w:val="auto"/>
          <w:sz w:val="24"/>
          <w:szCs w:val="24"/>
          <w:highlight w:val="none"/>
          <w:vertAlign w:val="baseline"/>
          <w:lang w:val="en-US" w:eastAsia="zh-CN"/>
        </w:rPr>
        <w:t>招标代理机构</w:t>
      </w:r>
      <w:r>
        <w:rPr>
          <w:rFonts w:hint="eastAsia" w:ascii="宋体" w:hAnsi="宋体" w:eastAsia="宋体" w:cs="宋体"/>
          <w:b w:val="0"/>
          <w:bCs w:val="0"/>
          <w:color w:val="auto"/>
          <w:sz w:val="24"/>
          <w:szCs w:val="24"/>
          <w:highlight w:val="none"/>
          <w:lang w:val="en-US" w:eastAsia="zh-CN"/>
        </w:rPr>
        <w:t>、同一项目获得同一性质不同级别荣誉，只取最高级别加分。</w:t>
      </w:r>
    </w:p>
    <w:p>
      <w:pPr>
        <w:numPr>
          <w:ilvl w:val="0"/>
          <w:numId w:val="10"/>
        </w:numPr>
        <w:bidi w:val="0"/>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考核得分60分及以上为合格。</w:t>
      </w: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9213"/>
      <w:bookmarkStart w:id="66" w:name="_Toc7722"/>
      <w:r>
        <w:rPr>
          <w:rFonts w:hint="eastAsia" w:ascii="宋体" w:hAnsi="宋体" w:eastAsia="宋体" w:cs="宋体"/>
          <w:b/>
          <w:highlight w:val="none"/>
        </w:rPr>
        <w:t>第四章 资格审查</w:t>
      </w:r>
      <w:bookmarkEnd w:id="65"/>
      <w:bookmarkEnd w:id="6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评审小组负责对响应供应商进行资格审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资格审查标准及要求如下：</w:t>
      </w:r>
    </w:p>
    <w:p>
      <w:pPr>
        <w:pStyle w:val="3"/>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2787"/>
      <w:bookmarkStart w:id="68" w:name="_Toc27175"/>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016"/>
        <w:gridCol w:w="5854"/>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评审点具体描述</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委托代理人参加的，提供“法定代表人(负责人)授权委托书”内容齐全。</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01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85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供应商有效的营业执照，或事业单位法人证书，或其他非企业组织证明独立承担民事责任能力的文件。(多证合一的，提供营业执照扫描件)任意一项证明文件扫描件清晰。</w:t>
            </w:r>
          </w:p>
        </w:tc>
      </w:tr>
    </w:tbl>
    <w:p>
      <w:pPr>
        <w:pStyle w:val="3"/>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highlight w:val="none"/>
        </w:rPr>
      </w:pPr>
      <w:bookmarkStart w:id="69" w:name="_Toc19672"/>
      <w:bookmarkStart w:id="70" w:name="_Toc27306"/>
      <w:r>
        <w:rPr>
          <w:rFonts w:hint="eastAsia" w:ascii="宋体" w:hAnsi="宋体" w:eastAsia="宋体" w:cs="宋体"/>
          <w:b/>
          <w:highlight w:val="none"/>
          <w:lang w:val="en-US" w:eastAsia="zh-CN"/>
        </w:rPr>
        <w:t>4.2.特殊资格审查</w:t>
      </w:r>
      <w:bookmarkEnd w:id="69"/>
      <w:bookmarkEnd w:id="70"/>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2881"/>
        <w:gridCol w:w="3844"/>
        <w:gridCol w:w="195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1049"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54"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资格审查要求概况</w:t>
            </w:r>
          </w:p>
        </w:tc>
        <w:tc>
          <w:tcPr>
            <w:tcW w:w="4209"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评审点具体描述</w:t>
            </w:r>
          </w:p>
        </w:tc>
        <w:tc>
          <w:tcPr>
            <w:tcW w:w="2140" w:type="dxa"/>
            <w:tcBorders>
              <w:tl2br w:val="nil"/>
              <w:tr2bl w:val="nil"/>
            </w:tcBorders>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关联格式</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10552" w:type="dxa"/>
            <w:gridSpan w:val="4"/>
            <w:tcBorders>
              <w:tl2br w:val="nil"/>
              <w:tr2bl w:val="nil"/>
            </w:tcBorders>
            <w:vAlign w:val="center"/>
          </w:tcPr>
          <w:p>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bl>
    <w:p>
      <w:pPr>
        <w:bidi w:val="0"/>
        <w:rPr>
          <w:rFonts w:hint="eastAsia" w:ascii="宋体" w:hAnsi="宋体" w:eastAsia="宋体" w:cs="宋体"/>
          <w:highlight w:val="none"/>
          <w:lang w:val="en-US" w:eastAsia="zh-CN"/>
        </w:rPr>
      </w:pPr>
      <w:bookmarkStart w:id="71" w:name="_Toc8427"/>
      <w:bookmarkStart w:id="72" w:name="_Toc26759"/>
    </w:p>
    <w:p>
      <w:pPr>
        <w:pStyle w:val="3"/>
        <w:pageBreakBefore w:val="0"/>
        <w:widowControl/>
        <w:kinsoku w:val="0"/>
        <w:wordWrap/>
        <w:overflowPunct/>
        <w:topLinePunct w:val="0"/>
        <w:autoSpaceDE w:val="0"/>
        <w:autoSpaceDN w:val="0"/>
        <w:bidi w:val="0"/>
        <w:adjustRightInd w:val="0"/>
        <w:snapToGrid w:val="0"/>
        <w:spacing w:beforeLines="0" w:afterLines="0" w:line="360" w:lineRule="auto"/>
        <w:ind w:left="0" w:firstLine="420"/>
        <w:textAlignment w:val="baseline"/>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4.3.落实政府采购政策资格审查</w:t>
      </w:r>
      <w:bookmarkEnd w:id="71"/>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本项目不属于专门面向中小企业采购</w:t>
      </w:r>
      <w:r>
        <w:rPr>
          <w:rFonts w:hint="eastAsia" w:ascii="宋体" w:hAnsi="宋体" w:eastAsia="宋体" w:cs="宋体"/>
          <w:spacing w:val="1"/>
          <w:sz w:val="24"/>
          <w:szCs w:val="24"/>
          <w:highlight w:val="none"/>
        </w:rPr>
        <w:t>。</w:t>
      </w:r>
    </w:p>
    <w:p>
      <w:pPr>
        <w:pStyle w:val="7"/>
        <w:rPr>
          <w:rFonts w:hint="eastAsia"/>
          <w:highlight w:val="none"/>
        </w:rPr>
      </w:pPr>
    </w:p>
    <w:p>
      <w:pPr>
        <w:pStyle w:val="2"/>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73" w:name="_Toc18286"/>
      <w:bookmarkStart w:id="74" w:name="_Toc32749"/>
      <w:r>
        <w:rPr>
          <w:rFonts w:hint="eastAsia" w:ascii="宋体" w:hAnsi="宋体" w:eastAsia="宋体" w:cs="宋体"/>
          <w:b/>
          <w:highlight w:val="none"/>
        </w:rPr>
        <w:t>第五章 入围评审办法</w:t>
      </w:r>
      <w:bookmarkEnd w:id="73"/>
      <w:bookmarkEnd w:id="74"/>
    </w:p>
    <w:p>
      <w:pPr>
        <w:pStyle w:val="3"/>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1352"/>
      <w:bookmarkStart w:id="76" w:name="_Toc23855"/>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一、根据《中华人民共和国政府采购法》、《中华人民共和国政府采购法实施条例》、《政府采购需求管理办法》等法律规章，结合本项目特点制定本评审办法。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二、评审工作由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人负责组织，具体评审事务由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rPr>
        <w:t>评审小组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由评审专家组成。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三、评审工作应遵循公平、公正、科学及择优的原则，并以相同的评审程序和标准对待所有的供应商。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四、评审过程应当独立、保密，任何单位和个人不得非法干预评审活动。供应商非法干预评审活动的，其响应文件将作无效处理；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人及其工作人员非法干预评审活动的，将依法追究其责任。</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4283"/>
      <w:bookmarkStart w:id="78" w:name="_Toc16616"/>
      <w:r>
        <w:rPr>
          <w:rFonts w:hint="eastAsia" w:ascii="宋体" w:hAnsi="宋体" w:eastAsia="宋体" w:cs="宋体"/>
          <w:b/>
          <w:sz w:val="24"/>
          <w:szCs w:val="24"/>
          <w:highlight w:val="none"/>
        </w:rPr>
        <w:t>5.2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rPr>
        <w:t>评审专家构成。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，开展评审活动。出现应当回避的情形时，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人按规定申请补充评审专家；无法及时补充的，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，解封响应文件后，开展评审活动。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文件规定的评审程序、评分方法和标准进行评审，并独立履行下列职责：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(六)起草评审报告并进行签署；</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人或者财政、监察等有关部门报告或举报非法干预评审工作的行为；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人或者有关部门报告评审中发现违法行为；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21572"/>
      <w:bookmarkStart w:id="80" w:name="_Toc13079"/>
      <w:r>
        <w:rPr>
          <w:rFonts w:hint="eastAsia" w:ascii="宋体" w:hAnsi="宋体" w:eastAsia="宋体" w:cs="宋体"/>
          <w:b/>
          <w:sz w:val="24"/>
          <w:szCs w:val="24"/>
          <w:highlight w:val="none"/>
        </w:rPr>
        <w:t>5.3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评审方法</w:t>
      </w:r>
      <w:bookmarkEnd w:id="79"/>
      <w:bookmarkEnd w:id="80"/>
    </w:p>
    <w:p>
      <w:pPr>
        <w:ind w:firstLine="480" w:firstLineChars="200"/>
        <w:rPr>
          <w:rFonts w:hint="eastAsia"/>
          <w:highlight w:val="none"/>
        </w:rPr>
      </w:pPr>
      <w:r>
        <w:rPr>
          <w:rFonts w:hint="eastAsia" w:ascii="宋体" w:hAnsi="宋体" w:eastAsia="宋体" w:cs="宋体"/>
          <w:b w:val="0"/>
          <w:bCs/>
          <w:sz w:val="24"/>
          <w:szCs w:val="24"/>
          <w:highlight w:val="none"/>
          <w:lang w:val="en-US" w:eastAsia="zh-CN"/>
        </w:rPr>
        <w:t>质量优先法</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rPr>
        <w:t>5.4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评审程序</w:t>
      </w:r>
      <w:bookmarkEnd w:id="81"/>
      <w:bookmarkEnd w:id="82"/>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5</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正式评审前，应当对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目技术、服务和商务要求、评审方法和标准以及可能涉及签订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在歧义、重大缺陷的，导致评审无法进行的；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规定的评审方法是价格优先法或质量优先法之外的评审方法，或者虽然名称为价格优先法、质量优先法，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(七)征</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出现上述应当停止评审情形的，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5.4.2</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符合性审查</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6"/>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842"/>
        <w:gridCol w:w="605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审点要求概况</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评</w:t>
            </w:r>
            <w:r>
              <w:rPr>
                <w:rFonts w:hint="eastAsia" w:ascii="宋体" w:hAnsi="宋体" w:eastAsia="宋体" w:cs="宋体"/>
                <w:spacing w:val="11"/>
                <w:sz w:val="24"/>
                <w:szCs w:val="24"/>
                <w:highlight w:val="none"/>
              </w:rPr>
              <w:t>审点具体描述</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响</w:t>
            </w:r>
            <w:r>
              <w:rPr>
                <w:rFonts w:hint="eastAsia" w:ascii="宋体" w:hAnsi="宋体" w:eastAsia="宋体" w:cs="宋体"/>
                <w:spacing w:val="-1"/>
                <w:sz w:val="24"/>
                <w:szCs w:val="24"/>
                <w:highlight w:val="none"/>
              </w:rPr>
              <w:t>应文件封面</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84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050"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认为供应商有任意一项不通过的，应在评审报告中载明不通过的具体原因。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5.4.3</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解释、澄清有关问题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一、评审过程中，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人宣布评审结束之前，供应商应及时响应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5.4.4</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比较与评价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文件中规定的评审细则及标准，对符合性审查合格的响应文件进行商务和技术评估，综合比较和评价。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5.4.5</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确定入围供应商名单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文件规定的淘汰率或者入围供应商数量上限，确定入围供应商。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rPr>
        <w:t>5.4.6</w:t>
      </w:r>
      <w:r>
        <w:rPr>
          <w:rFonts w:hint="eastAsia" w:ascii="宋体" w:hAnsi="宋体" w:eastAsia="宋体" w:cs="宋体"/>
          <w:b/>
          <w:bCs/>
          <w:spacing w:val="12"/>
          <w:sz w:val="24"/>
          <w:szCs w:val="24"/>
          <w:highlight w:val="none"/>
          <w:lang w:val="en-US" w:eastAsia="zh-CN"/>
        </w:rPr>
        <w:t>.</w:t>
      </w:r>
      <w:r>
        <w:rPr>
          <w:rFonts w:hint="eastAsia" w:ascii="宋体" w:hAnsi="宋体" w:eastAsia="宋体" w:cs="宋体"/>
          <w:b/>
          <w:bCs/>
          <w:spacing w:val="12"/>
          <w:sz w:val="24"/>
          <w:szCs w:val="24"/>
          <w:highlight w:val="none"/>
        </w:rPr>
        <w:t>编写评审报告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根据全体评审成员签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的评审记录和评审结果编写的报告，其主要内容包括：</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17115"/>
      <w:bookmarkStart w:id="84" w:name="_Toc26296"/>
      <w:r>
        <w:rPr>
          <w:rFonts w:hint="eastAsia" w:ascii="宋体" w:hAnsi="宋体" w:eastAsia="宋体" w:cs="宋体"/>
          <w:b/>
          <w:sz w:val="24"/>
          <w:szCs w:val="24"/>
          <w:highlight w:val="none"/>
        </w:rPr>
        <w:t>5.5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评审争议处理规则</w:t>
      </w:r>
      <w:bookmarkEnd w:id="83"/>
      <w:bookmarkEnd w:id="84"/>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pPr>
        <w:pStyle w:val="3"/>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7497"/>
      <w:bookmarkStart w:id="86" w:name="_Toc12787"/>
      <w:r>
        <w:rPr>
          <w:rFonts w:hint="eastAsia" w:ascii="宋体" w:hAnsi="宋体" w:eastAsia="宋体" w:cs="宋体"/>
          <w:b/>
          <w:sz w:val="24"/>
          <w:szCs w:val="24"/>
          <w:highlight w:val="none"/>
        </w:rPr>
        <w:t>5.6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评审细则及标准</w:t>
      </w:r>
      <w:bookmarkEnd w:id="85"/>
      <w:bookmarkEnd w:id="86"/>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rPr>
        <w:t>5.</w:t>
      </w:r>
      <w:r>
        <w:rPr>
          <w:rFonts w:hint="eastAsia" w:ascii="宋体" w:hAnsi="宋体" w:eastAsia="宋体" w:cs="宋体"/>
          <w:b/>
          <w:bCs/>
          <w:spacing w:val="12"/>
          <w:sz w:val="24"/>
          <w:szCs w:val="24"/>
          <w:highlight w:val="none"/>
          <w:lang w:val="en-US" w:eastAsia="zh-CN"/>
        </w:rPr>
        <w:t>6.3.</w:t>
      </w:r>
      <w:r>
        <w:rPr>
          <w:rFonts w:hint="eastAsia" w:ascii="宋体" w:hAnsi="宋体" w:eastAsia="宋体" w:cs="宋体"/>
          <w:b/>
          <w:bCs/>
          <w:spacing w:val="12"/>
          <w:sz w:val="24"/>
          <w:szCs w:val="24"/>
          <w:highlight w:val="none"/>
        </w:rPr>
        <w:t>评分标准</w:t>
      </w:r>
    </w:p>
    <w:p>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rPr>
        <w:t>评审因素</w:t>
      </w:r>
    </w:p>
    <w:tbl>
      <w:tblPr>
        <w:tblStyle w:val="16"/>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01"/>
        <w:gridCol w:w="77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67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评审因</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评审项</w:t>
            </w:r>
            <w:r>
              <w:rPr>
                <w:rFonts w:hint="eastAsia" w:ascii="宋体" w:hAnsi="宋体" w:eastAsia="宋体" w:cs="宋体"/>
                <w:sz w:val="24"/>
                <w:szCs w:val="24"/>
                <w:highlight w:val="none"/>
                <w:lang w:val="en-US" w:eastAsia="zh-CN"/>
              </w:rPr>
              <w:t>目</w:t>
            </w: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需求内容提供的招标代理工作服务方案（包括但不限于实施规划、工作时间进度表、工作程序和步骤、管理和协调方法、服务便利性保证、开标、评标的服务工作等）进行评价：</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方案合理，内容详细，符合本项目招标代理工作特性的要求，完全满足且优于项目需求的，得35分；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方案较合理，内容较详细，符合招标代理工作的要求，完全满足项目需求的，得30分；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方案一般，内容简单，基本符合招标代理工作的要求，基本满足项目需求的，得25分；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80" w:lineRule="exact"/>
              <w:ind w:left="0" w:leftChars="0" w:right="0" w:rightChars="0" w:firstLine="40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以此类推，级差为5分。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信誉</w:t>
            </w: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w:t>
            </w:r>
            <w:r>
              <w:rPr>
                <w:rFonts w:hint="eastAsia" w:ascii="宋体" w:hAnsi="宋体" w:eastAsia="宋体" w:cs="宋体"/>
                <w:sz w:val="24"/>
                <w:szCs w:val="24"/>
                <w:highlight w:val="none"/>
              </w:rPr>
              <w:t>存在违法违规行为被信用</w:t>
            </w:r>
            <w:r>
              <w:rPr>
                <w:rFonts w:hint="eastAsia" w:ascii="宋体" w:hAnsi="宋体" w:eastAsia="宋体" w:cs="宋体"/>
                <w:b w:val="0"/>
                <w:bCs w:val="0"/>
                <w:sz w:val="24"/>
                <w:szCs w:val="24"/>
                <w:highlight w:val="none"/>
              </w:rPr>
              <w:t>中国列入信用名单情形</w:t>
            </w:r>
            <w:r>
              <w:rPr>
                <w:rFonts w:hint="eastAsia" w:ascii="宋体" w:hAnsi="宋体" w:eastAsia="宋体" w:cs="宋体"/>
                <w:b w:val="0"/>
                <w:bCs w:val="0"/>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default"/>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承诺2020年1月1日至今未受过招标监管</w:t>
            </w:r>
            <w:r>
              <w:rPr>
                <w:rFonts w:hint="eastAsia" w:ascii="宋体" w:hAnsi="宋体" w:eastAsia="宋体" w:cs="宋体"/>
                <w:sz w:val="24"/>
                <w:szCs w:val="24"/>
                <w:highlight w:val="none"/>
              </w:rPr>
              <w:t>部门责令整改情形</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80" w:firstLineChars="200"/>
              <w:jc w:val="left"/>
              <w:textAlignment w:val="baseline"/>
              <w:rPr>
                <w:rFonts w:hint="eastAsia"/>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6001"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承诺2020年1月1日至今未受过招标监管部门行政处罚情形。</w:t>
            </w:r>
          </w:p>
          <w:p>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注：格式自拟，需提供相关承诺并加盖供应商公章，未提供得0分。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企业人员</w:t>
            </w:r>
          </w:p>
        </w:tc>
        <w:tc>
          <w:tcPr>
            <w:tcW w:w="6001" w:type="dxa"/>
            <w:tcBorders>
              <w:tl2br w:val="nil"/>
              <w:tr2bl w:val="nil"/>
            </w:tcBorders>
            <w:noWrap w:val="0"/>
            <w:vAlign w:val="top"/>
          </w:tcPr>
          <w:p>
            <w:pPr>
              <w:pStyle w:val="17"/>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的服务相对应</w:t>
            </w:r>
            <w:r>
              <w:rPr>
                <w:rFonts w:hint="eastAsia" w:ascii="宋体" w:hAnsi="宋体" w:eastAsia="宋体" w:cs="宋体"/>
                <w:sz w:val="24"/>
                <w:szCs w:val="24"/>
                <w:highlight w:val="none"/>
                <w:lang w:val="en-US" w:eastAsia="zh-CN"/>
              </w:rPr>
              <w:t>专业技术人员</w:t>
            </w:r>
            <w:r>
              <w:rPr>
                <w:rFonts w:hint="eastAsia" w:ascii="宋体" w:hAnsi="宋体" w:eastAsia="宋体" w:cs="宋体"/>
                <w:sz w:val="24"/>
                <w:szCs w:val="24"/>
                <w:highlight w:val="none"/>
              </w:rPr>
              <w:t>资质</w:t>
            </w:r>
            <w:r>
              <w:rPr>
                <w:rFonts w:hint="eastAsia" w:ascii="宋体" w:hAnsi="宋体" w:eastAsia="宋体" w:cs="宋体"/>
                <w:sz w:val="24"/>
                <w:szCs w:val="24"/>
                <w:highlight w:val="none"/>
                <w:lang w:val="en-US" w:eastAsia="zh-CN"/>
              </w:rPr>
              <w:t>情况进行评价</w:t>
            </w:r>
            <w:r>
              <w:rPr>
                <w:rFonts w:hint="eastAsia" w:ascii="宋体" w:hAnsi="宋体" w:cs="宋体"/>
                <w:sz w:val="24"/>
                <w:szCs w:val="24"/>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1.提供的人员配置能完全符合招标代理工作的要求，完全满足项目需求的，得28分；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2.提供的人员配置能较好符合招标代理工作的要求，较好满足项目需求的，得24分；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3.提供的人员配置能一般符合招标代理工作的要求，一般满足项目需求的，得20分；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4.提供的人员配置能基本符合招标代理工作的要求，基本满足项目需求的，得16分。</w:t>
            </w:r>
          </w:p>
          <w:p>
            <w:pPr>
              <w:pStyle w:val="17"/>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注：需</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en-US" w:eastAsia="zh-CN"/>
              </w:rPr>
              <w:t>上述人员相关执业或职业资格证明文件复印件加盖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公章，并提供上述人员近6个月内任意1个月的社会保险参保证明复印件加盖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公章。未提供得0分。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01" w:type="dxa"/>
            <w:tcBorders>
              <w:tl2br w:val="nil"/>
              <w:tr2bl w:val="nil"/>
            </w:tcBorders>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lang w:val="en-US" w:eastAsia="zh-CN"/>
              </w:rPr>
              <w:t>工程类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pPr>
              <w:pStyle w:val="17"/>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招标代理合同签订时间为准，须提供</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公章，不提供不得分。</w:t>
            </w:r>
          </w:p>
        </w:tc>
        <w:tc>
          <w:tcPr>
            <w:tcW w:w="770"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bl>
    <w:p>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说明：1.</w:t>
      </w:r>
      <w:r>
        <w:rPr>
          <w:rFonts w:ascii="宋体" w:hAnsi="宋体" w:eastAsia="宋体" w:cs="宋体"/>
          <w:color w:val="auto"/>
          <w:spacing w:val="-12"/>
          <w:sz w:val="24"/>
          <w:szCs w:val="24"/>
          <w:highlight w:val="none"/>
        </w:rPr>
        <w:t>评分分值计算保留小数点后两位，小数点后第三位“四舍五入”</w:t>
      </w:r>
      <w:r>
        <w:rPr>
          <w:rFonts w:hint="eastAsia" w:ascii="宋体" w:hAnsi="宋体" w:eastAsia="宋体" w:cs="宋体"/>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80" w:lineRule="exact"/>
        <w:ind w:firstLine="960" w:firstLineChars="4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24622"/>
      <w:bookmarkStart w:id="88" w:name="_Toc60"/>
      <w:r>
        <w:rPr>
          <w:rFonts w:hint="eastAsia" w:ascii="宋体" w:hAnsi="宋体" w:eastAsia="宋体" w:cs="宋体"/>
          <w:b/>
          <w:highlight w:val="none"/>
        </w:rPr>
        <w:t>5.7</w:t>
      </w:r>
      <w:r>
        <w:rPr>
          <w:rFonts w:hint="eastAsia" w:ascii="宋体" w:hAnsi="宋体" w:eastAsia="宋体" w:cs="宋体"/>
          <w:b/>
          <w:highlight w:val="none"/>
          <w:lang w:val="en-US" w:eastAsia="zh-CN"/>
        </w:rPr>
        <w:t>.</w:t>
      </w:r>
      <w:r>
        <w:rPr>
          <w:rFonts w:hint="eastAsia" w:ascii="宋体" w:hAnsi="宋体" w:eastAsia="宋体" w:cs="宋体"/>
          <w:b/>
          <w:highlight w:val="none"/>
        </w:rPr>
        <w:t>废标</w:t>
      </w:r>
      <w:bookmarkEnd w:id="87"/>
      <w:bookmarkEnd w:id="88"/>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发布公告。对于评审过程中废标的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30754"/>
      <w:bookmarkStart w:id="90" w:name="_Toc29412"/>
      <w:r>
        <w:rPr>
          <w:rFonts w:hint="eastAsia" w:ascii="宋体" w:hAnsi="宋体" w:eastAsia="宋体" w:cs="宋体"/>
          <w:b/>
          <w:highlight w:val="none"/>
        </w:rPr>
        <w:t>5.8</w:t>
      </w:r>
      <w:r>
        <w:rPr>
          <w:rFonts w:hint="eastAsia" w:ascii="宋体" w:hAnsi="宋体" w:eastAsia="宋体" w:cs="宋体"/>
          <w:b/>
          <w:highlight w:val="none"/>
          <w:lang w:val="en-US" w:eastAsia="zh-CN"/>
        </w:rPr>
        <w:t>.</w:t>
      </w:r>
      <w:r>
        <w:rPr>
          <w:rFonts w:hint="eastAsia" w:ascii="宋体" w:hAnsi="宋体" w:eastAsia="宋体" w:cs="宋体"/>
          <w:b/>
          <w:highlight w:val="none"/>
        </w:rPr>
        <w:t>确认入围供应商名单及结果</w:t>
      </w:r>
      <w:bookmarkEnd w:id="89"/>
      <w:bookmarkEnd w:id="90"/>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发布入围结果公告，同时向入围供应商发出入围通知书。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1" w:name="_Toc29375"/>
      <w:bookmarkStart w:id="92" w:name="_Toc20513"/>
      <w:r>
        <w:rPr>
          <w:rFonts w:hint="eastAsia" w:ascii="宋体" w:hAnsi="宋体" w:eastAsia="宋体" w:cs="宋体"/>
          <w:b/>
          <w:highlight w:val="none"/>
        </w:rPr>
        <w:t>5.9</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评审专家在采购活动中承担以下义务</w:t>
      </w:r>
      <w:bookmarkEnd w:id="91"/>
      <w:bookmarkEnd w:id="92"/>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一、遵守评审工作纪律；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文件规定的评审程序、评审方法和评审标准进行独立评审；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三、不得泄露评审文件、评审情况和在评审过程中获悉的商业秘密；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部门报告评审过程中发现的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人向评审专家做倾向性、误导性的解释或者说明，以及供应商行贿、提供虚假材料或者串通等违法行为；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文件存在歧义、重大缺陷导致评审工作无法进行时，停止评审并向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文件以及评审过程中，发现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文件有下列情形之一的，应当停止评审：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文件规定的评审方法是价格优先法或质量优先法之外的评审方法，或者虽然名称为价格优先法、质量优先法，但实际上不符合规定；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出现本条规定应当停止评审情形的，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应当编制评审专家停止评审说明并发送给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发布公告。停止评审说明中应说明停止评审的情形和具体理由。</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部门举报在评审过程中受到非法干预的情况；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pPr>
        <w:pStyle w:val="3"/>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5408"/>
      <w:bookmarkStart w:id="94" w:name="_Toc23208"/>
      <w:r>
        <w:rPr>
          <w:rFonts w:hint="eastAsia" w:ascii="宋体" w:hAnsi="宋体" w:eastAsia="宋体" w:cs="宋体"/>
          <w:b/>
          <w:highlight w:val="none"/>
        </w:rPr>
        <w:t>5.10</w:t>
      </w:r>
      <w:r>
        <w:rPr>
          <w:rFonts w:hint="eastAsia" w:ascii="宋体" w:hAnsi="宋体" w:eastAsia="宋体" w:cs="宋体"/>
          <w:b/>
          <w:highlight w:val="none"/>
          <w:lang w:val="en-US" w:eastAsia="zh-CN"/>
        </w:rPr>
        <w:t>.</w:t>
      </w:r>
      <w:r>
        <w:rPr>
          <w:rFonts w:hint="eastAsia" w:ascii="宋体" w:hAnsi="宋体" w:eastAsia="宋体" w:cs="宋体"/>
          <w:b/>
          <w:highlight w:val="none"/>
        </w:rPr>
        <w:t>评审专家在采购活动中应当遵守以下工作纪律</w:t>
      </w:r>
      <w:bookmarkEnd w:id="93"/>
      <w:bookmarkEnd w:id="94"/>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采购评审专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二、评审前，应当将通讯工具或者相关电子设备</w:t>
      </w:r>
      <w:r>
        <w:rPr>
          <w:rFonts w:hint="eastAsia" w:ascii="宋体" w:hAnsi="宋体" w:eastAsia="宋体" w:cs="宋体"/>
          <w:spacing w:val="1"/>
          <w:position w:val="1"/>
          <w:sz w:val="24"/>
          <w:szCs w:val="24"/>
          <w:highlight w:val="none"/>
        </w:rPr>
        <w:t>交由采购组织单位统一保管。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三、评审过程中，不得与外界联系，因发生不可预见情况，确实需要与外界联系的，</w:t>
      </w:r>
      <w:r>
        <w:rPr>
          <w:rFonts w:hint="eastAsia" w:ascii="宋体" w:hAnsi="宋体" w:eastAsia="宋体" w:cs="宋体"/>
          <w:sz w:val="24"/>
          <w:szCs w:val="24"/>
          <w:highlight w:val="none"/>
        </w:rPr>
        <w:t>应当在工作人员监督之下办理。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四、评审过</w:t>
      </w:r>
      <w:r>
        <w:rPr>
          <w:rFonts w:hint="eastAsia" w:ascii="宋体" w:hAnsi="宋体" w:eastAsia="宋体" w:cs="宋体"/>
          <w:spacing w:val="-1"/>
          <w:sz w:val="24"/>
          <w:szCs w:val="24"/>
          <w:highlight w:val="none"/>
        </w:rPr>
        <w:t>程中，不得干预或者影响正常评审工作，不得发表倾向性、引导性意见，不得修改或细化采购文件确定的评</w:t>
      </w:r>
      <w:r>
        <w:rPr>
          <w:rFonts w:hint="eastAsia" w:ascii="宋体" w:hAnsi="宋体" w:eastAsia="宋体" w:cs="宋体"/>
          <w:spacing w:val="2"/>
          <w:sz w:val="24"/>
          <w:szCs w:val="24"/>
          <w:highlight w:val="none"/>
        </w:rPr>
        <w:t>审程序、评审方法、评审因素和评审标准，不得接受供应商主动提出的澄清和解释，不得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人代表的意见，不得协商评</w:t>
      </w:r>
      <w:r>
        <w:rPr>
          <w:rFonts w:hint="eastAsia" w:ascii="宋体" w:hAnsi="宋体" w:eastAsia="宋体" w:cs="宋体"/>
          <w:spacing w:val="2"/>
          <w:sz w:val="24"/>
          <w:szCs w:val="24"/>
          <w:highlight w:val="none"/>
        </w:rPr>
        <w:t>审，不得违反规定的评审格式评分和撰写评审意</w:t>
      </w:r>
      <w:r>
        <w:rPr>
          <w:rFonts w:hint="eastAsia" w:ascii="宋体" w:hAnsi="宋体" w:eastAsia="宋体" w:cs="宋体"/>
          <w:spacing w:val="1"/>
          <w:sz w:val="24"/>
          <w:szCs w:val="24"/>
          <w:highlight w:val="none"/>
        </w:rPr>
        <w:t>见，不得拒绝对自己的评审意见签字确认。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五、在评审过程中和评审结束后，不得记录、复制或带走任何评审资料，</w:t>
      </w:r>
      <w:r>
        <w:rPr>
          <w:rFonts w:hint="eastAsia" w:ascii="宋体" w:hAnsi="宋体" w:eastAsia="宋体" w:cs="宋体"/>
          <w:spacing w:val="1"/>
          <w:sz w:val="24"/>
          <w:szCs w:val="24"/>
          <w:highlight w:val="none"/>
        </w:rPr>
        <w:t>不得向外界透露评审内容。</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eastAsia" w:ascii="宋体" w:hAnsi="宋体" w:eastAsia="宋体" w:cs="宋体"/>
          <w:sz w:val="21"/>
          <w:highlight w:val="none"/>
        </w:rPr>
      </w:pPr>
      <w:bookmarkStart w:id="95" w:name="_Toc32305"/>
      <w:bookmarkStart w:id="96" w:name="_Toc2555"/>
      <w:r>
        <w:rPr>
          <w:rFonts w:hint="eastAsia" w:ascii="宋体" w:hAnsi="宋体" w:eastAsia="宋体" w:cs="宋体"/>
          <w:b/>
          <w:highlight w:val="none"/>
        </w:rPr>
        <w:t xml:space="preserve">第六章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{单位名称}{项目名称}</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协议编号：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一、协议方基础信息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人(甲方)：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入围供应商(乙方)：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二、采购项目信息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采购项目编号：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三、采购需求和最高限价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1.标的名称：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3.服务要求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(1)服务交付或者实施的地域范围：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(2)服务期限：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(3)考核(验收)标准和方法：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(4)违约责任：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四、入围服务内容、服务标准，协议价格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(一)入围服务内容：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(二)入围服务标准：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(三)协议价格：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五、第二阶段</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的方式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次竞价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六、适用</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协议的采购人，以及履行合同的地域范围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1.适用</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协议的采购人：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2.本</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协议适用于以下行政区域的采购人：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3.履行合同的地域范围描述：</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七、资金支付方式、时间和条件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1.支付方式：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2.支付时间和条件：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八、采购合同文本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根据第二阶段成交方式展示合同文本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本协议有效期为自</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月/年。</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十、入围供应商清退和补充规则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1)恶意串通谋取入围或者合同成交的；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2)提供虚假材料谋取入围或者合同成交的；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3)无正当理由拒不接受合同授予的；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4)不履行合同义务或者履行合同义务不符合约定，经采购人请求履行后仍不履行或者仍未按约定履行的；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协议有效期内，被禁止或限制参加政府采购活动的；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协议约定的其他情形；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被取消入围资格或者被解除</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协议的供应商不得参加同一</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协议补充征。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是否允许补充供应商：是/否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协议有效期内，当剩余入围供应商不足入围供应商总数70%且影响</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协议执行时，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人将启动补充供应商。补充的条件、程序、评审方法和淘汰比例与初次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相同。有效期遵守原</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协议的有效期。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十一、协议方的权利和义务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人的权利和义务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1.为本协议第二阶段合同授予提供工作便利；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2.对本协议第二阶段最高限价和需求标准执行情况进行管理；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3.对本协议第二阶段确定</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情况进行管理；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4.接受服务对象对入围供应商履行</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z w:val="24"/>
          <w:szCs w:val="24"/>
          <w:highlight w:val="none"/>
        </w:rPr>
        <w:t>协议和采购合同情况的反馈与评价，并将服务对象的反馈和评价情况公开，作为第二阶段直接选定</w:t>
      </w:r>
      <w:r>
        <w:rPr>
          <w:rFonts w:hint="eastAsia" w:ascii="宋体" w:hAnsi="宋体" w:eastAsia="宋体" w:cs="宋体"/>
          <w:sz w:val="24"/>
          <w:szCs w:val="24"/>
          <w:highlight w:val="none"/>
          <w:lang w:eastAsia="zh-CN"/>
        </w:rPr>
        <w:t>入围供应商</w:t>
      </w:r>
      <w:r>
        <w:rPr>
          <w:rFonts w:hint="eastAsia" w:ascii="宋体" w:hAnsi="宋体" w:eastAsia="宋体" w:cs="宋体"/>
          <w:sz w:val="24"/>
          <w:szCs w:val="24"/>
          <w:highlight w:val="none"/>
        </w:rPr>
        <w:t>的参考；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5.公开本协议的第二阶段成交结果；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6.办理入围供应商清退和补充相关事宜；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有权监督、检查、考核委托事项的处理情况，有权向乙方提出合理化建议；对于乙方违反法律、法规、规章或本协议约定的行为，有权要求乙方予以纠正；乙方及其主要负责人等存在因执业行为、违反法律法规受到处理处罚或套取、骗取购买代理记账服务费用等行为的，甲方将及时取消代理记账服务资格，并依法依规追究法律责任；乙方考核不合格的，取消购买代理记账服务资格；</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人只承担按本协议规定及时足额地支付乙方政府购买代理记账服务费用，相对应的法律及连带责任均由入围供应商与服务对象约定。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(二)入围供应商的权利与义务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1.在本协议有效期内，按照本协议约定的入围服务和协议价格向服务对象提供服务；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2.对本协议履行情况和采购合同情况向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人进行反馈与评价；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3.负责服务对象的所有对接工作，对服务对象提交的申请材料进行甄别审核，对审核通过的服务对象名单进行公示，签订《代理记账服务协议书》,服务对象有其他服务需求的，双方自行约定；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4.严格保守服务单位的财务秘密；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5.乙方应当按照本项目第二阶段合同规定向服务对象提供服务，相对应的法律及连带责任均由乙方与服务对象约定；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6.由于乙方自身原因导致出现服务违约违规、合同终止等情况给服务对象造成的不良影响或损失的，由乙方承担相应责任，甲方不承担任何法律责任；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7.积极配合工作，自觉接受甲方对乙方代理记账服务情况的监督、检查和考评；</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8.指定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作为业务联系人，办理与甲方相关事宜。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十二、争议解决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因本协议履行发生争议，双方可协商解决。协商不能一致的，提交甲方住所地人民法院诉讼裁决。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十三、生效条款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自双方签字盖章后发生法律效力。</w:t>
      </w:r>
    </w:p>
    <w:p>
      <w:pPr>
        <w:pStyle w:val="5"/>
        <w:rPr>
          <w:rFonts w:hint="eastAsia" w:ascii="宋体" w:hAnsi="宋体" w:eastAsia="宋体" w:cs="宋体"/>
          <w:sz w:val="24"/>
          <w:szCs w:val="24"/>
          <w:highlight w:val="none"/>
        </w:rPr>
      </w:pPr>
    </w:p>
    <w:p>
      <w:pPr>
        <w:pStyle w:val="5"/>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甲方代表：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甲方联系人：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协议签订日期：    年  月  日</w:t>
      </w:r>
    </w:p>
    <w:p>
      <w:pPr>
        <w:pStyle w:val="5"/>
        <w:rPr>
          <w:rFonts w:hint="eastAsia" w:ascii="宋体" w:hAnsi="宋体" w:eastAsia="宋体" w:cs="宋体"/>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乙方代表：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乙方联系人：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r>
        <w:rPr>
          <w:rFonts w:hint="eastAsia" w:ascii="宋体" w:hAnsi="宋体" w:eastAsia="宋体" w:cs="宋体"/>
          <w:spacing w:val="1"/>
          <w:position w:val="22"/>
          <w:sz w:val="24"/>
          <w:szCs w:val="24"/>
          <w:highlight w:val="none"/>
        </w:rPr>
        <w:t>协议签订日期：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sectPr>
          <w:footerReference r:id="rId9"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pPr>
        <w:pStyle w:val="2"/>
        <w:bidi w:val="0"/>
        <w:rPr>
          <w:rFonts w:hint="eastAsia" w:ascii="宋体" w:hAnsi="宋体" w:eastAsia="宋体" w:cs="宋体"/>
          <w:sz w:val="21"/>
          <w:highlight w:val="none"/>
        </w:rPr>
      </w:pPr>
      <w:bookmarkStart w:id="97" w:name="_Toc8502"/>
      <w:bookmarkStart w:id="98" w:name="_Toc3253"/>
      <w:r>
        <w:rPr>
          <w:rFonts w:hint="eastAsia" w:ascii="宋体" w:hAnsi="宋体" w:eastAsia="宋体" w:cs="宋体"/>
          <w:highlight w:val="none"/>
        </w:rPr>
        <w:t>第七章 响应文件格式</w:t>
      </w:r>
      <w:bookmarkEnd w:id="97"/>
      <w:bookmarkEnd w:id="9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详见附件：封面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法定代表人授权书（如有）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企业信誉承诺（格式自拟）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附件5：企业人员配置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附件：封面</w:t>
      </w:r>
    </w:p>
    <w:p>
      <w:pPr>
        <w:ind w:left="0" w:leftChars="0" w:firstLine="0" w:firstLineChars="0"/>
        <w:rPr>
          <w:rFonts w:hint="eastAsia" w:ascii="宋体" w:hAnsi="宋体" w:eastAsia="宋体" w:cs="宋体"/>
          <w:bCs/>
          <w:sz w:val="24"/>
          <w:szCs w:val="24"/>
          <w:highlight w:val="none"/>
          <w:lang w:eastAsia="zh-CN"/>
        </w:rPr>
      </w:pPr>
    </w:p>
    <w:p>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pPr>
        <w:ind w:left="0" w:leftChars="0" w:firstLine="0" w:firstLineChars="0"/>
        <w:jc w:val="center"/>
        <w:rPr>
          <w:rFonts w:hint="eastAsia" w:ascii="宋体" w:hAnsi="宋体" w:eastAsia="宋体" w:cs="宋体"/>
          <w:b/>
          <w:sz w:val="48"/>
          <w:szCs w:val="22"/>
          <w:highlight w:val="none"/>
        </w:rPr>
      </w:pPr>
    </w:p>
    <w:p>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pPr>
        <w:jc w:val="center"/>
        <w:rPr>
          <w:rFonts w:hint="eastAsia" w:ascii="宋体" w:hAnsi="宋体" w:eastAsia="宋体" w:cs="宋体"/>
          <w:sz w:val="40"/>
          <w:szCs w:val="32"/>
          <w:highlight w:val="none"/>
        </w:rPr>
      </w:pPr>
    </w:p>
    <w:p>
      <w:pPr>
        <w:ind w:left="0" w:leftChars="0" w:firstLine="0" w:firstLineChars="0"/>
        <w:jc w:val="center"/>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jc w:val="center"/>
        <w:rPr>
          <w:rFonts w:hint="eastAsia" w:ascii="宋体" w:hAnsi="宋体" w:eastAsia="宋体" w:cs="宋体"/>
          <w:sz w:val="40"/>
          <w:szCs w:val="32"/>
          <w:highlight w:val="none"/>
          <w:lang w:eastAsia="zh-CN"/>
        </w:rPr>
      </w:pPr>
    </w:p>
    <w:p>
      <w:pPr>
        <w:jc w:val="center"/>
        <w:rPr>
          <w:rFonts w:hint="eastAsia" w:ascii="宋体" w:hAnsi="宋体" w:eastAsia="宋体" w:cs="宋体"/>
          <w:sz w:val="40"/>
          <w:szCs w:val="32"/>
          <w:highlight w:val="none"/>
        </w:rPr>
      </w:pPr>
    </w:p>
    <w:p>
      <w:pPr>
        <w:jc w:val="center"/>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ind w:left="0" w:leftChars="0" w:firstLine="0" w:firstLineChars="0"/>
        <w:jc w:val="both"/>
        <w:rPr>
          <w:rFonts w:hint="eastAsia" w:ascii="宋体" w:hAnsi="宋体" w:eastAsia="宋体" w:cs="宋体"/>
          <w:sz w:val="40"/>
          <w:szCs w:val="32"/>
          <w:highlight w:val="none"/>
        </w:rPr>
      </w:pPr>
    </w:p>
    <w:p>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：响应函</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pPr>
        <w:pStyle w:val="8"/>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pPr>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2-1</w:t>
      </w:r>
      <w:r>
        <w:rPr>
          <w:rFonts w:hint="eastAsia" w:ascii="宋体" w:hAnsi="宋体" w:eastAsia="宋体" w:cs="宋体"/>
          <w:b/>
          <w:bCs w:val="0"/>
          <w:sz w:val="28"/>
          <w:szCs w:val="28"/>
          <w:highlight w:val="none"/>
          <w:lang w:val="en-US" w:eastAsia="zh-CN"/>
        </w:rPr>
        <w:t>：法定代表人证明书</w:t>
      </w:r>
    </w:p>
    <w:p>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pPr>
        <w:ind w:firstLine="480"/>
        <w:rPr>
          <w:rFonts w:hint="eastAsia" w:ascii="宋体" w:hAnsi="宋体" w:eastAsia="宋体" w:cs="宋体"/>
          <w:sz w:val="28"/>
          <w:szCs w:val="28"/>
          <w:highlight w:val="none"/>
        </w:rPr>
      </w:pPr>
    </w:p>
    <w:p>
      <w:pPr>
        <w:ind w:firstLine="480"/>
        <w:rPr>
          <w:rFonts w:hint="eastAsia" w:ascii="宋体" w:hAnsi="宋体" w:eastAsia="宋体" w:cs="宋体"/>
          <w:sz w:val="28"/>
          <w:szCs w:val="28"/>
          <w:highlight w:val="none"/>
        </w:rPr>
      </w:pPr>
    </w:p>
    <w:p>
      <w:pPr>
        <w:ind w:left="0" w:leftChars="0" w:firstLine="0" w:firstLineChars="0"/>
        <w:rPr>
          <w:rFonts w:hint="eastAsia" w:ascii="宋体" w:hAnsi="宋体" w:eastAsia="宋体" w:cs="宋体"/>
          <w:sz w:val="28"/>
          <w:szCs w:val="28"/>
          <w:highlight w:val="none"/>
        </w:rPr>
      </w:pP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pPr>
        <w:ind w:firstLine="480"/>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2-2</w:t>
      </w:r>
      <w:r>
        <w:rPr>
          <w:rFonts w:hint="eastAsia" w:ascii="宋体" w:hAnsi="宋体" w:eastAsia="宋体" w:cs="宋体"/>
          <w:b/>
          <w:bCs w:val="0"/>
          <w:sz w:val="28"/>
          <w:szCs w:val="28"/>
          <w:highlight w:val="none"/>
          <w:lang w:val="en-US" w:eastAsia="zh-CN"/>
        </w:rPr>
        <w:t>：法定代表人授权书</w:t>
      </w:r>
      <w:r>
        <w:rPr>
          <w:rFonts w:hint="eastAsia" w:ascii="宋体" w:hAnsi="宋体" w:cs="宋体"/>
          <w:b/>
          <w:bCs w:val="0"/>
          <w:sz w:val="28"/>
          <w:szCs w:val="28"/>
          <w:highlight w:val="none"/>
          <w:lang w:val="en-US" w:eastAsia="zh-CN"/>
        </w:rPr>
        <w:t>（如有）</w:t>
      </w:r>
    </w:p>
    <w:p>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本授权书于_____年___月____日签字生效，特此声明。</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cs="宋体"/>
          <w:b/>
          <w:bCs w:val="0"/>
          <w:sz w:val="28"/>
          <w:szCs w:val="28"/>
          <w:highlight w:val="none"/>
          <w:lang w:val="en-US" w:eastAsia="zh-CN"/>
        </w:rPr>
        <w:t>2</w:t>
      </w:r>
      <w:r>
        <w:rPr>
          <w:rFonts w:hint="eastAsia" w:ascii="宋体" w:hAnsi="宋体" w:cs="宋体"/>
          <w:b/>
          <w:bCs w:val="0"/>
          <w:sz w:val="28"/>
          <w:szCs w:val="28"/>
          <w:highlight w:val="none"/>
          <w:lang w:val="en-US" w:eastAsia="zh-CN"/>
        </w:rPr>
        <w:t>-</w:t>
      </w:r>
      <w:r>
        <w:rPr>
          <w:rFonts w:hint="eastAsia"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3</w:t>
      </w:r>
      <w:r>
        <w:rPr>
          <w:rFonts w:hint="eastAsia" w:ascii="宋体" w:hAnsi="宋体" w:eastAsia="宋体" w:cs="宋体"/>
          <w:b/>
          <w:bCs w:val="0"/>
          <w:sz w:val="28"/>
          <w:szCs w:val="28"/>
          <w:highlight w:val="none"/>
          <w:lang w:val="en-US" w:eastAsia="zh-CN"/>
        </w:rPr>
        <w:t>：服务方案内容（格式自拟）</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4</w:t>
      </w:r>
      <w:r>
        <w:rPr>
          <w:rFonts w:hint="eastAsia" w:ascii="宋体" w:hAnsi="宋体" w:eastAsia="宋体" w:cs="宋体"/>
          <w:b/>
          <w:bCs w:val="0"/>
          <w:sz w:val="28"/>
          <w:szCs w:val="28"/>
          <w:highlight w:val="none"/>
          <w:lang w:val="en-US" w:eastAsia="zh-CN"/>
        </w:rPr>
        <w:t>：</w:t>
      </w:r>
      <w:r>
        <w:rPr>
          <w:rFonts w:hint="eastAsia" w:ascii="宋体" w:hAnsi="宋体" w:cs="宋体"/>
          <w:b/>
          <w:bCs w:val="0"/>
          <w:sz w:val="28"/>
          <w:szCs w:val="28"/>
          <w:highlight w:val="none"/>
          <w:lang w:val="en-US" w:eastAsia="zh-CN"/>
        </w:rPr>
        <w:t>企业信誉承诺</w:t>
      </w:r>
      <w:r>
        <w:rPr>
          <w:rFonts w:hint="eastAsia" w:ascii="宋体" w:hAnsi="宋体" w:eastAsia="宋体" w:cs="宋体"/>
          <w:b/>
          <w:bCs w:val="0"/>
          <w:sz w:val="28"/>
          <w:szCs w:val="28"/>
          <w:highlight w:val="none"/>
          <w:lang w:val="en-US" w:eastAsia="zh-CN"/>
        </w:rPr>
        <w:t>（格式自拟）</w:t>
      </w:r>
    </w:p>
    <w:p>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3"/>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pPr>
              <w:jc w:val="center"/>
              <w:rPr>
                <w:rFonts w:hint="eastAsia" w:ascii="宋体" w:hAnsi="宋体" w:eastAsia="宋体" w:cs="宋体"/>
                <w:sz w:val="28"/>
                <w:szCs w:val="28"/>
                <w:highlight w:val="none"/>
              </w:rPr>
            </w:pPr>
          </w:p>
        </w:tc>
        <w:tc>
          <w:tcPr>
            <w:tcW w:w="1361" w:type="dxa"/>
            <w:vMerge w:val="continue"/>
            <w:vAlign w:val="center"/>
          </w:tcPr>
          <w:p>
            <w:pPr>
              <w:jc w:val="center"/>
              <w:rPr>
                <w:rFonts w:hint="eastAsia" w:ascii="宋体" w:hAnsi="宋体" w:eastAsia="宋体" w:cs="宋体"/>
                <w:sz w:val="28"/>
                <w:szCs w:val="28"/>
                <w:highlight w:val="none"/>
              </w:rPr>
            </w:pPr>
          </w:p>
        </w:tc>
        <w:tc>
          <w:tcPr>
            <w:tcW w:w="1545" w:type="dxa"/>
            <w:vMerge w:val="continue"/>
            <w:vAlign w:val="center"/>
          </w:tcPr>
          <w:p>
            <w:pPr>
              <w:jc w:val="center"/>
              <w:rPr>
                <w:rFonts w:hint="eastAsia" w:ascii="宋体" w:hAnsi="宋体" w:eastAsia="宋体" w:cs="宋体"/>
                <w:sz w:val="28"/>
                <w:szCs w:val="28"/>
                <w:highlight w:val="none"/>
              </w:rPr>
            </w:pPr>
          </w:p>
        </w:tc>
        <w:tc>
          <w:tcPr>
            <w:tcW w:w="1875"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pPr>
              <w:jc w:val="center"/>
              <w:rPr>
                <w:rFonts w:hint="eastAsia" w:ascii="宋体" w:hAnsi="宋体" w:eastAsia="宋体" w:cs="宋体"/>
                <w:sz w:val="28"/>
                <w:szCs w:val="28"/>
                <w:highlight w:val="none"/>
              </w:rPr>
            </w:pPr>
          </w:p>
        </w:tc>
        <w:tc>
          <w:tcPr>
            <w:tcW w:w="1361" w:type="dxa"/>
            <w:vAlign w:val="center"/>
          </w:tcPr>
          <w:p>
            <w:pPr>
              <w:jc w:val="center"/>
              <w:rPr>
                <w:rFonts w:hint="eastAsia" w:ascii="宋体" w:hAnsi="宋体" w:eastAsia="宋体" w:cs="宋体"/>
                <w:sz w:val="28"/>
                <w:szCs w:val="28"/>
                <w:highlight w:val="none"/>
              </w:rPr>
            </w:pPr>
          </w:p>
        </w:tc>
        <w:tc>
          <w:tcPr>
            <w:tcW w:w="1545" w:type="dxa"/>
            <w:vAlign w:val="center"/>
          </w:tcPr>
          <w:p>
            <w:pPr>
              <w:jc w:val="center"/>
              <w:rPr>
                <w:rFonts w:hint="eastAsia" w:ascii="宋体" w:hAnsi="宋体" w:eastAsia="宋体" w:cs="宋体"/>
                <w:sz w:val="28"/>
                <w:szCs w:val="28"/>
                <w:highlight w:val="none"/>
              </w:rPr>
            </w:pPr>
          </w:p>
        </w:tc>
        <w:tc>
          <w:tcPr>
            <w:tcW w:w="1875" w:type="dxa"/>
            <w:vAlign w:val="center"/>
          </w:tcPr>
          <w:p>
            <w:pPr>
              <w:jc w:val="center"/>
              <w:rPr>
                <w:rFonts w:hint="eastAsia" w:ascii="宋体" w:hAnsi="宋体" w:eastAsia="宋体" w:cs="宋体"/>
                <w:sz w:val="28"/>
                <w:szCs w:val="28"/>
                <w:highlight w:val="none"/>
              </w:rPr>
            </w:pPr>
          </w:p>
        </w:tc>
        <w:tc>
          <w:tcPr>
            <w:tcW w:w="1358" w:type="dxa"/>
            <w:vAlign w:val="center"/>
          </w:tcPr>
          <w:p>
            <w:pPr>
              <w:jc w:val="center"/>
              <w:rPr>
                <w:rFonts w:hint="eastAsia" w:ascii="宋体" w:hAnsi="宋体" w:eastAsia="宋体" w:cs="宋体"/>
                <w:sz w:val="28"/>
                <w:szCs w:val="28"/>
                <w:highlight w:val="none"/>
              </w:rPr>
            </w:pPr>
          </w:p>
        </w:tc>
        <w:tc>
          <w:tcPr>
            <w:tcW w:w="1355" w:type="dxa"/>
            <w:vAlign w:val="center"/>
          </w:tcPr>
          <w:p>
            <w:pPr>
              <w:jc w:val="center"/>
              <w:rPr>
                <w:rFonts w:hint="eastAsia" w:ascii="宋体" w:hAnsi="宋体" w:eastAsia="宋体" w:cs="宋体"/>
                <w:sz w:val="28"/>
                <w:szCs w:val="28"/>
                <w:highlight w:val="none"/>
              </w:rPr>
            </w:pPr>
          </w:p>
        </w:tc>
        <w:tc>
          <w:tcPr>
            <w:tcW w:w="1517" w:type="dxa"/>
            <w:vAlign w:val="center"/>
          </w:tcPr>
          <w:p>
            <w:pPr>
              <w:jc w:val="center"/>
              <w:rPr>
                <w:rFonts w:hint="eastAsia" w:ascii="宋体" w:hAnsi="宋体" w:eastAsia="宋体" w:cs="宋体"/>
                <w:sz w:val="28"/>
                <w:szCs w:val="28"/>
                <w:highlight w:val="none"/>
              </w:rPr>
            </w:pPr>
          </w:p>
        </w:tc>
        <w:tc>
          <w:tcPr>
            <w:tcW w:w="1173" w:type="dxa"/>
            <w:vAlign w:val="center"/>
          </w:tcPr>
          <w:p>
            <w:pPr>
              <w:jc w:val="center"/>
              <w:rPr>
                <w:rFonts w:hint="eastAsia" w:ascii="宋体" w:hAnsi="宋体" w:eastAsia="宋体" w:cs="宋体"/>
                <w:sz w:val="28"/>
                <w:szCs w:val="28"/>
                <w:highlight w:val="none"/>
              </w:rPr>
            </w:pPr>
          </w:p>
        </w:tc>
      </w:tr>
    </w:tbl>
    <w:p>
      <w:pPr>
        <w:ind w:left="0" w:leftChars="0" w:firstLine="0" w:firstLineChars="0"/>
        <w:rPr>
          <w:rFonts w:hint="eastAsia"/>
          <w:sz w:val="28"/>
          <w:szCs w:val="28"/>
          <w:highlight w:val="none"/>
          <w:lang w:val="en-US" w:eastAsia="zh-CN"/>
        </w:rPr>
      </w:pPr>
    </w:p>
    <w:p>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人员近6个月内任意1个月的社会保险参保证明复印件加盖公章。</w:t>
      </w:r>
    </w:p>
    <w:p>
      <w:pPr>
        <w:rPr>
          <w:rFonts w:hint="default"/>
          <w:sz w:val="28"/>
          <w:szCs w:val="28"/>
          <w:highlight w:val="none"/>
          <w:lang w:val="en-US" w:eastAsia="zh-CN"/>
        </w:rPr>
      </w:pPr>
      <w:r>
        <w:rPr>
          <w:rFonts w:hint="default"/>
          <w:sz w:val="28"/>
          <w:szCs w:val="28"/>
          <w:highlight w:val="none"/>
          <w:lang w:val="en-US" w:eastAsia="zh-CN"/>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6</w:t>
      </w:r>
      <w:r>
        <w:rPr>
          <w:rFonts w:hint="eastAsia" w:ascii="宋体" w:hAnsi="宋体" w:eastAsia="宋体" w:cs="宋体"/>
          <w:b/>
          <w:bCs w:val="0"/>
          <w:sz w:val="28"/>
          <w:szCs w:val="28"/>
          <w:highlight w:val="none"/>
          <w:lang w:val="en-US" w:eastAsia="zh-CN"/>
        </w:rPr>
        <w:t>：业绩情况</w:t>
      </w:r>
    </w:p>
    <w:tbl>
      <w:tblPr>
        <w:tblStyle w:val="13"/>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2145"/>
        <w:gridCol w:w="2775"/>
        <w:gridCol w:w="2025"/>
        <w:gridCol w:w="14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default" w:ascii="宋体" w:hAnsi="宋体" w:eastAsia="宋体" w:cs="宋体"/>
                <w:sz w:val="28"/>
                <w:szCs w:val="28"/>
                <w:highlight w:val="none"/>
                <w:lang w:val="en-US" w:eastAsia="zh-CN"/>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pPr>
              <w:jc w:val="center"/>
              <w:rPr>
                <w:rFonts w:hint="eastAsia" w:ascii="宋体" w:hAnsi="宋体" w:eastAsia="宋体" w:cs="宋体"/>
                <w:sz w:val="28"/>
                <w:szCs w:val="28"/>
                <w:highlight w:val="none"/>
              </w:rPr>
            </w:pPr>
          </w:p>
        </w:tc>
        <w:tc>
          <w:tcPr>
            <w:tcW w:w="2775" w:type="dxa"/>
            <w:vAlign w:val="center"/>
          </w:tcPr>
          <w:p>
            <w:pPr>
              <w:jc w:val="center"/>
              <w:rPr>
                <w:rFonts w:hint="eastAsia" w:ascii="宋体" w:hAnsi="宋体" w:eastAsia="宋体" w:cs="宋体"/>
                <w:sz w:val="28"/>
                <w:szCs w:val="28"/>
                <w:highlight w:val="none"/>
              </w:rPr>
            </w:pPr>
          </w:p>
        </w:tc>
        <w:tc>
          <w:tcPr>
            <w:tcW w:w="2025" w:type="dxa"/>
            <w:vAlign w:val="center"/>
          </w:tcPr>
          <w:p>
            <w:pPr>
              <w:jc w:val="center"/>
              <w:rPr>
                <w:rFonts w:hint="eastAsia" w:ascii="宋体" w:hAnsi="宋体" w:eastAsia="宋体" w:cs="宋体"/>
                <w:sz w:val="28"/>
                <w:szCs w:val="28"/>
                <w:highlight w:val="none"/>
              </w:rPr>
            </w:pPr>
          </w:p>
        </w:tc>
        <w:tc>
          <w:tcPr>
            <w:tcW w:w="1478" w:type="dxa"/>
            <w:vAlign w:val="center"/>
          </w:tcPr>
          <w:p>
            <w:pPr>
              <w:jc w:val="center"/>
              <w:rPr>
                <w:rFonts w:hint="eastAsia" w:ascii="宋体" w:hAnsi="宋体" w:eastAsia="宋体" w:cs="宋体"/>
                <w:sz w:val="28"/>
                <w:szCs w:val="28"/>
                <w:highlight w:val="none"/>
              </w:rPr>
            </w:pPr>
          </w:p>
        </w:tc>
      </w:tr>
    </w:tbl>
    <w:p>
      <w:pPr>
        <w:ind w:left="0" w:leftChars="0" w:firstLine="0" w:firstLineChars="0"/>
        <w:rPr>
          <w:rFonts w:hint="eastAsia" w:cs="宋体"/>
          <w:sz w:val="28"/>
          <w:szCs w:val="28"/>
          <w:highlight w:val="none"/>
          <w:lang w:val="en-US" w:eastAsia="zh-CN"/>
        </w:rPr>
      </w:pPr>
    </w:p>
    <w:p>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w:t>
      </w:r>
      <w:r>
        <w:rPr>
          <w:rFonts w:hint="eastAsia" w:ascii="宋体" w:hAnsi="宋体" w:cs="宋体"/>
          <w:b/>
          <w:bCs w:val="0"/>
          <w:sz w:val="28"/>
          <w:szCs w:val="28"/>
          <w:highlight w:val="none"/>
          <w:lang w:val="en-US" w:eastAsia="zh-CN"/>
        </w:rPr>
        <w:t>7</w:t>
      </w:r>
      <w:r>
        <w:rPr>
          <w:rFonts w:hint="eastAsia" w:ascii="宋体" w:hAnsi="宋体" w:eastAsia="宋体" w:cs="宋体"/>
          <w:b/>
          <w:bCs w:val="0"/>
          <w:sz w:val="28"/>
          <w:szCs w:val="28"/>
          <w:highlight w:val="none"/>
          <w:lang w:val="en-US" w:eastAsia="zh-CN"/>
        </w:rPr>
        <w:t>：供应商认为需提供的其他资料</w:t>
      </w:r>
    </w:p>
    <w:p>
      <w:pPr>
        <w:pStyle w:val="5"/>
        <w:rPr>
          <w:rFonts w:hint="eastAsia" w:ascii="宋体" w:hAnsi="宋体" w:eastAsia="宋体" w:cs="宋体"/>
          <w:sz w:val="28"/>
          <w:szCs w:val="28"/>
          <w:highlight w:val="none"/>
        </w:rPr>
      </w:pPr>
    </w:p>
    <w:p>
      <w:pPr>
        <w:pStyle w:val="4"/>
        <w:rPr>
          <w:rFonts w:hint="eastAsia"/>
          <w:sz w:val="28"/>
          <w:szCs w:val="28"/>
          <w:highlight w:val="none"/>
        </w:rPr>
      </w:pPr>
    </w:p>
    <w:bookmarkEnd w:id="99"/>
    <w:sectPr>
      <w:footerReference r:id="rId10"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08"/>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posOffset>3017520</wp:posOffset>
              </wp:positionH>
              <wp:positionV relativeFrom="paragraph">
                <wp:posOffset>-224790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6pt;margin-top:-17.7pt;height:144pt;width:144pt;mso-position-horizontal-relative:margin;mso-wrap-style:none;z-index:251662336;mso-width-relative:page;mso-height-relative:page;" filled="f" stroked="f" coordsize="21600,21600" o:gfxdata="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WjBt2QAAAAsBAAAPAAAAAAAAAAEAIAAAACIAAABkcnMvZG93bnJldi54&#10;bWxQSwECFAAUAAAACACHTuJAf46tETICAABhBAAADgAAAAAAAAABACAAAAAoAQAAZHJzL2Uyb0Rv&#10;Yy54bWxQSwUGAAAAAAYABgBZAQAAz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2EC1ADA"/>
    <w:multiLevelType w:val="singleLevel"/>
    <w:tmpl w:val="D2EC1ADA"/>
    <w:lvl w:ilvl="0" w:tentative="0">
      <w:start w:val="1"/>
      <w:numFmt w:val="decimal"/>
      <w:suff w:val="nothing"/>
      <w:lvlText w:val="%1．"/>
      <w:lvlJc w:val="left"/>
      <w:pPr>
        <w:ind w:left="0" w:firstLine="400"/>
      </w:pPr>
      <w:rPr>
        <w:rFonts w:hint="default"/>
      </w:rPr>
    </w:lvl>
  </w:abstractNum>
  <w:abstractNum w:abstractNumId="4">
    <w:nsid w:val="D5D9823E"/>
    <w:multiLevelType w:val="singleLevel"/>
    <w:tmpl w:val="D5D9823E"/>
    <w:lvl w:ilvl="0" w:tentative="0">
      <w:start w:val="1"/>
      <w:numFmt w:val="chineseCounting"/>
      <w:suff w:val="space"/>
      <w:lvlText w:val="第%1章"/>
      <w:lvlJc w:val="left"/>
      <w:rPr>
        <w:rFonts w:hint="eastAsia"/>
      </w:rPr>
    </w:lvl>
  </w:abstractNum>
  <w:abstractNum w:abstractNumId="5">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6">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7">
    <w:nsid w:val="F596B41B"/>
    <w:multiLevelType w:val="singleLevel"/>
    <w:tmpl w:val="F596B41B"/>
    <w:lvl w:ilvl="0" w:tentative="0">
      <w:start w:val="1"/>
      <w:numFmt w:val="decimal"/>
      <w:suff w:val="nothing"/>
      <w:lvlText w:val="%1、"/>
      <w:lvlJc w:val="left"/>
    </w:lvl>
  </w:abstractNum>
  <w:abstractNum w:abstractNumId="8">
    <w:nsid w:val="FA5EBE3E"/>
    <w:multiLevelType w:val="singleLevel"/>
    <w:tmpl w:val="FA5EBE3E"/>
    <w:lvl w:ilvl="0" w:tentative="0">
      <w:start w:val="1"/>
      <w:numFmt w:val="decimal"/>
      <w:suff w:val="nothing"/>
      <w:lvlText w:val="%1．"/>
      <w:lvlJc w:val="left"/>
      <w:pPr>
        <w:ind w:left="0" w:firstLine="400"/>
      </w:pPr>
      <w:rPr>
        <w:rFonts w:hint="default"/>
      </w:rPr>
    </w:lvl>
  </w:abstractNum>
  <w:abstractNum w:abstractNumId="9">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10">
    <w:nsid w:val="3C7813AA"/>
    <w:multiLevelType w:val="singleLevel"/>
    <w:tmpl w:val="3C7813AA"/>
    <w:lvl w:ilvl="0" w:tentative="0">
      <w:start w:val="1"/>
      <w:numFmt w:val="decimal"/>
      <w:suff w:val="nothing"/>
      <w:lvlText w:val="%1．"/>
      <w:lvlJc w:val="left"/>
    </w:lvl>
  </w:abstractNum>
  <w:abstractNum w:abstractNumId="11">
    <w:nsid w:val="51103398"/>
    <w:multiLevelType w:val="singleLevel"/>
    <w:tmpl w:val="51103398"/>
    <w:lvl w:ilvl="0" w:tentative="0">
      <w:start w:val="1"/>
      <w:numFmt w:val="decimal"/>
      <w:suff w:val="nothing"/>
      <w:lvlText w:val="%1、"/>
      <w:lvlJc w:val="left"/>
    </w:lvl>
  </w:abstractNum>
  <w:num w:numId="1">
    <w:abstractNumId w:val="4"/>
  </w:num>
  <w:num w:numId="2">
    <w:abstractNumId w:val="9"/>
  </w:num>
  <w:num w:numId="3">
    <w:abstractNumId w:val="5"/>
  </w:num>
  <w:num w:numId="4">
    <w:abstractNumId w:val="1"/>
  </w:num>
  <w:num w:numId="5">
    <w:abstractNumId w:val="2"/>
  </w:num>
  <w:num w:numId="6">
    <w:abstractNumId w:val="6"/>
  </w:num>
  <w:num w:numId="7">
    <w:abstractNumId w:val="0"/>
  </w:num>
  <w:num w:numId="8">
    <w:abstractNumId w:val="10"/>
  </w:num>
  <w:num w:numId="9">
    <w:abstractNumId w:val="8"/>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M0MjM0N2ZiMDdiOTVlNGIwYTY0NzA2ODdiOWIyZjMifQ=="/>
  </w:docVars>
  <w:rsids>
    <w:rsidRoot w:val="00000000"/>
    <w:rsid w:val="004559E4"/>
    <w:rsid w:val="006B31C3"/>
    <w:rsid w:val="008E7DEC"/>
    <w:rsid w:val="00C77BB5"/>
    <w:rsid w:val="011B0745"/>
    <w:rsid w:val="012B4701"/>
    <w:rsid w:val="01FF1347"/>
    <w:rsid w:val="02906F11"/>
    <w:rsid w:val="0297204E"/>
    <w:rsid w:val="02BA3AFD"/>
    <w:rsid w:val="02DA6E91"/>
    <w:rsid w:val="03055BB7"/>
    <w:rsid w:val="036B6A8D"/>
    <w:rsid w:val="039052F0"/>
    <w:rsid w:val="03D746CC"/>
    <w:rsid w:val="045713A0"/>
    <w:rsid w:val="048A7628"/>
    <w:rsid w:val="04C17856"/>
    <w:rsid w:val="04D255BF"/>
    <w:rsid w:val="04E90B5B"/>
    <w:rsid w:val="05096B07"/>
    <w:rsid w:val="05162EE3"/>
    <w:rsid w:val="051F61D4"/>
    <w:rsid w:val="05403761"/>
    <w:rsid w:val="054B7485"/>
    <w:rsid w:val="056326BB"/>
    <w:rsid w:val="056762A4"/>
    <w:rsid w:val="067508F8"/>
    <w:rsid w:val="067526A6"/>
    <w:rsid w:val="06940FF5"/>
    <w:rsid w:val="06CE0008"/>
    <w:rsid w:val="07B34F0F"/>
    <w:rsid w:val="07C136C9"/>
    <w:rsid w:val="07C17B6D"/>
    <w:rsid w:val="07C311F8"/>
    <w:rsid w:val="07DA5F42"/>
    <w:rsid w:val="07E137FD"/>
    <w:rsid w:val="08183C31"/>
    <w:rsid w:val="086E33CC"/>
    <w:rsid w:val="08DC4C5E"/>
    <w:rsid w:val="092C7268"/>
    <w:rsid w:val="09322AD0"/>
    <w:rsid w:val="095347F5"/>
    <w:rsid w:val="099C23DA"/>
    <w:rsid w:val="09B90AFC"/>
    <w:rsid w:val="09DB3168"/>
    <w:rsid w:val="09E532EA"/>
    <w:rsid w:val="09FB1114"/>
    <w:rsid w:val="0A232419"/>
    <w:rsid w:val="0A2438E3"/>
    <w:rsid w:val="0A552FFF"/>
    <w:rsid w:val="0A6749FB"/>
    <w:rsid w:val="0A73514E"/>
    <w:rsid w:val="0A9652E1"/>
    <w:rsid w:val="0AE272E2"/>
    <w:rsid w:val="0BB05F2E"/>
    <w:rsid w:val="0C573135"/>
    <w:rsid w:val="0C640EA6"/>
    <w:rsid w:val="0C992E66"/>
    <w:rsid w:val="0CB13F67"/>
    <w:rsid w:val="0D146F66"/>
    <w:rsid w:val="0D611BD6"/>
    <w:rsid w:val="0D7779BA"/>
    <w:rsid w:val="0D782A7C"/>
    <w:rsid w:val="0E730AF3"/>
    <w:rsid w:val="0EBE0962"/>
    <w:rsid w:val="0EE91E83"/>
    <w:rsid w:val="0EEB2FAD"/>
    <w:rsid w:val="0F3D21CF"/>
    <w:rsid w:val="0F81030D"/>
    <w:rsid w:val="0FBD0C1A"/>
    <w:rsid w:val="0FC65D20"/>
    <w:rsid w:val="0FEB612A"/>
    <w:rsid w:val="10081F56"/>
    <w:rsid w:val="10635C65"/>
    <w:rsid w:val="10CA1840"/>
    <w:rsid w:val="11644A05"/>
    <w:rsid w:val="11865B31"/>
    <w:rsid w:val="119307BF"/>
    <w:rsid w:val="11E70450"/>
    <w:rsid w:val="11FD79F3"/>
    <w:rsid w:val="12015736"/>
    <w:rsid w:val="122907E8"/>
    <w:rsid w:val="1237703D"/>
    <w:rsid w:val="127A1044"/>
    <w:rsid w:val="129A5602"/>
    <w:rsid w:val="130B4B50"/>
    <w:rsid w:val="13484121"/>
    <w:rsid w:val="13B54A2A"/>
    <w:rsid w:val="1467595F"/>
    <w:rsid w:val="151A266A"/>
    <w:rsid w:val="15431BC1"/>
    <w:rsid w:val="15451DDD"/>
    <w:rsid w:val="154B6339"/>
    <w:rsid w:val="15653784"/>
    <w:rsid w:val="157961AD"/>
    <w:rsid w:val="15AF44C3"/>
    <w:rsid w:val="15DF5D8E"/>
    <w:rsid w:val="15FB34ED"/>
    <w:rsid w:val="16242E4A"/>
    <w:rsid w:val="172577D0"/>
    <w:rsid w:val="172779EC"/>
    <w:rsid w:val="17394465"/>
    <w:rsid w:val="17B374D2"/>
    <w:rsid w:val="17C034AD"/>
    <w:rsid w:val="17C510B2"/>
    <w:rsid w:val="17DD62FD"/>
    <w:rsid w:val="17EC7880"/>
    <w:rsid w:val="18037C01"/>
    <w:rsid w:val="185A5BA0"/>
    <w:rsid w:val="18B352B0"/>
    <w:rsid w:val="195C76F5"/>
    <w:rsid w:val="196E0C16"/>
    <w:rsid w:val="1977452F"/>
    <w:rsid w:val="19A35324"/>
    <w:rsid w:val="19BF6678"/>
    <w:rsid w:val="19C474E6"/>
    <w:rsid w:val="1A340CCE"/>
    <w:rsid w:val="1A8962C8"/>
    <w:rsid w:val="1B0B7661"/>
    <w:rsid w:val="1B245FF1"/>
    <w:rsid w:val="1B530478"/>
    <w:rsid w:val="1B6D5BEA"/>
    <w:rsid w:val="1B9C5018"/>
    <w:rsid w:val="1BAC16B8"/>
    <w:rsid w:val="1BB27AA1"/>
    <w:rsid w:val="1C7E4525"/>
    <w:rsid w:val="1C99052B"/>
    <w:rsid w:val="1CA51364"/>
    <w:rsid w:val="1CAC5703"/>
    <w:rsid w:val="1CD51C99"/>
    <w:rsid w:val="1CEF165E"/>
    <w:rsid w:val="1D2A0B57"/>
    <w:rsid w:val="1D5C1A72"/>
    <w:rsid w:val="1D7A45EE"/>
    <w:rsid w:val="1DAD68E6"/>
    <w:rsid w:val="1DB00010"/>
    <w:rsid w:val="1DDC2BB3"/>
    <w:rsid w:val="1E0F2F88"/>
    <w:rsid w:val="1E70133C"/>
    <w:rsid w:val="1E7B6870"/>
    <w:rsid w:val="1E894AE9"/>
    <w:rsid w:val="1E8C45D9"/>
    <w:rsid w:val="1EB83620"/>
    <w:rsid w:val="1EBE0DD1"/>
    <w:rsid w:val="1ED86965"/>
    <w:rsid w:val="1F010FC2"/>
    <w:rsid w:val="1F10520A"/>
    <w:rsid w:val="1F542D83"/>
    <w:rsid w:val="1F5829E7"/>
    <w:rsid w:val="1F7722AB"/>
    <w:rsid w:val="1F941779"/>
    <w:rsid w:val="1FEB04B0"/>
    <w:rsid w:val="201C0234"/>
    <w:rsid w:val="202F5F7B"/>
    <w:rsid w:val="204653B3"/>
    <w:rsid w:val="20E23E4E"/>
    <w:rsid w:val="20EF09AB"/>
    <w:rsid w:val="216830DB"/>
    <w:rsid w:val="216C6FEF"/>
    <w:rsid w:val="217952E8"/>
    <w:rsid w:val="218D2B42"/>
    <w:rsid w:val="21E464DA"/>
    <w:rsid w:val="225C3A5E"/>
    <w:rsid w:val="2268469D"/>
    <w:rsid w:val="22995516"/>
    <w:rsid w:val="23531B69"/>
    <w:rsid w:val="23B1063E"/>
    <w:rsid w:val="23B24AE2"/>
    <w:rsid w:val="23CD25AF"/>
    <w:rsid w:val="24D467CB"/>
    <w:rsid w:val="24D82326"/>
    <w:rsid w:val="256A098B"/>
    <w:rsid w:val="257938C7"/>
    <w:rsid w:val="25D6438C"/>
    <w:rsid w:val="261C26E6"/>
    <w:rsid w:val="264F6618"/>
    <w:rsid w:val="26507EDA"/>
    <w:rsid w:val="266A491E"/>
    <w:rsid w:val="266D2F42"/>
    <w:rsid w:val="26A1499A"/>
    <w:rsid w:val="26BB3CAD"/>
    <w:rsid w:val="26C02E84"/>
    <w:rsid w:val="270F4EA3"/>
    <w:rsid w:val="27217E47"/>
    <w:rsid w:val="2723458A"/>
    <w:rsid w:val="276F4A98"/>
    <w:rsid w:val="27EC3B9E"/>
    <w:rsid w:val="28185254"/>
    <w:rsid w:val="28E74C36"/>
    <w:rsid w:val="290467D4"/>
    <w:rsid w:val="2942661E"/>
    <w:rsid w:val="298962E5"/>
    <w:rsid w:val="299E6333"/>
    <w:rsid w:val="2A0E0B36"/>
    <w:rsid w:val="2A1B4A63"/>
    <w:rsid w:val="2A585CB7"/>
    <w:rsid w:val="2AC10AF4"/>
    <w:rsid w:val="2ADA512F"/>
    <w:rsid w:val="2AFC1519"/>
    <w:rsid w:val="2AFC49AF"/>
    <w:rsid w:val="2B5621F6"/>
    <w:rsid w:val="2B577D1D"/>
    <w:rsid w:val="2B726905"/>
    <w:rsid w:val="2BA96BA3"/>
    <w:rsid w:val="2BCF1FA9"/>
    <w:rsid w:val="2BEE0681"/>
    <w:rsid w:val="2C50679B"/>
    <w:rsid w:val="2C622E5C"/>
    <w:rsid w:val="2C680433"/>
    <w:rsid w:val="2C7670C6"/>
    <w:rsid w:val="2C956D4E"/>
    <w:rsid w:val="2D55028C"/>
    <w:rsid w:val="2DC60356"/>
    <w:rsid w:val="2DCF003E"/>
    <w:rsid w:val="2E00644A"/>
    <w:rsid w:val="2E22694F"/>
    <w:rsid w:val="2E2F683D"/>
    <w:rsid w:val="2E5336C9"/>
    <w:rsid w:val="2EA71BFD"/>
    <w:rsid w:val="2EA9088F"/>
    <w:rsid w:val="2F146650"/>
    <w:rsid w:val="2F2B399A"/>
    <w:rsid w:val="2F7767C7"/>
    <w:rsid w:val="2FA84FEB"/>
    <w:rsid w:val="2FF26266"/>
    <w:rsid w:val="2FFF8D4E"/>
    <w:rsid w:val="3025663B"/>
    <w:rsid w:val="30517430"/>
    <w:rsid w:val="308B46F0"/>
    <w:rsid w:val="30E12562"/>
    <w:rsid w:val="30EB3D2E"/>
    <w:rsid w:val="311A5A74"/>
    <w:rsid w:val="3121658B"/>
    <w:rsid w:val="312B28BA"/>
    <w:rsid w:val="314E571E"/>
    <w:rsid w:val="315439F5"/>
    <w:rsid w:val="31771119"/>
    <w:rsid w:val="31DB3CB2"/>
    <w:rsid w:val="32146967"/>
    <w:rsid w:val="32263A9D"/>
    <w:rsid w:val="325A6A70"/>
    <w:rsid w:val="3264344B"/>
    <w:rsid w:val="32AC4DF2"/>
    <w:rsid w:val="32B85545"/>
    <w:rsid w:val="32C055C3"/>
    <w:rsid w:val="33062754"/>
    <w:rsid w:val="337A0A4C"/>
    <w:rsid w:val="339C09C3"/>
    <w:rsid w:val="33AA1331"/>
    <w:rsid w:val="33D71E67"/>
    <w:rsid w:val="34050C5E"/>
    <w:rsid w:val="34142C4F"/>
    <w:rsid w:val="34493FD1"/>
    <w:rsid w:val="3458408E"/>
    <w:rsid w:val="34964F16"/>
    <w:rsid w:val="34A51AF9"/>
    <w:rsid w:val="34C2013F"/>
    <w:rsid w:val="34C814AA"/>
    <w:rsid w:val="34D50630"/>
    <w:rsid w:val="35343F8E"/>
    <w:rsid w:val="35510B0A"/>
    <w:rsid w:val="35527ED3"/>
    <w:rsid w:val="358B0CEF"/>
    <w:rsid w:val="35B9585C"/>
    <w:rsid w:val="35DE1766"/>
    <w:rsid w:val="36162CAE"/>
    <w:rsid w:val="36413AA3"/>
    <w:rsid w:val="36552BBE"/>
    <w:rsid w:val="366F23BE"/>
    <w:rsid w:val="36A55DE0"/>
    <w:rsid w:val="36B129D7"/>
    <w:rsid w:val="36B37E4F"/>
    <w:rsid w:val="36CC15BF"/>
    <w:rsid w:val="3706047E"/>
    <w:rsid w:val="37262F09"/>
    <w:rsid w:val="3727713D"/>
    <w:rsid w:val="372D1C56"/>
    <w:rsid w:val="37922808"/>
    <w:rsid w:val="3793309E"/>
    <w:rsid w:val="37A91C61"/>
    <w:rsid w:val="37D4129F"/>
    <w:rsid w:val="37EF1A09"/>
    <w:rsid w:val="383B4C4E"/>
    <w:rsid w:val="38557378"/>
    <w:rsid w:val="386C3059"/>
    <w:rsid w:val="38AF1198"/>
    <w:rsid w:val="38F605A0"/>
    <w:rsid w:val="39704507"/>
    <w:rsid w:val="39DA0497"/>
    <w:rsid w:val="3A080B60"/>
    <w:rsid w:val="3A2974D3"/>
    <w:rsid w:val="3AB94081"/>
    <w:rsid w:val="3B6250F8"/>
    <w:rsid w:val="3B7874EE"/>
    <w:rsid w:val="3BB520E4"/>
    <w:rsid w:val="3C0A42EF"/>
    <w:rsid w:val="3C5E0F0B"/>
    <w:rsid w:val="3D14181E"/>
    <w:rsid w:val="3D43120E"/>
    <w:rsid w:val="3DB409D1"/>
    <w:rsid w:val="3DFF0186"/>
    <w:rsid w:val="3E246C74"/>
    <w:rsid w:val="3EB85378"/>
    <w:rsid w:val="3F004E42"/>
    <w:rsid w:val="3F116709"/>
    <w:rsid w:val="3F446ADE"/>
    <w:rsid w:val="3FDD3F12"/>
    <w:rsid w:val="3FDF4713"/>
    <w:rsid w:val="3FEE1D4E"/>
    <w:rsid w:val="3FFD010D"/>
    <w:rsid w:val="40414DCB"/>
    <w:rsid w:val="404E344B"/>
    <w:rsid w:val="40537F9E"/>
    <w:rsid w:val="40792819"/>
    <w:rsid w:val="4093139F"/>
    <w:rsid w:val="40C17909"/>
    <w:rsid w:val="40DB5220"/>
    <w:rsid w:val="40E83499"/>
    <w:rsid w:val="41016309"/>
    <w:rsid w:val="417A1215"/>
    <w:rsid w:val="417E7959"/>
    <w:rsid w:val="41812501"/>
    <w:rsid w:val="41A35FA4"/>
    <w:rsid w:val="41AF3FB7"/>
    <w:rsid w:val="41D61543"/>
    <w:rsid w:val="422150B6"/>
    <w:rsid w:val="42224789"/>
    <w:rsid w:val="426C3C56"/>
    <w:rsid w:val="42BB0511"/>
    <w:rsid w:val="42DF2DEB"/>
    <w:rsid w:val="42E163F2"/>
    <w:rsid w:val="42F04887"/>
    <w:rsid w:val="42F73E67"/>
    <w:rsid w:val="43452E25"/>
    <w:rsid w:val="436679D8"/>
    <w:rsid w:val="437F45A1"/>
    <w:rsid w:val="43AD172F"/>
    <w:rsid w:val="442B201A"/>
    <w:rsid w:val="44711D77"/>
    <w:rsid w:val="44CB7A0A"/>
    <w:rsid w:val="44CE6E4A"/>
    <w:rsid w:val="44D426B2"/>
    <w:rsid w:val="45070EFD"/>
    <w:rsid w:val="45773D62"/>
    <w:rsid w:val="45974308"/>
    <w:rsid w:val="45D5460C"/>
    <w:rsid w:val="46252A99"/>
    <w:rsid w:val="466E2692"/>
    <w:rsid w:val="468715E7"/>
    <w:rsid w:val="46C319F3"/>
    <w:rsid w:val="4712772E"/>
    <w:rsid w:val="476615BC"/>
    <w:rsid w:val="477E6905"/>
    <w:rsid w:val="47A3636C"/>
    <w:rsid w:val="47BB36B5"/>
    <w:rsid w:val="47FC782A"/>
    <w:rsid w:val="48254FD3"/>
    <w:rsid w:val="484C07B1"/>
    <w:rsid w:val="48671147"/>
    <w:rsid w:val="48757D08"/>
    <w:rsid w:val="48FC3F85"/>
    <w:rsid w:val="49052499"/>
    <w:rsid w:val="491C63D6"/>
    <w:rsid w:val="496861BB"/>
    <w:rsid w:val="498F4DFA"/>
    <w:rsid w:val="4A2D63C1"/>
    <w:rsid w:val="4A61681C"/>
    <w:rsid w:val="4A6A3171"/>
    <w:rsid w:val="4A6F0787"/>
    <w:rsid w:val="4ACE0467"/>
    <w:rsid w:val="4B020109"/>
    <w:rsid w:val="4B7A29DA"/>
    <w:rsid w:val="4BB74194"/>
    <w:rsid w:val="4BEB02E1"/>
    <w:rsid w:val="4C211F55"/>
    <w:rsid w:val="4C4C6FD2"/>
    <w:rsid w:val="4C855C40"/>
    <w:rsid w:val="4CB359E1"/>
    <w:rsid w:val="4CC27294"/>
    <w:rsid w:val="4CF03E01"/>
    <w:rsid w:val="4D043409"/>
    <w:rsid w:val="4D111FCA"/>
    <w:rsid w:val="4D113D78"/>
    <w:rsid w:val="4D4203D5"/>
    <w:rsid w:val="4DBF1229"/>
    <w:rsid w:val="4DD3102D"/>
    <w:rsid w:val="4E15526D"/>
    <w:rsid w:val="4E3246A1"/>
    <w:rsid w:val="4E45017D"/>
    <w:rsid w:val="4E8A5B90"/>
    <w:rsid w:val="4EED3D78"/>
    <w:rsid w:val="4F3F2E1E"/>
    <w:rsid w:val="4F9071D6"/>
    <w:rsid w:val="50075A68"/>
    <w:rsid w:val="50490F51"/>
    <w:rsid w:val="505F0E17"/>
    <w:rsid w:val="509D01D0"/>
    <w:rsid w:val="50F6750C"/>
    <w:rsid w:val="51087240"/>
    <w:rsid w:val="51090130"/>
    <w:rsid w:val="513261EA"/>
    <w:rsid w:val="51782617"/>
    <w:rsid w:val="5217598C"/>
    <w:rsid w:val="522845F8"/>
    <w:rsid w:val="523707EA"/>
    <w:rsid w:val="52450697"/>
    <w:rsid w:val="529358F1"/>
    <w:rsid w:val="53310CD0"/>
    <w:rsid w:val="533310E7"/>
    <w:rsid w:val="53591057"/>
    <w:rsid w:val="53EE4E13"/>
    <w:rsid w:val="53F84AA7"/>
    <w:rsid w:val="545155B0"/>
    <w:rsid w:val="54907C78"/>
    <w:rsid w:val="54D04518"/>
    <w:rsid w:val="54F975CB"/>
    <w:rsid w:val="553A4B4F"/>
    <w:rsid w:val="553E1482"/>
    <w:rsid w:val="556A671B"/>
    <w:rsid w:val="55F3226C"/>
    <w:rsid w:val="563F1955"/>
    <w:rsid w:val="567B1001"/>
    <w:rsid w:val="568850AA"/>
    <w:rsid w:val="56BD2275"/>
    <w:rsid w:val="56C97471"/>
    <w:rsid w:val="56DC53F6"/>
    <w:rsid w:val="570F2316"/>
    <w:rsid w:val="573B1383"/>
    <w:rsid w:val="575D5D39"/>
    <w:rsid w:val="576D604E"/>
    <w:rsid w:val="57835B27"/>
    <w:rsid w:val="578B34D5"/>
    <w:rsid w:val="57A001D2"/>
    <w:rsid w:val="57D27DD2"/>
    <w:rsid w:val="57FD5624"/>
    <w:rsid w:val="582901C7"/>
    <w:rsid w:val="58443253"/>
    <w:rsid w:val="589E2AD0"/>
    <w:rsid w:val="590B5B1F"/>
    <w:rsid w:val="594352B9"/>
    <w:rsid w:val="597B2E85"/>
    <w:rsid w:val="59CA1091"/>
    <w:rsid w:val="5A3D3D89"/>
    <w:rsid w:val="5A511C57"/>
    <w:rsid w:val="5A851901"/>
    <w:rsid w:val="5A8B229B"/>
    <w:rsid w:val="5A946975"/>
    <w:rsid w:val="5AAD1584"/>
    <w:rsid w:val="5AAE70AA"/>
    <w:rsid w:val="5AFA5E4B"/>
    <w:rsid w:val="5B5312AF"/>
    <w:rsid w:val="5B9E2C7A"/>
    <w:rsid w:val="5BA06CC8"/>
    <w:rsid w:val="5BE32D83"/>
    <w:rsid w:val="5BF63A6F"/>
    <w:rsid w:val="5BFD6478"/>
    <w:rsid w:val="5C14359D"/>
    <w:rsid w:val="5C50666A"/>
    <w:rsid w:val="5C523FA8"/>
    <w:rsid w:val="5C5F68AD"/>
    <w:rsid w:val="5CA803DD"/>
    <w:rsid w:val="5CD03FBA"/>
    <w:rsid w:val="5D8506D6"/>
    <w:rsid w:val="5E32185E"/>
    <w:rsid w:val="5E653F23"/>
    <w:rsid w:val="5E6EF55F"/>
    <w:rsid w:val="5E8F2D4E"/>
    <w:rsid w:val="5EBF1B31"/>
    <w:rsid w:val="5F2A342A"/>
    <w:rsid w:val="5F6F05CB"/>
    <w:rsid w:val="5F9F9AAF"/>
    <w:rsid w:val="5FE07D05"/>
    <w:rsid w:val="602F6597"/>
    <w:rsid w:val="608D114A"/>
    <w:rsid w:val="608F34D9"/>
    <w:rsid w:val="60953464"/>
    <w:rsid w:val="609C34DC"/>
    <w:rsid w:val="61377DF9"/>
    <w:rsid w:val="616D4BA1"/>
    <w:rsid w:val="61860438"/>
    <w:rsid w:val="618E4624"/>
    <w:rsid w:val="618E5A09"/>
    <w:rsid w:val="61A84853"/>
    <w:rsid w:val="61AD23CE"/>
    <w:rsid w:val="61BB3EF2"/>
    <w:rsid w:val="6247406C"/>
    <w:rsid w:val="62593D9F"/>
    <w:rsid w:val="626D03FC"/>
    <w:rsid w:val="62C76F5B"/>
    <w:rsid w:val="630E4B89"/>
    <w:rsid w:val="632C3261"/>
    <w:rsid w:val="633B719E"/>
    <w:rsid w:val="633C485D"/>
    <w:rsid w:val="634467FD"/>
    <w:rsid w:val="63F0428F"/>
    <w:rsid w:val="641A130C"/>
    <w:rsid w:val="641B635A"/>
    <w:rsid w:val="64A160A4"/>
    <w:rsid w:val="64ED07CF"/>
    <w:rsid w:val="65182285"/>
    <w:rsid w:val="65764C68"/>
    <w:rsid w:val="659F41BF"/>
    <w:rsid w:val="65BB2A67"/>
    <w:rsid w:val="65C854C3"/>
    <w:rsid w:val="65EB51FE"/>
    <w:rsid w:val="661F600D"/>
    <w:rsid w:val="667D5C3E"/>
    <w:rsid w:val="670562A3"/>
    <w:rsid w:val="675B5EC3"/>
    <w:rsid w:val="677671A1"/>
    <w:rsid w:val="67D0065F"/>
    <w:rsid w:val="67F707CF"/>
    <w:rsid w:val="68753AE4"/>
    <w:rsid w:val="69006D22"/>
    <w:rsid w:val="69075290"/>
    <w:rsid w:val="691E2BE3"/>
    <w:rsid w:val="69372020"/>
    <w:rsid w:val="69473346"/>
    <w:rsid w:val="698A6F34"/>
    <w:rsid w:val="69D87C9F"/>
    <w:rsid w:val="69EB79D2"/>
    <w:rsid w:val="69F50021"/>
    <w:rsid w:val="69F566F5"/>
    <w:rsid w:val="6A116D0D"/>
    <w:rsid w:val="6A1339F0"/>
    <w:rsid w:val="6A5C267E"/>
    <w:rsid w:val="6A89593D"/>
    <w:rsid w:val="6A98532D"/>
    <w:rsid w:val="6A990FFC"/>
    <w:rsid w:val="6AF24D91"/>
    <w:rsid w:val="6AFC5C0F"/>
    <w:rsid w:val="6B3E3B32"/>
    <w:rsid w:val="6B4A697B"/>
    <w:rsid w:val="6B53745D"/>
    <w:rsid w:val="6BAA0CBF"/>
    <w:rsid w:val="6BC56001"/>
    <w:rsid w:val="6BF608B1"/>
    <w:rsid w:val="6C8639E2"/>
    <w:rsid w:val="6DE54739"/>
    <w:rsid w:val="6E027099"/>
    <w:rsid w:val="6E3C30EB"/>
    <w:rsid w:val="6EC26948"/>
    <w:rsid w:val="6EED5F9B"/>
    <w:rsid w:val="6F03756C"/>
    <w:rsid w:val="6F186900"/>
    <w:rsid w:val="6F5A79A1"/>
    <w:rsid w:val="6F9622F0"/>
    <w:rsid w:val="6FB76BAD"/>
    <w:rsid w:val="6FE7C754"/>
    <w:rsid w:val="6FEF189F"/>
    <w:rsid w:val="70114690"/>
    <w:rsid w:val="7056191E"/>
    <w:rsid w:val="706758D9"/>
    <w:rsid w:val="70891CF3"/>
    <w:rsid w:val="709E66AA"/>
    <w:rsid w:val="71080E6A"/>
    <w:rsid w:val="711A0B9D"/>
    <w:rsid w:val="71724535"/>
    <w:rsid w:val="7189187F"/>
    <w:rsid w:val="71900E5F"/>
    <w:rsid w:val="71AD1A11"/>
    <w:rsid w:val="720A6E64"/>
    <w:rsid w:val="729F135A"/>
    <w:rsid w:val="72A97BB3"/>
    <w:rsid w:val="72F35B4A"/>
    <w:rsid w:val="72F96CB0"/>
    <w:rsid w:val="730906A8"/>
    <w:rsid w:val="73467A28"/>
    <w:rsid w:val="7349576A"/>
    <w:rsid w:val="73495E2C"/>
    <w:rsid w:val="737C7C62"/>
    <w:rsid w:val="73B70925"/>
    <w:rsid w:val="73B9469D"/>
    <w:rsid w:val="73C3315E"/>
    <w:rsid w:val="74720B12"/>
    <w:rsid w:val="74A74BD2"/>
    <w:rsid w:val="74D06143"/>
    <w:rsid w:val="74D53759"/>
    <w:rsid w:val="75137DDD"/>
    <w:rsid w:val="75385831"/>
    <w:rsid w:val="75BC0475"/>
    <w:rsid w:val="75C612F4"/>
    <w:rsid w:val="75E05554"/>
    <w:rsid w:val="75E1612D"/>
    <w:rsid w:val="76A73226"/>
    <w:rsid w:val="7767F223"/>
    <w:rsid w:val="77B37656"/>
    <w:rsid w:val="782347DB"/>
    <w:rsid w:val="788A6608"/>
    <w:rsid w:val="795B11E6"/>
    <w:rsid w:val="79B25E17"/>
    <w:rsid w:val="7AAC6D0A"/>
    <w:rsid w:val="7AAC7A9D"/>
    <w:rsid w:val="7ADD5115"/>
    <w:rsid w:val="7AED5286"/>
    <w:rsid w:val="7AF661D7"/>
    <w:rsid w:val="7B191EC6"/>
    <w:rsid w:val="7B32245F"/>
    <w:rsid w:val="7B3F5C18"/>
    <w:rsid w:val="7B471EA9"/>
    <w:rsid w:val="7B6A54D9"/>
    <w:rsid w:val="7B7F441F"/>
    <w:rsid w:val="7BFD3595"/>
    <w:rsid w:val="7C3570AE"/>
    <w:rsid w:val="7C3F11F4"/>
    <w:rsid w:val="7C6158D2"/>
    <w:rsid w:val="7CAB48CA"/>
    <w:rsid w:val="7CF36423"/>
    <w:rsid w:val="7CFA64E3"/>
    <w:rsid w:val="7D3C258F"/>
    <w:rsid w:val="7D52346D"/>
    <w:rsid w:val="7D9BEB37"/>
    <w:rsid w:val="7DB6452C"/>
    <w:rsid w:val="7DEB7B49"/>
    <w:rsid w:val="7E9F5312"/>
    <w:rsid w:val="7ECF746B"/>
    <w:rsid w:val="7EDCDB20"/>
    <w:rsid w:val="7EFD0F6E"/>
    <w:rsid w:val="7F65392B"/>
    <w:rsid w:val="7F6F0306"/>
    <w:rsid w:val="7F9D2F50"/>
    <w:rsid w:val="7FE24F7C"/>
    <w:rsid w:val="7FE531F9"/>
    <w:rsid w:val="7FEE8958"/>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18343</Words>
  <Characters>19239</Characters>
  <TotalTime>2</TotalTime>
  <ScaleCrop>false</ScaleCrop>
  <LinksUpToDate>false</LinksUpToDate>
  <CharactersWithSpaces>19369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德发</cp:lastModifiedBy>
  <cp:lastPrinted>2023-08-31T02:45:00Z</cp:lastPrinted>
  <dcterms:modified xsi:type="dcterms:W3CDTF">2023-10-27T08:20:09Z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2052-12.1.0.15712</vt:lpwstr>
  </property>
  <property fmtid="{D5CDD505-2E9C-101B-9397-08002B2CF9AE}" pid="5" name="ICV">
    <vt:lpwstr>3C33CC8FA387476B8134746176BAE330_13</vt:lpwstr>
  </property>
</Properties>
</file>