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1" w:lineRule="auto"/>
        <w:rPr>
          <w:rFonts w:hint="eastAsia" w:ascii="宋体" w:hAnsi="宋体" w:eastAsia="宋体" w:cs="宋体"/>
          <w:sz w:val="21"/>
          <w:highlight w:val="none"/>
        </w:rPr>
      </w:pPr>
    </w:p>
    <w:p>
      <w:pPr>
        <w:spacing w:line="272" w:lineRule="auto"/>
        <w:rPr>
          <w:rFonts w:hint="eastAsia" w:ascii="宋体" w:hAnsi="宋体" w:eastAsia="宋体" w:cs="宋体"/>
          <w:sz w:val="21"/>
          <w:highlight w:val="none"/>
        </w:rPr>
      </w:pPr>
    </w:p>
    <w:p>
      <w:pPr>
        <w:spacing w:line="272" w:lineRule="auto"/>
        <w:rPr>
          <w:rFonts w:hint="eastAsia" w:ascii="宋体" w:hAnsi="宋体" w:eastAsia="宋体" w:cs="宋体"/>
          <w:sz w:val="21"/>
          <w:highlight w:val="none"/>
        </w:rPr>
      </w:pPr>
    </w:p>
    <w:p>
      <w:pPr>
        <w:rPr>
          <w:rFonts w:hint="eastAsia" w:ascii="宋体" w:hAnsi="宋体" w:eastAsia="宋体" w:cs="宋体"/>
          <w:sz w:val="21"/>
          <w:highlight w:val="none"/>
        </w:rPr>
      </w:pPr>
    </w:p>
    <w:p>
      <w:pPr>
        <w:pStyle w:val="7"/>
        <w:rPr>
          <w:rFonts w:hint="eastAsia" w:ascii="宋体" w:hAnsi="宋体" w:eastAsia="宋体" w:cs="宋体"/>
          <w:sz w:val="21"/>
          <w:highlight w:val="none"/>
        </w:rPr>
      </w:pPr>
    </w:p>
    <w:p>
      <w:pPr>
        <w:rPr>
          <w:rFonts w:hint="eastAsia" w:ascii="宋体" w:hAnsi="宋体" w:eastAsia="宋体" w:cs="宋体"/>
          <w:highlight w:val="none"/>
        </w:rPr>
      </w:pPr>
    </w:p>
    <w:p>
      <w:pPr>
        <w:bidi w:val="0"/>
        <w:jc w:val="center"/>
        <w:rPr>
          <w:rFonts w:hint="default"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政府采购项目招标代理机构</w:t>
      </w:r>
    </w:p>
    <w:p>
      <w:pPr>
        <w:bidi w:val="0"/>
        <w:jc w:val="center"/>
        <w:rPr>
          <w:rFonts w:hint="eastAsia" w:ascii="宋体" w:hAnsi="宋体" w:eastAsia="宋体" w:cs="宋体"/>
          <w:b/>
          <w:bCs/>
          <w:sz w:val="56"/>
          <w:szCs w:val="56"/>
          <w:highlight w:val="none"/>
        </w:rPr>
      </w:pPr>
      <w:r>
        <w:rPr>
          <w:rFonts w:hint="eastAsia" w:ascii="宋体" w:hAnsi="宋体" w:eastAsia="宋体" w:cs="宋体"/>
          <w:b/>
          <w:bCs/>
          <w:sz w:val="56"/>
          <w:szCs w:val="56"/>
          <w:highlight w:val="none"/>
          <w:lang w:val="en-US" w:eastAsia="zh-CN"/>
        </w:rPr>
        <w:t>批量</w:t>
      </w:r>
      <w:r>
        <w:rPr>
          <w:rFonts w:hint="eastAsia" w:ascii="宋体" w:hAnsi="宋体" w:eastAsia="宋体" w:cs="宋体"/>
          <w:b/>
          <w:bCs/>
          <w:sz w:val="56"/>
          <w:szCs w:val="56"/>
          <w:highlight w:val="none"/>
        </w:rPr>
        <w:t>采购文件</w:t>
      </w:r>
    </w:p>
    <w:p>
      <w:pPr>
        <w:spacing w:line="282" w:lineRule="auto"/>
        <w:rPr>
          <w:rFonts w:hint="eastAsia" w:ascii="宋体" w:hAnsi="宋体" w:eastAsia="宋体" w:cs="宋体"/>
          <w:b/>
          <w:bCs/>
          <w:sz w:val="21"/>
          <w:highlight w:val="none"/>
        </w:rPr>
      </w:pPr>
    </w:p>
    <w:p>
      <w:pPr>
        <w:spacing w:line="282" w:lineRule="auto"/>
        <w:rPr>
          <w:rFonts w:hint="eastAsia" w:ascii="宋体" w:hAnsi="宋体" w:eastAsia="宋体" w:cs="宋体"/>
          <w:b/>
          <w:bCs/>
          <w:sz w:val="21"/>
          <w:highlight w:val="none"/>
        </w:rPr>
      </w:pPr>
    </w:p>
    <w:p>
      <w:pPr>
        <w:spacing w:line="282" w:lineRule="auto"/>
        <w:rPr>
          <w:rFonts w:hint="eastAsia" w:ascii="宋体" w:hAnsi="宋体" w:eastAsia="宋体" w:cs="宋体"/>
          <w:b/>
          <w:bCs/>
          <w:sz w:val="21"/>
          <w:highlight w:val="none"/>
        </w:rPr>
      </w:pPr>
    </w:p>
    <w:p>
      <w:pPr>
        <w:spacing w:line="282" w:lineRule="auto"/>
        <w:rPr>
          <w:rFonts w:hint="eastAsia" w:ascii="宋体" w:hAnsi="宋体" w:eastAsia="宋体" w:cs="宋体"/>
          <w:b/>
          <w:bCs/>
          <w:sz w:val="21"/>
          <w:highlight w:val="none"/>
        </w:rPr>
      </w:pPr>
    </w:p>
    <w:p>
      <w:pPr>
        <w:spacing w:line="283" w:lineRule="auto"/>
        <w:rPr>
          <w:rFonts w:hint="eastAsia" w:ascii="宋体" w:hAnsi="宋体" w:eastAsia="宋体" w:cs="宋体"/>
          <w:b/>
          <w:bCs/>
          <w:sz w:val="21"/>
          <w:highlight w:val="none"/>
        </w:rPr>
      </w:pPr>
    </w:p>
    <w:p>
      <w:pPr>
        <w:spacing w:line="283" w:lineRule="auto"/>
        <w:rPr>
          <w:rFonts w:hint="eastAsia" w:ascii="宋体" w:hAnsi="宋体" w:eastAsia="宋体" w:cs="宋体"/>
          <w:b/>
          <w:bCs/>
          <w:sz w:val="21"/>
          <w:highlight w:val="none"/>
        </w:rPr>
      </w:pPr>
    </w:p>
    <w:p>
      <w:pPr>
        <w:spacing w:line="283" w:lineRule="auto"/>
        <w:rPr>
          <w:rFonts w:hint="eastAsia" w:ascii="宋体" w:hAnsi="宋体" w:eastAsia="宋体" w:cs="宋体"/>
          <w:b/>
          <w:bCs/>
          <w:sz w:val="21"/>
          <w:highlight w:val="none"/>
        </w:rPr>
      </w:pPr>
    </w:p>
    <w:p>
      <w:pPr>
        <w:spacing w:line="283" w:lineRule="auto"/>
        <w:rPr>
          <w:rFonts w:hint="eastAsia" w:ascii="宋体" w:hAnsi="宋体" w:eastAsia="宋体" w:cs="宋体"/>
          <w:b/>
          <w:bCs/>
          <w:sz w:val="21"/>
          <w:highlight w:val="none"/>
        </w:rPr>
      </w:pPr>
    </w:p>
    <w:p>
      <w:pPr>
        <w:spacing w:line="251" w:lineRule="auto"/>
        <w:rPr>
          <w:rFonts w:hint="eastAsia" w:ascii="宋体" w:hAnsi="宋体" w:eastAsia="宋体" w:cs="宋体"/>
          <w:b/>
          <w:bCs/>
          <w:sz w:val="21"/>
          <w:highlight w:val="none"/>
        </w:rPr>
      </w:pPr>
    </w:p>
    <w:p>
      <w:pPr>
        <w:spacing w:line="251" w:lineRule="auto"/>
        <w:rPr>
          <w:rFonts w:hint="eastAsia" w:ascii="宋体" w:hAnsi="宋体" w:eastAsia="宋体" w:cs="宋体"/>
          <w:b/>
          <w:bCs/>
          <w:sz w:val="21"/>
          <w:highlight w:val="none"/>
        </w:rPr>
      </w:pPr>
    </w:p>
    <w:p>
      <w:pPr>
        <w:spacing w:line="251" w:lineRule="auto"/>
        <w:rPr>
          <w:rFonts w:hint="eastAsia" w:ascii="宋体" w:hAnsi="宋体" w:eastAsia="宋体" w:cs="宋体"/>
          <w:b/>
          <w:bCs/>
          <w:sz w:val="21"/>
          <w:highlight w:val="none"/>
        </w:rPr>
      </w:pPr>
    </w:p>
    <w:p>
      <w:pPr>
        <w:spacing w:line="251"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pStyle w:val="7"/>
        <w:rPr>
          <w:rFonts w:hint="eastAsia" w:ascii="宋体" w:hAnsi="宋体" w:eastAsia="宋体" w:cs="宋体"/>
          <w:highlight w:val="none"/>
        </w:rPr>
      </w:pPr>
    </w:p>
    <w:p>
      <w:pPr>
        <w:spacing w:line="252" w:lineRule="auto"/>
        <w:rPr>
          <w:rFonts w:hint="eastAsia" w:ascii="宋体" w:hAnsi="宋体" w:eastAsia="宋体" w:cs="宋体"/>
          <w:b/>
          <w:bCs/>
          <w:sz w:val="21"/>
          <w:highlight w:val="none"/>
        </w:rPr>
      </w:pPr>
    </w:p>
    <w:p>
      <w:pPr>
        <w:rPr>
          <w:rFonts w:hint="eastAsia" w:ascii="宋体" w:hAnsi="宋体" w:eastAsia="宋体" w:cs="宋体"/>
          <w:b/>
          <w:bCs/>
          <w:sz w:val="21"/>
          <w:highlight w:val="none"/>
        </w:rPr>
      </w:pPr>
    </w:p>
    <w:p>
      <w:pPr>
        <w:pStyle w:val="7"/>
        <w:rPr>
          <w:rFonts w:hint="eastAsia" w:ascii="宋体" w:hAnsi="宋体" w:eastAsia="宋体" w:cs="宋体"/>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2023年</w:t>
      </w:r>
      <w:r>
        <w:rPr>
          <w:rFonts w:hint="eastAsia" w:ascii="宋体" w:hAnsi="宋体" w:eastAsia="宋体" w:cs="宋体"/>
          <w:b/>
          <w:bCs/>
          <w:sz w:val="32"/>
          <w:szCs w:val="32"/>
          <w:highlight w:val="none"/>
          <w:lang w:val="en-US" w:eastAsia="zh-CN"/>
        </w:rPr>
        <w:t>10</w:t>
      </w:r>
      <w:r>
        <w:rPr>
          <w:rFonts w:hint="eastAsia" w:ascii="宋体" w:hAnsi="宋体" w:eastAsia="宋体" w:cs="宋体"/>
          <w:b/>
          <w:bCs/>
          <w:sz w:val="32"/>
          <w:szCs w:val="32"/>
          <w:highlight w:val="none"/>
          <w:lang w:eastAsia="zh-CN"/>
        </w:rPr>
        <w:t>月</w:t>
      </w:r>
    </w:p>
    <w:p>
      <w:pPr>
        <w:rPr>
          <w:rFonts w:hint="eastAsia" w:ascii="宋体" w:hAnsi="宋体" w:eastAsia="宋体" w:cs="宋体"/>
          <w:b/>
          <w:bCs/>
          <w:highlight w:val="none"/>
        </w:rPr>
        <w:sectPr>
          <w:footerReference r:id="rId5" w:type="default"/>
          <w:pgSz w:w="11900" w:h="16840"/>
          <w:pgMar w:top="1440" w:right="1800" w:bottom="1440" w:left="1800"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pPr>
        <w:spacing w:line="241" w:lineRule="auto"/>
        <w:jc w:val="center"/>
        <w:rPr>
          <w:rFonts w:hint="eastAsia" w:ascii="宋体" w:hAnsi="宋体" w:eastAsia="宋体" w:cs="宋体"/>
          <w:highlight w:val="none"/>
          <w:lang w:val="en-US" w:eastAsia="zh-CN"/>
        </w:rPr>
      </w:pPr>
      <w:r>
        <w:rPr>
          <w:rFonts w:hint="eastAsia" w:ascii="宋体" w:hAnsi="宋体" w:eastAsia="宋体" w:cs="宋体"/>
          <w:b/>
          <w:bCs/>
          <w:sz w:val="32"/>
          <w:szCs w:val="32"/>
          <w:highlight w:val="none"/>
          <w:lang w:val="en-US" w:eastAsia="zh-CN"/>
        </w:rPr>
        <w:t xml:space="preserve">目 </w:t>
      </w:r>
      <w:r>
        <w:rPr>
          <w:rFonts w:hint="eastAsia" w:ascii="宋体" w:hAnsi="宋体" w:eastAsia="宋体" w:cs="宋体"/>
          <w:b/>
          <w:bCs/>
          <w:sz w:val="32"/>
          <w:szCs w:val="32"/>
          <w:highlight w:val="none"/>
          <w:lang w:eastAsia="zh-CN"/>
        </w:rPr>
        <w:t xml:space="preserve">   </w:t>
      </w:r>
      <w:r>
        <w:rPr>
          <w:rFonts w:hint="eastAsia" w:ascii="宋体" w:hAnsi="宋体" w:eastAsia="宋体" w:cs="宋体"/>
          <w:b/>
          <w:bCs/>
          <w:sz w:val="32"/>
          <w:szCs w:val="32"/>
          <w:highlight w:val="none"/>
          <w:lang w:val="en-US" w:eastAsia="zh-CN"/>
        </w:rPr>
        <w:t>录</w:t>
      </w:r>
    </w:p>
    <w:p>
      <w:pPr>
        <w:rPr>
          <w:rFonts w:hint="eastAsia" w:ascii="宋体" w:hAnsi="宋体" w:eastAsia="宋体" w:cs="宋体"/>
          <w:highlight w:val="none"/>
          <w:lang w:val="en-US" w:eastAsia="zh-CN"/>
        </w:rPr>
      </w:pP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"1-3"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"1-3"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_Toc12701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第一章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邀请</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_Toc12701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_Toc13314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第二章 供应商须知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_Toc13314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_Toc17762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第三章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项目技术、服务、商务及其他要求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_Toc17762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_Toc463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3.1</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项目概况</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_Toc463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_Toc20832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3.2</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采购内容</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_Toc20832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_Toc2000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3.3</w:t>
      </w:r>
      <w:r>
        <w:rPr>
          <w:rFonts w:hint="eastAsia" w:ascii="宋体" w:hAnsi="宋体" w:eastAsia="宋体" w:cs="宋体"/>
          <w:b w:val="0"/>
          <w:bCs w:val="0"/>
          <w:sz w:val="24"/>
          <w:szCs w:val="24"/>
          <w:highlight w:val="none"/>
          <w:lang w:val="en-US" w:eastAsia="zh-CN"/>
        </w:rPr>
        <w:t>.项目</w:t>
      </w:r>
      <w:r>
        <w:rPr>
          <w:rFonts w:hint="eastAsia" w:ascii="宋体" w:hAnsi="宋体" w:eastAsia="宋体" w:cs="宋体"/>
          <w:b w:val="0"/>
          <w:bCs w:val="0"/>
          <w:sz w:val="24"/>
          <w:szCs w:val="24"/>
          <w:highlight w:val="none"/>
        </w:rPr>
        <w:t>内容</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_Toc2000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_Toc14456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3.4</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商务要求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_Toc14456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第四章 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_Toc27175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一般资格审查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_Toc27306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4.2.特殊资格审查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_Toc26759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4.3.落实政府采购政策资格审查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_Toc18286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第五章 入围评审办法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7</w:t>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_Toc2555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第六章 合同文本</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_Toc2555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_Toc8502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第七章 响应文件格式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9</w:t>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b w:val="0"/>
          <w:bCs w:val="0"/>
          <w:sz w:val="24"/>
          <w:szCs w:val="24"/>
          <w:highlight w:val="none"/>
        </w:rPr>
        <w:fldChar w:fldCharType="end"/>
      </w:r>
    </w:p>
    <w:p>
      <w:pPr>
        <w:pStyle w:val="2"/>
        <w:keepNext/>
        <w:keepLines/>
        <w:pageBreakBefore/>
        <w:widowControl/>
        <w:numPr>
          <w:ilvl w:val="0"/>
          <w:numId w:val="1"/>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highlight w:val="none"/>
        </w:rPr>
      </w:pPr>
      <w:bookmarkStart w:id="0" w:name="_Toc12701"/>
      <w:bookmarkStart w:id="1" w:name="_Toc4895"/>
      <w:r>
        <w:rPr>
          <w:rFonts w:hint="eastAsia" w:ascii="宋体" w:hAnsi="宋体" w:eastAsia="宋体" w:cs="宋体"/>
          <w:highlight w:val="none"/>
          <w:lang w:val="en-US" w:eastAsia="zh-CN"/>
        </w:rPr>
        <w:t>采购</w:t>
      </w:r>
      <w:r>
        <w:rPr>
          <w:rFonts w:hint="eastAsia" w:ascii="宋体" w:hAnsi="宋体" w:eastAsia="宋体" w:cs="宋体"/>
          <w:highlight w:val="none"/>
        </w:rPr>
        <w:t>邀请</w:t>
      </w:r>
      <w:bookmarkEnd w:id="0"/>
      <w:bookmarkEnd w:id="1"/>
    </w:p>
    <w:p>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rFonts w:hint="eastAsia" w:ascii="宋体" w:hAnsi="宋体" w:eastAsia="宋体" w:cs="宋体"/>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汕尾市代建项目事务中心作为本项目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人，拟对</w:t>
      </w:r>
      <w:r>
        <w:rPr>
          <w:rFonts w:hint="eastAsia" w:ascii="宋体" w:hAnsi="宋体" w:eastAsia="宋体" w:cs="宋体"/>
          <w:sz w:val="24"/>
          <w:szCs w:val="24"/>
          <w:highlight w:val="none"/>
          <w:lang w:val="en-US" w:eastAsia="zh-CN"/>
        </w:rPr>
        <w:t>政府采购项目</w:t>
      </w:r>
      <w:r>
        <w:rPr>
          <w:rFonts w:hint="eastAsia" w:ascii="宋体" w:hAnsi="宋体" w:eastAsia="宋体" w:cs="宋体"/>
          <w:spacing w:val="2"/>
          <w:sz w:val="24"/>
          <w:szCs w:val="24"/>
          <w:highlight w:val="none"/>
          <w:lang w:eastAsia="zh-CN"/>
        </w:rPr>
        <w:t>招标代理</w:t>
      </w:r>
      <w:r>
        <w:rPr>
          <w:rFonts w:hint="eastAsia" w:ascii="宋体" w:hAnsi="宋体" w:eastAsia="宋体" w:cs="宋体"/>
          <w:spacing w:val="2"/>
          <w:sz w:val="24"/>
          <w:szCs w:val="24"/>
          <w:highlight w:val="none"/>
          <w:lang w:val="en-US" w:eastAsia="zh-CN"/>
        </w:rPr>
        <w:t>机构</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采购，兹邀请符合本次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要求的供应商参加。</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2" w:name="_Toc709"/>
      <w:bookmarkStart w:id="3" w:name="_Toc7459"/>
      <w:bookmarkStart w:id="4" w:name="_Toc18857"/>
      <w:r>
        <w:rPr>
          <w:rFonts w:hint="eastAsia" w:ascii="宋体" w:hAnsi="宋体" w:eastAsia="宋体" w:cs="宋体"/>
          <w:highlight w:val="none"/>
          <w:lang w:val="en-US" w:eastAsia="zh-CN"/>
        </w:rPr>
        <w:t>一、</w:t>
      </w:r>
      <w:bookmarkEnd w:id="2"/>
      <w:bookmarkEnd w:id="3"/>
      <w:bookmarkEnd w:id="4"/>
      <w:bookmarkStart w:id="5" w:name="_Toc2214"/>
      <w:bookmarkStart w:id="6" w:name="_Toc7232"/>
      <w:bookmarkStart w:id="7" w:name="_Toc11607"/>
      <w:r>
        <w:rPr>
          <w:rFonts w:hint="eastAsia" w:ascii="宋体" w:hAnsi="宋体" w:eastAsia="宋体" w:cs="宋体"/>
          <w:b/>
          <w:highlight w:val="none"/>
          <w:lang w:val="en-US" w:eastAsia="zh-CN"/>
        </w:rPr>
        <w:t>采购</w:t>
      </w:r>
      <w:r>
        <w:rPr>
          <w:rFonts w:hint="eastAsia" w:ascii="宋体" w:hAnsi="宋体" w:eastAsia="宋体" w:cs="宋体"/>
          <w:b/>
          <w:highlight w:val="none"/>
        </w:rPr>
        <w:t>项目名称</w:t>
      </w:r>
      <w:bookmarkEnd w:id="5"/>
      <w:bookmarkEnd w:id="6"/>
      <w:bookmarkEnd w:id="7"/>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default" w:ascii="宋体" w:hAnsi="宋体" w:eastAsia="宋体" w:cs="宋体"/>
          <w:sz w:val="24"/>
          <w:szCs w:val="24"/>
          <w:highlight w:val="none"/>
          <w:lang w:val="en-US" w:eastAsia="zh-CN"/>
        </w:rPr>
      </w:pPr>
      <w:bookmarkStart w:id="8" w:name="_Toc7946"/>
      <w:bookmarkStart w:id="9" w:name="_Toc4649"/>
      <w:bookmarkStart w:id="10" w:name="_Toc10190"/>
      <w:r>
        <w:rPr>
          <w:rFonts w:hint="eastAsia" w:ascii="宋体" w:hAnsi="宋体" w:eastAsia="宋体" w:cs="宋体"/>
          <w:sz w:val="24"/>
          <w:szCs w:val="24"/>
          <w:highlight w:val="none"/>
          <w:lang w:val="en-US" w:eastAsia="zh-CN"/>
        </w:rPr>
        <w:t>政府采购项目</w:t>
      </w:r>
      <w:r>
        <w:rPr>
          <w:rFonts w:hint="eastAsia" w:ascii="宋体" w:hAnsi="宋体" w:eastAsia="宋体" w:cs="宋体"/>
          <w:spacing w:val="2"/>
          <w:sz w:val="24"/>
          <w:szCs w:val="24"/>
          <w:highlight w:val="none"/>
          <w:lang w:eastAsia="zh-CN"/>
        </w:rPr>
        <w:t>招标代理服务</w:t>
      </w:r>
      <w:r>
        <w:rPr>
          <w:rFonts w:hint="eastAsia" w:ascii="宋体" w:hAnsi="宋体" w:eastAsia="宋体" w:cs="宋体"/>
          <w:spacing w:val="2"/>
          <w:sz w:val="24"/>
          <w:szCs w:val="24"/>
          <w:highlight w:val="none"/>
          <w:lang w:val="en-US" w:eastAsia="zh-CN"/>
        </w:rPr>
        <w:t>机构</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二</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项目简介</w:t>
      </w:r>
      <w:bookmarkEnd w:id="8"/>
      <w:bookmarkEnd w:id="9"/>
      <w:bookmarkEnd w:id="10"/>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b w:val="0"/>
          <w:bCs/>
          <w:spacing w:val="2"/>
          <w:sz w:val="24"/>
          <w:szCs w:val="24"/>
          <w:highlight w:val="none"/>
        </w:rPr>
      </w:pPr>
      <w:bookmarkStart w:id="11" w:name="_Toc20335"/>
      <w:bookmarkStart w:id="12" w:name="_Toc20120"/>
      <w:bookmarkStart w:id="13" w:name="_Toc25888"/>
      <w:r>
        <w:rPr>
          <w:rFonts w:hint="eastAsia" w:ascii="宋体" w:hAnsi="宋体" w:eastAsia="宋体" w:cs="宋体"/>
          <w:b w:val="0"/>
          <w:bCs/>
          <w:spacing w:val="2"/>
          <w:sz w:val="24"/>
          <w:szCs w:val="24"/>
          <w:highlight w:val="none"/>
        </w:rPr>
        <w:t>通过</w:t>
      </w:r>
      <w:r>
        <w:rPr>
          <w:rFonts w:hint="eastAsia" w:ascii="宋体" w:hAnsi="宋体" w:eastAsia="宋体" w:cs="宋体"/>
          <w:b w:val="0"/>
          <w:bCs/>
          <w:spacing w:val="2"/>
          <w:sz w:val="24"/>
          <w:szCs w:val="24"/>
          <w:highlight w:val="none"/>
          <w:lang w:val="en-US" w:eastAsia="zh-CN"/>
        </w:rPr>
        <w:t>批量</w:t>
      </w:r>
      <w:r>
        <w:rPr>
          <w:rFonts w:hint="eastAsia" w:ascii="宋体" w:hAnsi="宋体" w:eastAsia="宋体" w:cs="宋体"/>
          <w:b w:val="0"/>
          <w:bCs/>
          <w:spacing w:val="2"/>
          <w:sz w:val="24"/>
          <w:szCs w:val="24"/>
          <w:highlight w:val="none"/>
        </w:rPr>
        <w:t>采购方式</w:t>
      </w:r>
      <w:r>
        <w:rPr>
          <w:rFonts w:hint="eastAsia" w:ascii="宋体" w:hAnsi="宋体" w:eastAsia="宋体" w:cs="宋体"/>
          <w:b w:val="0"/>
          <w:bCs/>
          <w:spacing w:val="2"/>
          <w:sz w:val="24"/>
          <w:szCs w:val="24"/>
          <w:highlight w:val="none"/>
          <w:lang w:val="en-US" w:eastAsia="zh-CN"/>
        </w:rPr>
        <w:t>选取</w:t>
      </w:r>
      <w:r>
        <w:rPr>
          <w:rFonts w:hint="eastAsia" w:ascii="宋体" w:hAnsi="宋体" w:eastAsia="宋体" w:cs="宋体"/>
          <w:b w:val="0"/>
          <w:bCs/>
          <w:spacing w:val="2"/>
          <w:sz w:val="24"/>
          <w:szCs w:val="24"/>
          <w:highlight w:val="none"/>
        </w:rPr>
        <w:t>供应商承担</w:t>
      </w:r>
      <w:r>
        <w:rPr>
          <w:rFonts w:hint="eastAsia" w:ascii="宋体" w:hAnsi="宋体" w:eastAsia="宋体" w:cs="宋体"/>
          <w:sz w:val="24"/>
          <w:szCs w:val="24"/>
          <w:highlight w:val="none"/>
          <w:lang w:val="en-US" w:eastAsia="zh-CN"/>
        </w:rPr>
        <w:t>政府采购项目</w:t>
      </w:r>
      <w:r>
        <w:rPr>
          <w:rFonts w:hint="eastAsia" w:ascii="宋体" w:hAnsi="宋体" w:eastAsia="宋体" w:cs="宋体"/>
          <w:spacing w:val="2"/>
          <w:sz w:val="24"/>
          <w:szCs w:val="24"/>
          <w:highlight w:val="none"/>
          <w:lang w:eastAsia="zh-CN"/>
        </w:rPr>
        <w:t>招标代理</w:t>
      </w:r>
      <w:r>
        <w:rPr>
          <w:rFonts w:hint="eastAsia" w:ascii="宋体" w:hAnsi="宋体" w:eastAsia="宋体" w:cs="宋体"/>
          <w:b w:val="0"/>
          <w:bCs/>
          <w:spacing w:val="2"/>
          <w:sz w:val="24"/>
          <w:szCs w:val="24"/>
          <w:highlight w:val="none"/>
        </w:rPr>
        <w:t>。</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三</w:t>
      </w:r>
      <w:r>
        <w:rPr>
          <w:rFonts w:hint="eastAsia" w:ascii="宋体" w:hAnsi="宋体" w:eastAsia="宋体" w:cs="宋体"/>
          <w:b/>
          <w:highlight w:val="none"/>
        </w:rPr>
        <w:t>、供应商参加本次政府采购活动应具备下列条件</w:t>
      </w:r>
      <w:bookmarkEnd w:id="11"/>
      <w:bookmarkEnd w:id="12"/>
      <w:bookmarkEnd w:id="13"/>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一</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满足《中</w:t>
      </w:r>
      <w:r>
        <w:rPr>
          <w:rFonts w:hint="eastAsia" w:ascii="宋体" w:hAnsi="宋体" w:eastAsia="宋体" w:cs="宋体"/>
          <w:spacing w:val="1"/>
          <w:sz w:val="24"/>
          <w:szCs w:val="24"/>
          <w:highlight w:val="none"/>
        </w:rPr>
        <w:t>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lang w:val="en-US" w:eastAsia="zh-CN"/>
        </w:rPr>
        <w:t>二</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rPr>
        <w:t>落实政府采购政策需满足的资格要求：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执行政府采购促进中小企业发展的</w:t>
      </w:r>
      <w:r>
        <w:rPr>
          <w:rFonts w:hint="eastAsia" w:ascii="宋体" w:hAnsi="宋体" w:eastAsia="宋体" w:cs="宋体"/>
          <w:spacing w:val="1"/>
          <w:sz w:val="24"/>
          <w:szCs w:val="24"/>
          <w:highlight w:val="none"/>
        </w:rPr>
        <w:t>相关政策: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position w:val="3"/>
          <w:sz w:val="24"/>
          <w:szCs w:val="24"/>
          <w:highlight w:val="none"/>
        </w:rPr>
        <w:t>本项目不属于专门面向中小企业采购。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(三)本项目的</w:t>
      </w:r>
      <w:r>
        <w:rPr>
          <w:rFonts w:hint="eastAsia" w:ascii="宋体" w:hAnsi="宋体" w:eastAsia="宋体" w:cs="宋体"/>
          <w:spacing w:val="1"/>
          <w:sz w:val="24"/>
          <w:szCs w:val="24"/>
          <w:highlight w:val="none"/>
        </w:rPr>
        <w:t>特定资格要求：详见第四章 资格审查 → 4.2特殊资格审查。</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4" w:name="_Toc20395"/>
      <w:bookmarkStart w:id="15" w:name="_Toc10816"/>
      <w:bookmarkStart w:id="16" w:name="_Toc592"/>
      <w:r>
        <w:rPr>
          <w:rFonts w:hint="eastAsia" w:ascii="宋体" w:hAnsi="宋体" w:eastAsia="宋体" w:cs="宋体"/>
          <w:b/>
          <w:highlight w:val="none"/>
          <w:lang w:val="en-US" w:eastAsia="zh-CN"/>
        </w:rPr>
        <w:t>四</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文件获取方式及地址</w:t>
      </w:r>
      <w:bookmarkEnd w:id="14"/>
      <w:bookmarkEnd w:id="15"/>
      <w:bookmarkEnd w:id="16"/>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一</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人将本项目</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文件</w:t>
      </w:r>
      <w:r>
        <w:rPr>
          <w:rFonts w:hint="eastAsia" w:ascii="宋体" w:hAnsi="宋体" w:eastAsia="宋体" w:cs="宋体"/>
          <w:spacing w:val="-4"/>
          <w:sz w:val="24"/>
          <w:szCs w:val="24"/>
          <w:highlight w:val="none"/>
          <w:lang w:val="en-US" w:eastAsia="zh-CN"/>
        </w:rPr>
        <w:t>在汕尾市代建项目事务中心门户网站上发布，供应商自行下载获取采购文件。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二</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人进行澄清或者修改的，澄清或者修改的内容可能影响响应文件编制的，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人将</w:t>
      </w:r>
      <w:r>
        <w:rPr>
          <w:rFonts w:hint="eastAsia" w:ascii="宋体" w:hAnsi="宋体" w:eastAsia="宋体" w:cs="宋体"/>
          <w:spacing w:val="-4"/>
          <w:sz w:val="24"/>
          <w:szCs w:val="24"/>
          <w:highlight w:val="none"/>
          <w:lang w:val="en-US" w:eastAsia="zh-CN"/>
        </w:rPr>
        <w:t>在汕尾市代建项目事务中心门户网站上发布</w:t>
      </w:r>
      <w:r>
        <w:rPr>
          <w:rFonts w:hint="eastAsia" w:ascii="宋体" w:hAnsi="宋体" w:eastAsia="宋体" w:cs="宋体"/>
          <w:spacing w:val="2"/>
          <w:sz w:val="24"/>
          <w:szCs w:val="24"/>
          <w:highlight w:val="none"/>
        </w:rPr>
        <w:t>澄清或者修改后的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文件，供应商应当重新获取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文件。供应商未重新获取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文件或者未按照澄清或</w:t>
      </w:r>
      <w:r>
        <w:rPr>
          <w:rFonts w:hint="eastAsia" w:ascii="宋体" w:hAnsi="宋体" w:eastAsia="宋体" w:cs="宋体"/>
          <w:sz w:val="24"/>
          <w:szCs w:val="24"/>
          <w:highlight w:val="none"/>
        </w:rPr>
        <w:t>者修改</w:t>
      </w:r>
      <w:r>
        <w:rPr>
          <w:rFonts w:hint="eastAsia" w:ascii="宋体" w:hAnsi="宋体" w:eastAsia="宋体" w:cs="宋体"/>
          <w:spacing w:val="-2"/>
          <w:sz w:val="24"/>
          <w:szCs w:val="24"/>
          <w:highlight w:val="none"/>
        </w:rPr>
        <w:t>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文件编制响应文件进行响应的，自行承担不利后</w:t>
      </w:r>
      <w:r>
        <w:rPr>
          <w:rFonts w:hint="eastAsia" w:ascii="宋体" w:hAnsi="宋体" w:eastAsia="宋体" w:cs="宋体"/>
          <w:spacing w:val="-1"/>
          <w:sz w:val="24"/>
          <w:szCs w:val="24"/>
          <w:highlight w:val="none"/>
        </w:rPr>
        <w:t>果</w:t>
      </w:r>
      <w:r>
        <w:rPr>
          <w:rFonts w:hint="eastAsia" w:ascii="宋体" w:hAnsi="宋体" w:eastAsia="宋体" w:cs="宋体"/>
          <w:sz w:val="24"/>
          <w:szCs w:val="24"/>
          <w:highlight w:val="none"/>
        </w:rPr>
        <w:t>。</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7" w:name="_Toc21160"/>
      <w:bookmarkStart w:id="18" w:name="_Toc18707"/>
      <w:bookmarkStart w:id="19" w:name="_Toc10434"/>
      <w:r>
        <w:rPr>
          <w:rFonts w:hint="eastAsia" w:ascii="宋体" w:hAnsi="宋体" w:eastAsia="宋体" w:cs="宋体"/>
          <w:b/>
          <w:highlight w:val="none"/>
          <w:lang w:val="en-US" w:eastAsia="zh-CN"/>
        </w:rPr>
        <w:t>五</w:t>
      </w:r>
      <w:r>
        <w:rPr>
          <w:rFonts w:hint="eastAsia" w:ascii="宋体" w:hAnsi="宋体" w:eastAsia="宋体" w:cs="宋体"/>
          <w:b/>
          <w:highlight w:val="none"/>
        </w:rPr>
        <w:t>、响应文件提交截止时间及开启时间、地点、方式</w:t>
      </w:r>
      <w:bookmarkEnd w:id="17"/>
      <w:bookmarkEnd w:id="18"/>
      <w:bookmarkEnd w:id="19"/>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一</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rPr>
        <w:t>响应文件提交截止时间：2023年</w:t>
      </w:r>
      <w:r>
        <w:rPr>
          <w:rFonts w:hint="eastAsia" w:ascii="宋体" w:hAnsi="宋体" w:eastAsia="宋体" w:cs="宋体"/>
          <w:spacing w:val="-1"/>
          <w:position w:val="3"/>
          <w:sz w:val="24"/>
          <w:szCs w:val="24"/>
          <w:highlight w:val="none"/>
          <w:lang w:val="en-US" w:eastAsia="zh-CN"/>
        </w:rPr>
        <w:t>11</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3</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14</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30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二</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rPr>
        <w:t>响应文件提交方式、地点：供应商应当在响应文件提交截止时间前</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将响应文件</w:t>
      </w:r>
      <w:r>
        <w:rPr>
          <w:rFonts w:hint="eastAsia" w:ascii="宋体" w:hAnsi="宋体" w:eastAsia="宋体" w:cs="宋体"/>
          <w:spacing w:val="2"/>
          <w:position w:val="3"/>
          <w:sz w:val="24"/>
          <w:szCs w:val="24"/>
          <w:highlight w:val="none"/>
        </w:rPr>
        <w:t>密封包装</w:t>
      </w:r>
      <w:r>
        <w:rPr>
          <w:rFonts w:hint="eastAsia" w:ascii="宋体" w:hAnsi="宋体" w:eastAsia="宋体" w:cs="宋体"/>
          <w:spacing w:val="2"/>
          <w:position w:val="3"/>
          <w:sz w:val="24"/>
          <w:szCs w:val="24"/>
          <w:highlight w:val="none"/>
          <w:lang w:val="en-US" w:eastAsia="zh-CN"/>
        </w:rPr>
        <w:t>并</w:t>
      </w:r>
      <w:r>
        <w:rPr>
          <w:rFonts w:hint="eastAsia" w:ascii="宋体" w:hAnsi="宋体" w:eastAsia="宋体" w:cs="宋体"/>
          <w:spacing w:val="2"/>
          <w:position w:val="3"/>
          <w:sz w:val="24"/>
          <w:szCs w:val="24"/>
          <w:highlight w:val="none"/>
        </w:rPr>
        <w:t>在密封袋的封口处加盖供应商公章，在密封袋封面写明</w:t>
      </w:r>
      <w:r>
        <w:rPr>
          <w:rFonts w:hint="eastAsia" w:ascii="宋体" w:hAnsi="宋体" w:eastAsia="宋体" w:cs="宋体"/>
          <w:spacing w:val="2"/>
          <w:position w:val="3"/>
          <w:sz w:val="24"/>
          <w:szCs w:val="24"/>
          <w:highlight w:val="none"/>
          <w:lang w:val="en-US" w:eastAsia="zh-CN"/>
        </w:rPr>
        <w:t>采购项目名称、</w:t>
      </w:r>
      <w:r>
        <w:rPr>
          <w:rFonts w:hint="eastAsia" w:ascii="宋体" w:hAnsi="宋体" w:eastAsia="宋体" w:cs="宋体"/>
          <w:spacing w:val="2"/>
          <w:position w:val="3"/>
          <w:sz w:val="24"/>
          <w:szCs w:val="24"/>
          <w:highlight w:val="none"/>
        </w:rPr>
        <w:t>供应商名称。</w:t>
      </w:r>
      <w:r>
        <w:rPr>
          <w:rFonts w:hint="eastAsia" w:ascii="宋体" w:hAnsi="宋体" w:eastAsia="宋体" w:cs="宋体"/>
          <w:spacing w:val="2"/>
          <w:position w:val="3"/>
          <w:sz w:val="24"/>
          <w:szCs w:val="24"/>
          <w:highlight w:val="none"/>
          <w:lang w:val="en-US" w:eastAsia="zh-CN"/>
        </w:rPr>
        <w:t>供应商通过线下方式将以上响应文件送至汕尾市代建项目事务中心四楼401。</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三</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1"/>
          <w:position w:val="3"/>
          <w:sz w:val="24"/>
          <w:szCs w:val="24"/>
          <w:highlight w:val="none"/>
        </w:rPr>
        <w:t>响应文件</w:t>
      </w:r>
      <w:r>
        <w:rPr>
          <w:rFonts w:hint="eastAsia" w:ascii="宋体" w:hAnsi="宋体" w:eastAsia="宋体" w:cs="宋体"/>
          <w:spacing w:val="-1"/>
          <w:position w:val="3"/>
          <w:sz w:val="24"/>
          <w:szCs w:val="24"/>
          <w:highlight w:val="none"/>
          <w:lang w:val="en-US" w:eastAsia="zh-CN"/>
        </w:rPr>
        <w:t>开启时间、地点</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采购</w:t>
      </w:r>
      <w:r>
        <w:rPr>
          <w:rFonts w:hint="eastAsia" w:ascii="宋体" w:hAnsi="宋体" w:eastAsia="宋体" w:cs="宋体"/>
          <w:spacing w:val="2"/>
          <w:position w:val="3"/>
          <w:sz w:val="24"/>
          <w:szCs w:val="24"/>
          <w:highlight w:val="none"/>
        </w:rPr>
        <w:t>人</w:t>
      </w:r>
      <w:r>
        <w:rPr>
          <w:rFonts w:hint="eastAsia" w:ascii="宋体" w:hAnsi="宋体" w:eastAsia="宋体" w:cs="宋体"/>
          <w:spacing w:val="2"/>
          <w:position w:val="3"/>
          <w:sz w:val="24"/>
          <w:szCs w:val="24"/>
          <w:highlight w:val="none"/>
          <w:lang w:val="en-US" w:eastAsia="zh-CN"/>
        </w:rPr>
        <w:t>于</w:t>
      </w:r>
      <w:r>
        <w:rPr>
          <w:rFonts w:hint="eastAsia" w:ascii="宋体" w:hAnsi="宋体" w:eastAsia="宋体" w:cs="宋体"/>
          <w:spacing w:val="-1"/>
          <w:position w:val="3"/>
          <w:sz w:val="24"/>
          <w:szCs w:val="24"/>
          <w:highlight w:val="none"/>
        </w:rPr>
        <w:t>2023年</w:t>
      </w:r>
      <w:r>
        <w:rPr>
          <w:rFonts w:hint="eastAsia" w:ascii="宋体" w:hAnsi="宋体" w:eastAsia="宋体" w:cs="宋体"/>
          <w:spacing w:val="-1"/>
          <w:position w:val="3"/>
          <w:sz w:val="24"/>
          <w:szCs w:val="24"/>
          <w:highlight w:val="none"/>
          <w:lang w:val="en-US" w:eastAsia="zh-CN"/>
        </w:rPr>
        <w:t>11</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3</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14</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30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r>
        <w:rPr>
          <w:rFonts w:hint="eastAsia" w:ascii="宋体" w:hAnsi="宋体" w:eastAsia="宋体" w:cs="宋体"/>
          <w:spacing w:val="2"/>
          <w:position w:val="3"/>
          <w:sz w:val="24"/>
          <w:szCs w:val="24"/>
          <w:highlight w:val="none"/>
          <w:lang w:val="en-US" w:eastAsia="zh-CN"/>
        </w:rPr>
        <w:t>在汕尾市代建项目事务中心四楼会议室现场开启。</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spacing w:val="-1"/>
          <w:position w:val="3"/>
          <w:sz w:val="24"/>
          <w:szCs w:val="24"/>
          <w:highlight w:val="none"/>
          <w:lang w:eastAsia="zh-CN"/>
        </w:rPr>
      </w:pPr>
      <w:bookmarkStart w:id="20" w:name="_Toc28017"/>
      <w:bookmarkStart w:id="21" w:name="_Toc11251"/>
      <w:bookmarkStart w:id="22" w:name="_Toc26718"/>
      <w:r>
        <w:rPr>
          <w:rFonts w:hint="eastAsia" w:ascii="宋体" w:hAnsi="宋体" w:eastAsia="宋体" w:cs="宋体"/>
          <w:b/>
          <w:highlight w:val="none"/>
          <w:lang w:val="en-US" w:eastAsia="zh-CN"/>
        </w:rPr>
        <w:t>六</w:t>
      </w:r>
      <w:r>
        <w:rPr>
          <w:rFonts w:hint="eastAsia" w:ascii="宋体" w:hAnsi="宋体" w:eastAsia="宋体" w:cs="宋体"/>
          <w:b/>
          <w:highlight w:val="none"/>
        </w:rPr>
        <w:t>、</w:t>
      </w:r>
      <w:r>
        <w:rPr>
          <w:rFonts w:hint="eastAsia" w:ascii="宋体" w:hAnsi="宋体" w:eastAsia="宋体" w:cs="宋体"/>
          <w:b/>
          <w:highlight w:val="none"/>
          <w:lang w:eastAsia="zh-CN"/>
        </w:rPr>
        <w:t>采购</w:t>
      </w:r>
      <w:r>
        <w:rPr>
          <w:rFonts w:hint="eastAsia" w:ascii="宋体" w:hAnsi="宋体" w:eastAsia="宋体" w:cs="宋体"/>
          <w:b/>
          <w:highlight w:val="none"/>
        </w:rPr>
        <w:t>人联系方式</w:t>
      </w:r>
      <w:bookmarkEnd w:id="20"/>
      <w:bookmarkEnd w:id="21"/>
      <w:bookmarkEnd w:id="22"/>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rPr>
      </w:pPr>
      <w:r>
        <w:rPr>
          <w:rFonts w:hint="eastAsia" w:ascii="宋体" w:hAnsi="宋体" w:eastAsia="宋体" w:cs="宋体"/>
          <w:spacing w:val="-1"/>
          <w:position w:val="3"/>
          <w:sz w:val="24"/>
          <w:szCs w:val="24"/>
          <w:highlight w:val="none"/>
        </w:rPr>
        <w:t>地 址：汕尾市汕尾大道中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邮 编：</w:t>
      </w:r>
      <w:r>
        <w:rPr>
          <w:rFonts w:hint="eastAsia" w:ascii="宋体" w:hAnsi="宋体" w:eastAsia="宋体" w:cs="宋体"/>
          <w:spacing w:val="-1"/>
          <w:position w:val="3"/>
          <w:sz w:val="24"/>
          <w:szCs w:val="24"/>
          <w:highlight w:val="none"/>
          <w:lang w:val="en-US" w:eastAsia="zh-CN"/>
        </w:rPr>
        <w:t>516600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联系人：</w:t>
      </w:r>
      <w:r>
        <w:rPr>
          <w:rFonts w:hint="eastAsia" w:ascii="宋体" w:hAnsi="宋体" w:eastAsia="宋体" w:cs="宋体"/>
          <w:spacing w:val="-1"/>
          <w:position w:val="3"/>
          <w:sz w:val="24"/>
          <w:szCs w:val="24"/>
          <w:highlight w:val="none"/>
          <w:lang w:val="en-US" w:eastAsia="zh-CN"/>
        </w:rPr>
        <w:t>黄先生、邱先生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联系电话：</w:t>
      </w:r>
      <w:r>
        <w:rPr>
          <w:rFonts w:hint="eastAsia" w:ascii="宋体" w:hAnsi="宋体" w:eastAsia="宋体" w:cs="宋体"/>
          <w:spacing w:val="-1"/>
          <w:position w:val="3"/>
          <w:sz w:val="24"/>
          <w:szCs w:val="24"/>
          <w:highlight w:val="none"/>
          <w:lang w:val="en-US" w:eastAsia="zh-CN"/>
        </w:rPr>
        <w:t>13923587420、13104876025、0660-3693983</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highlight w:val="none"/>
        </w:rPr>
        <w:sectPr>
          <w:footerReference r:id="rId6" w:type="default"/>
          <w:pgSz w:w="11900" w:h="16840"/>
          <w:pgMar w:top="1304" w:right="1304" w:bottom="1304" w:left="1304" w:header="567" w:footer="567" w:gutter="0"/>
          <w:pgBorders>
            <w:top w:val="none" w:sz="0" w:space="0"/>
            <w:left w:val="none" w:sz="0" w:space="0"/>
            <w:bottom w:val="none" w:sz="0" w:space="0"/>
            <w:right w:val="none" w:sz="0" w:space="0"/>
          </w:pgBorders>
          <w:pgNumType w:fmt="decimal" w:start="1"/>
          <w:cols w:space="0" w:num="1"/>
          <w:rtlGutter w:val="0"/>
          <w:docGrid w:linePitch="0" w:charSpace="0"/>
        </w:sectPr>
      </w:pPr>
    </w:p>
    <w:p>
      <w:pPr>
        <w:pStyle w:val="2"/>
        <w:bidi w:val="0"/>
        <w:rPr>
          <w:rFonts w:hint="eastAsia" w:ascii="宋体" w:hAnsi="宋体" w:eastAsia="宋体" w:cs="宋体"/>
          <w:sz w:val="21"/>
          <w:highlight w:val="none"/>
        </w:rPr>
      </w:pPr>
      <w:bookmarkStart w:id="23" w:name="_Toc13314"/>
      <w:bookmarkStart w:id="24" w:name="_Toc12483"/>
      <w:r>
        <w:rPr>
          <w:rFonts w:hint="eastAsia" w:ascii="宋体" w:hAnsi="宋体" w:eastAsia="宋体" w:cs="宋体"/>
          <w:highlight w:val="none"/>
        </w:rPr>
        <w:t>第二章 供应商须知</w:t>
      </w:r>
      <w:bookmarkEnd w:id="23"/>
      <w:bookmarkEnd w:id="24"/>
    </w:p>
    <w:p>
      <w:pPr>
        <w:pStyle w:val="3"/>
        <w:bidi w:val="0"/>
        <w:rPr>
          <w:rFonts w:hint="eastAsia" w:ascii="宋体" w:hAnsi="宋体" w:eastAsia="宋体" w:cs="宋体"/>
          <w:highlight w:val="none"/>
        </w:rPr>
      </w:pPr>
      <w:bookmarkStart w:id="25" w:name="_Toc15842"/>
      <w:bookmarkStart w:id="26" w:name="_Toc21617"/>
      <w:bookmarkStart w:id="27" w:name="_Toc16888"/>
      <w:r>
        <w:rPr>
          <w:rFonts w:hint="eastAsia" w:ascii="宋体" w:hAnsi="宋体" w:eastAsia="宋体" w:cs="宋体"/>
          <w:highlight w:val="none"/>
        </w:rPr>
        <w:t>2.1</w:t>
      </w:r>
      <w:r>
        <w:rPr>
          <w:rFonts w:hint="eastAsia" w:ascii="宋体" w:hAnsi="宋体" w:eastAsia="宋体" w:cs="宋体"/>
          <w:highlight w:val="none"/>
          <w:lang w:val="en-US" w:eastAsia="zh-CN"/>
        </w:rPr>
        <w:t>.</w:t>
      </w:r>
      <w:r>
        <w:rPr>
          <w:rFonts w:hint="eastAsia" w:ascii="宋体" w:hAnsi="宋体" w:eastAsia="宋体" w:cs="宋体"/>
          <w:highlight w:val="none"/>
        </w:rPr>
        <w:t>供应商须知前附表</w:t>
      </w:r>
      <w:bookmarkEnd w:id="25"/>
      <w:bookmarkEnd w:id="26"/>
      <w:bookmarkEnd w:id="27"/>
    </w:p>
    <w:tbl>
      <w:tblPr>
        <w:tblStyle w:val="16"/>
        <w:tblW w:w="9354"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10"/>
        <w:gridCol w:w="2141"/>
        <w:gridCol w:w="6503"/>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序号</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应知事项</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说明和要求</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协议期限</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协议签订之日起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不接受联合体。</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响应保证金</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本项目不收取投标保证金。</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履约保证金</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本项目不收取履约保证金。</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响应有效期</w:t>
            </w:r>
          </w:p>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(实质性要求)</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提交响应文件的截止之日起不少于90天。</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入围结果公告</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入围通知书</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入围结果公告后，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r>
              <w:rPr>
                <w:rFonts w:hint="eastAsia" w:ascii="宋体" w:hAnsi="宋体" w:eastAsia="宋体" w:cs="宋体"/>
                <w:i w:val="0"/>
                <w:iCs w:val="0"/>
                <w:sz w:val="24"/>
                <w:szCs w:val="24"/>
                <w:highlight w:val="none"/>
              </w:rPr>
              <w:t>签订</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第二阶段</w:t>
            </w:r>
            <w:r>
              <w:rPr>
                <w:rFonts w:hint="eastAsia" w:ascii="宋体" w:hAnsi="宋体" w:eastAsia="宋体" w:cs="宋体"/>
                <w:i w:val="0"/>
                <w:iCs w:val="0"/>
                <w:sz w:val="24"/>
                <w:szCs w:val="24"/>
                <w:highlight w:val="none"/>
                <w:lang w:eastAsia="zh-CN"/>
              </w:rPr>
              <w:t>入围供应商</w:t>
            </w:r>
            <w:r>
              <w:rPr>
                <w:rFonts w:hint="eastAsia" w:ascii="宋体" w:hAnsi="宋体" w:eastAsia="宋体" w:cs="宋体"/>
                <w:i w:val="0"/>
                <w:iCs w:val="0"/>
                <w:sz w:val="24"/>
                <w:szCs w:val="24"/>
                <w:highlight w:val="none"/>
              </w:rPr>
              <w:t>的方式</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服务对象范围</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tc>
      </w:tr>
    </w:tbl>
    <w:p>
      <w:pPr>
        <w:pStyle w:val="3"/>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28" w:name="_Toc23177"/>
      <w:bookmarkStart w:id="29" w:name="_Toc12732"/>
      <w:bookmarkStart w:id="30" w:name="_Toc32487"/>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28"/>
      <w:bookmarkEnd w:id="29"/>
      <w:bookmarkEnd w:id="3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适用范围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文件的最终解释权由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人享有。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文件内容由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人负责解释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有关定义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人”是指负责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程序和签订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协议的主管预算单位及其委托的采购代理机构。本次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人是汕尾市代建项目事务中心</w:t>
      </w:r>
      <w:r>
        <w:rPr>
          <w:rFonts w:hint="eastAsia" w:ascii="宋体" w:hAnsi="宋体" w:eastAsia="宋体" w:cs="宋体"/>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二、“供应商”是指按照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公告规定获取了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文件，拟参加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或签订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协议的法人、其他组织。</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1" w:name="_Toc13420"/>
      <w:bookmarkStart w:id="32" w:name="_Toc4247"/>
      <w:bookmarkStart w:id="33" w:name="_Toc25523"/>
      <w:r>
        <w:rPr>
          <w:rFonts w:hint="eastAsia" w:ascii="宋体" w:hAnsi="宋体" w:eastAsia="宋体" w:cs="宋体"/>
          <w:b/>
          <w:sz w:val="24"/>
          <w:szCs w:val="24"/>
          <w:highlight w:val="none"/>
        </w:rPr>
        <w:t>2.3</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文件</w:t>
      </w:r>
      <w:bookmarkEnd w:id="31"/>
      <w:bookmarkEnd w:id="32"/>
      <w:bookmarkEnd w:id="33"/>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文件的构成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文件是供应商准备响应文件和参加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响应的依据，同时也是资格审查、评审的重要依据。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文件用以阐明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项目所需的资质、技术、商务等要求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和响应程序、有关规定和注意事项、</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协议主要条款以及合同主要条款等。本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文件包括以下内容：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邀请；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项目技术、服务、商务及其他要求；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(四)资格审查；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(五)入围评审办法；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协议文本和采购合同文本；</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(七)响应文件格式。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二、供应商应认真阅读和充分理解采购文件中所有的事项、格式条款和规范要求。供应商没有对采购文件全面做出实质性响应所产生的风险由供应商承担。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采购文件的澄清和修改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一、在响应文件提交截止时间前，采购人可以对已发出的采购文件进行必要的澄清或者修改。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二、澄清或者修改的内容为采购文件的组成部分，采购人将在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发布更正公告，供应商应及时关注本项目更正公告信息，按更正后公告要求进行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响应。更正内容可能影响响应文件编制的，采购人将</w:t>
      </w:r>
      <w:r>
        <w:rPr>
          <w:rFonts w:hint="eastAsia" w:ascii="宋体" w:hAnsi="宋体" w:eastAsia="宋体" w:cs="宋体"/>
          <w:sz w:val="24"/>
          <w:szCs w:val="24"/>
          <w:highlight w:val="none"/>
          <w:lang w:val="en-US" w:eastAsia="zh-CN"/>
        </w:rPr>
        <w:t>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发布更正后的采购文件，供应商应依据更正后的采购文件编制响应文件。若供应商未按前述要求进行采购响应的，自行承担不利后果。</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4" w:name="_Toc15148"/>
      <w:bookmarkStart w:id="35" w:name="_Toc23812"/>
      <w:bookmarkStart w:id="36" w:name="_Toc23227"/>
      <w:r>
        <w:rPr>
          <w:rFonts w:hint="eastAsia" w:ascii="宋体" w:hAnsi="宋体" w:eastAsia="宋体" w:cs="宋体"/>
          <w:b/>
          <w:sz w:val="24"/>
          <w:szCs w:val="24"/>
          <w:highlight w:val="none"/>
        </w:rPr>
        <w:t>2.4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w:t>
      </w:r>
      <w:bookmarkEnd w:id="34"/>
      <w:bookmarkEnd w:id="35"/>
      <w:bookmarkEnd w:id="36"/>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响应文件的语言</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一、供应商提交的响应文件以及供应商与采购人就有关响应的所有来往书面文件均须使用中文。响应文件中如附有外文资料，主要部分要对应翻译成中文并附在相关外文资料后面。未翻译的外文资料，</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可将其视为无效材料。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二、翻译的中文资料与外文资料如果出现差异和矛盾时，以中文为准。涉嫌提供虚假材料的按照相关法律法规处理。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三、如因未翻译而造成对供应商的不利后果，由供应商承担。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计量单位(实质性要求)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highlight w:val="none"/>
          <w:lang w:val="en-US" w:eastAsia="zh-CN"/>
        </w:rPr>
      </w:pPr>
      <w:r>
        <w:rPr>
          <w:rFonts w:hint="eastAsia" w:ascii="宋体" w:hAnsi="宋体" w:eastAsia="宋体" w:cs="宋体"/>
          <w:sz w:val="24"/>
          <w:szCs w:val="24"/>
          <w:highlight w:val="none"/>
        </w:rPr>
        <w:t>除采购文件中另有规定外，本项目均采用国家法定的计量单位。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知识产权(实质性要求)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响应文件的组成供应商应按照采购文件的规定和要求编制响应文件。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响应文件包括响应函、资格响应文件、商务技术响应文件，具体内容详见第七章。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响应文件格式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一、供应商应按照采购文件第七章中提供的“响应文件格式”填写相关内容。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二、对于没有格式要求的响应文件由供应商自行编写。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响应有效期(实质性要求)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响应有效期为提交响应文件截止之日起不少于90天。响应文件未明确响应有效期或者响应有效期小于90天的，其响应文件按无效处理。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响应文件的制作、签章和加密(实质性要求)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一、响应文件应当根据采购文件进行编制。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二、供应商对应采购文件的每项实质性要求，逐一进行响应；未逐一进行响应或者响应内容不符合采购文件对应项的要求的，其响应文件作无效处理。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三、供应商完成响应文件编制后，应按照采购文件明确的签章要求，对响应文件进行签章。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四、发生</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文件澄清或者修改，可能影响响应文件编制的，供应商应重新获取澄清或者修改后的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文件，按照澄清或者修改后的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文件进行响应文件编制、签章。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响应文件的提交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一、供应商应当在响应文件提交截止时间前，</w:t>
      </w:r>
      <w:r>
        <w:rPr>
          <w:rFonts w:hint="eastAsia" w:ascii="宋体" w:hAnsi="宋体" w:eastAsia="宋体" w:cs="宋体"/>
          <w:spacing w:val="2"/>
          <w:position w:val="3"/>
          <w:sz w:val="24"/>
          <w:szCs w:val="24"/>
          <w:highlight w:val="none"/>
          <w:lang w:val="en-US" w:eastAsia="zh-CN"/>
        </w:rPr>
        <w:t>通过线下方式提交至汕尾市代建项目事务中心四楼401</w:t>
      </w:r>
      <w:r>
        <w:rPr>
          <w:rFonts w:hint="eastAsia" w:ascii="宋体" w:hAnsi="宋体" w:eastAsia="宋体" w:cs="宋体"/>
          <w:sz w:val="24"/>
          <w:szCs w:val="24"/>
          <w:highlight w:val="none"/>
        </w:rPr>
        <w:t>。(实质性要求)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二、在响应文件提交截止时间后，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人不再接受供应商提交响应文件。供应商应充分考虑影响响应文件提交的各种因素，确保在响应文件提交截止时间前完成提交。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响应文件的补充、修改、撤回(实质性要求)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响应文件提交截止时间前，供应商可以补充、修改或者撤回已成功提交的响应文件；对响应文件进行补充、修改的，应当先行撤回已提交的响应文件，补充、修改后重新提交。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供应商响应文件撤回后，视为未提交过响应文件。</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7" w:name="_Toc20363"/>
      <w:bookmarkStart w:id="38" w:name="_Toc8820"/>
      <w:bookmarkStart w:id="39" w:name="_Toc15846"/>
      <w:r>
        <w:rPr>
          <w:rFonts w:hint="eastAsia" w:ascii="宋体" w:hAnsi="宋体" w:eastAsia="宋体" w:cs="宋体"/>
          <w:b/>
          <w:sz w:val="24"/>
          <w:szCs w:val="24"/>
          <w:highlight w:val="none"/>
        </w:rPr>
        <w:t>2.5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响应文件开启、资格审查、评审和确定入围供应商</w:t>
      </w:r>
      <w:bookmarkEnd w:id="37"/>
      <w:bookmarkEnd w:id="38"/>
      <w:bookmarkEnd w:id="39"/>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响应文件开启及开启程序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一、本项目为</w:t>
      </w:r>
      <w:r>
        <w:rPr>
          <w:rFonts w:hint="eastAsia" w:ascii="宋体" w:hAnsi="宋体" w:eastAsia="宋体" w:cs="宋体"/>
          <w:sz w:val="24"/>
          <w:szCs w:val="24"/>
          <w:highlight w:val="none"/>
          <w:lang w:val="en-US" w:eastAsia="zh-CN"/>
        </w:rPr>
        <w:t>线下</w:t>
      </w:r>
      <w:r>
        <w:rPr>
          <w:rFonts w:hint="eastAsia" w:ascii="宋体" w:hAnsi="宋体" w:eastAsia="宋体" w:cs="宋体"/>
          <w:sz w:val="24"/>
          <w:szCs w:val="24"/>
          <w:highlight w:val="none"/>
        </w:rPr>
        <w:t>开启。开启的开始时间为响应文件提交截止时间。成功提交或解密响应文件的供应商不足3家的，不予开启，提交人将作废标处理。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二、开启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开启供应商响应文件，将</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lang w:val="en-US" w:eastAsia="zh-CN"/>
        </w:rPr>
        <w:t>等内容</w:t>
      </w:r>
      <w:r>
        <w:rPr>
          <w:rFonts w:hint="eastAsia" w:ascii="宋体" w:hAnsi="宋体" w:eastAsia="宋体" w:cs="宋体"/>
          <w:sz w:val="24"/>
          <w:szCs w:val="24"/>
          <w:highlight w:val="none"/>
        </w:rPr>
        <w:t>进行展示。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查询及使用信用记录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开启结束后，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资格审查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文件第四章。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入围评审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文件第五章。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入围通知书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确定入围供应商后，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上发布入围结果公告、通过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二、入围通知书是</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协议的依据，是</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协议的有效组成部分。如果出现政府采购法律法规、规章制度规定的入围无效情形的，将以公告形式宣布发出的入围通知书无效，入围通知书将自动失效。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三、入围通知书对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人和入围供应商均具有法律效力。</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0" w:name="_Toc24814"/>
      <w:bookmarkStart w:id="41" w:name="_Toc13368"/>
      <w:bookmarkStart w:id="42" w:name="_Toc17616"/>
      <w:r>
        <w:rPr>
          <w:rFonts w:hint="eastAsia" w:ascii="宋体" w:hAnsi="宋体" w:eastAsia="宋体" w:cs="宋体"/>
          <w:b/>
          <w:sz w:val="24"/>
          <w:szCs w:val="24"/>
          <w:highlight w:val="none"/>
        </w:rPr>
        <w:t>2.6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签订</w:t>
      </w:r>
      <w:r>
        <w:rPr>
          <w:rFonts w:hint="eastAsia" w:ascii="宋体" w:hAnsi="宋体" w:eastAsia="宋体" w:cs="宋体"/>
          <w:sz w:val="24"/>
          <w:szCs w:val="24"/>
          <w:highlight w:val="none"/>
          <w:lang w:val="en-US" w:eastAsia="zh-CN"/>
        </w:rPr>
        <w:t>批量采购</w:t>
      </w:r>
      <w:r>
        <w:rPr>
          <w:rFonts w:hint="eastAsia" w:ascii="宋体" w:hAnsi="宋体" w:eastAsia="宋体" w:cs="宋体"/>
          <w:b/>
          <w:sz w:val="24"/>
          <w:szCs w:val="24"/>
          <w:highlight w:val="none"/>
        </w:rPr>
        <w:t>协议</w:t>
      </w:r>
      <w:bookmarkEnd w:id="40"/>
      <w:bookmarkEnd w:id="41"/>
      <w:bookmarkEnd w:id="42"/>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人应在入围通知书发出之日起</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日内与入围供应商签订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3" w:name="_Toc19309"/>
      <w:bookmarkStart w:id="44" w:name="_Toc3150"/>
      <w:bookmarkStart w:id="45" w:name="_Toc1429"/>
      <w:r>
        <w:rPr>
          <w:rFonts w:hint="eastAsia" w:ascii="宋体" w:hAnsi="宋体" w:eastAsia="宋体" w:cs="宋体"/>
          <w:b/>
          <w:sz w:val="24"/>
          <w:szCs w:val="24"/>
          <w:highlight w:val="none"/>
        </w:rPr>
        <w:t>2.7</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纪律要求</w:t>
      </w:r>
      <w:bookmarkEnd w:id="43"/>
      <w:bookmarkEnd w:id="44"/>
      <w:bookmarkEnd w:id="45"/>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评审活动纪律要求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人应保证评审活动在严格保密的情况下进行，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成员应当严格遵守政府采购法律法规规章制度和本项目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文件以及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人现场管理规定，任何人不得非法干预和影响评审过程和结果。对各供应商的商业秘密，</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成员应予以保密，不得泄露给其他供应商。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供应商不得具有的情形(实质性要求)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响应不得有下列情形：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一、有下列情形之一的，视为供应商串通响应，其响应无效：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(一)不同供应商的响应文件由同一单位或者个人编制；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(二)不同供应商委托同一单位或者个人办理响应事宜；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(三)不同供应商的响应文件载明的项目管理成员或者联系人员为同一人；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(四)不同供应商的响应文件异常一致；</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(五)不同供应商的响应文件相互混装。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二、提供虚假材料谋取入围；</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三、采取不正当手段诋毁、排挤其他供应商；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人或其他供应商恶意串通；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成员行贿或者提供其他不正当利益；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六、在</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过程中与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人进行协商谈判；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七、入围后无正当理由拒不与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八、未按照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九、提供假冒伪劣产品；</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十、擅自变更、中止或者终止框架协议；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十一、拒绝有关部门的监督检查或者向监督检查部门提供虚假情况；</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十二、法律法规规定的其他禁止情形。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供应商出现上述情形，将依法追究其法律责任；已提交响应文件的，其响应文件作无效处理；已入围的，取消入围资格或者解除</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2.7.3</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人员及相关人员回避要求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政府采购活动中，</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人相关人员与供应商有下列利害关系之一的，应当回避：</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(1)参加采购活动前3年内与供应商存在劳动关系；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(2)参加采购活动前3年内担任供应商的董事、监事；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(3)参加采购活动前3年内是供应商的控股股东或者实际控制人；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(4)与供应商的法定代表人或者负责人有夫妻、直系血亲、三代以内旁系血亲或者近姻亲关系；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(5)与供应商有其他可能影响政府采购活动公平、公正进行的关系。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人相关人员与其他供应商有利害关系的，可以向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人书面提出回避申请，并说明理由。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人将及时询问被申请回避人员，有利害关系的被申请回避人员应当回避。</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6" w:name="_Toc30271"/>
      <w:bookmarkStart w:id="47" w:name="_Toc20083"/>
      <w:bookmarkStart w:id="48" w:name="_Toc23602"/>
      <w:r>
        <w:rPr>
          <w:rFonts w:hint="eastAsia" w:ascii="宋体" w:hAnsi="宋体" w:eastAsia="宋体" w:cs="宋体"/>
          <w:b/>
          <w:sz w:val="24"/>
          <w:szCs w:val="24"/>
          <w:highlight w:val="none"/>
        </w:rPr>
        <w:t>2.8</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询问、质疑</w:t>
      </w:r>
      <w:bookmarkEnd w:id="46"/>
      <w:bookmarkEnd w:id="47"/>
      <w:bookmarkEnd w:id="48"/>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一、供应商询问、质疑的答复主体：对于</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协议订立阶段，供应商对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过程和入围结果的询问、质疑，由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人负责答复；对于采购合同授予阶段，供应商对采购合同授予过程、授予结果的询问、质疑，由授予采购合同的采购人负责答复。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、供应商提出的询问，应当明确询问事项，如以书面形式提出的，由供应商法定代表人或委托代理人签字并加盖公章。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为提高采购效率，降低社会成本，鼓励询问主体对于不损害国家及社会利益或自身合法权益的问题或情形采用询问方式处理解决(包含但不限于文字错误、标点符号、不影响响应文件的编制的情形)。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、供应商应在法定质疑期内一次性提出针对同一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程序环节或第二阶段成交环节的质疑。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、本项目不接受在线提交质疑，供应商通过书面形式线下向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人提交质疑资料。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、供应商提出质疑时应当准备的资料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(一)质疑函正本1份；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(二)法定代表人或主要负责人授权委托书1份(委托代理人办理质疑事宜的需提供)；</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(三)法定代表人或主要负责人身份证复印件1份；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(四)委托代理人身份证复印件1份(委托代理人办理质疑事宜的需提供)；</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(五)针对质疑事项必要的证明材料。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询问质疑联系方式：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 xml:space="preserve">黄先生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0660-3693983</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通讯地址：</w:t>
      </w:r>
      <w:r>
        <w:rPr>
          <w:rFonts w:hint="eastAsia" w:ascii="宋体" w:hAnsi="宋体" w:eastAsia="宋体" w:cs="宋体"/>
          <w:spacing w:val="2"/>
          <w:position w:val="3"/>
          <w:sz w:val="24"/>
          <w:szCs w:val="24"/>
          <w:highlight w:val="none"/>
          <w:lang w:val="en-US" w:eastAsia="zh-CN"/>
        </w:rPr>
        <w:t>汕尾市代建项目事务中心四楼401</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lang w:val="en-US" w:eastAsia="zh-CN"/>
        </w:rPr>
        <w:t>516600</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注：根据《中华人民共和国政府采购法》的规定，供应商质疑不得超出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文件、采购过程、采购结果的范围。</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9" w:name="_Toc8642"/>
      <w:bookmarkStart w:id="50" w:name="_Toc25659"/>
      <w:bookmarkStart w:id="51" w:name="_Toc13357"/>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入围供应商的清退和补充规则</w:t>
      </w:r>
      <w:bookmarkEnd w:id="49"/>
      <w:bookmarkEnd w:id="50"/>
      <w:bookmarkEnd w:id="51"/>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1.入围供应商清退规则：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入围供应商有下列情形之一，尚未签订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协议的，取消其入围资格；已经签订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协议的，解除与其签订的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恶意串通谋取入围或者合同成交的；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提供虚假材料谋取入围或者合同成交的；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无正当理由拒不接受合同授予的；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不履行合同义务或者履行合同义务不符合约定，经采购人请求履行后仍不履行或者仍未按约定履行的；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协议有效期内，因违法行为被禁止或限制参加政府采购活动的；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协议约定的其他情形。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2.入围供应商补充规则：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如出现剩余入围供应商不足入围供应商总数70%且影响</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协议执行的情形时，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人将进行补充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的条件、程序、评审方法和淘汰比例与初次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相同。补充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遵守原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协议的有效期。补充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期间，原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协议继续履行。</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52" w:name="_Toc31077"/>
      <w:bookmarkStart w:id="53" w:name="_Toc28997"/>
      <w:bookmarkStart w:id="54" w:name="_Toc2307"/>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val="en-US" w:eastAsia="zh-CN"/>
        </w:rPr>
        <w:t>0.</w:t>
      </w:r>
      <w:r>
        <w:rPr>
          <w:rFonts w:hint="eastAsia" w:ascii="宋体" w:hAnsi="宋体" w:eastAsia="宋体" w:cs="宋体"/>
          <w:b/>
          <w:sz w:val="24"/>
          <w:szCs w:val="24"/>
          <w:highlight w:val="none"/>
        </w:rPr>
        <w:t>其他要求</w:t>
      </w:r>
      <w:bookmarkEnd w:id="52"/>
      <w:bookmarkEnd w:id="53"/>
      <w:bookmarkEnd w:id="54"/>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无</w:t>
      </w:r>
      <w:r>
        <w:rPr>
          <w:rFonts w:hint="eastAsia" w:ascii="宋体" w:hAnsi="宋体" w:eastAsia="宋体" w:cs="宋体"/>
          <w:sz w:val="24"/>
          <w:szCs w:val="24"/>
          <w:highlight w:val="none"/>
          <w:lang w:eastAsia="zh-CN"/>
        </w:rPr>
        <w:t>。</w:t>
      </w:r>
    </w:p>
    <w:p>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55" w:name="_Toc17762"/>
      <w:bookmarkStart w:id="56" w:name="_Toc23381"/>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采购</w:t>
      </w:r>
      <w:r>
        <w:rPr>
          <w:rFonts w:hint="eastAsia" w:ascii="宋体" w:hAnsi="宋体" w:eastAsia="宋体" w:cs="宋体"/>
          <w:highlight w:val="none"/>
        </w:rPr>
        <w:t>项目技术、服务、商务及其他要求</w:t>
      </w:r>
      <w:bookmarkEnd w:id="55"/>
      <w:bookmarkEnd w:id="56"/>
    </w:p>
    <w:p>
      <w:pPr>
        <w:pStyle w:val="3"/>
        <w:bidi w:val="0"/>
        <w:rPr>
          <w:rFonts w:hint="eastAsia" w:ascii="宋体" w:hAnsi="宋体" w:eastAsia="宋体" w:cs="宋体"/>
          <w:sz w:val="24"/>
          <w:szCs w:val="24"/>
          <w:highlight w:val="none"/>
        </w:rPr>
      </w:pPr>
      <w:bookmarkStart w:id="57" w:name="_Toc463"/>
      <w:bookmarkStart w:id="58" w:name="_Toc21293"/>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项目概况</w:t>
      </w:r>
      <w:bookmarkEnd w:id="57"/>
      <w:bookmarkEnd w:id="58"/>
      <w:bookmarkStart w:id="59" w:name="_Toc20832"/>
      <w:bookmarkStart w:id="60" w:name="_Toc18975"/>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通过</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协议供应商承担政府采购项目有关的工程、货物、服务等的招标代理</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，并在项目实施过程中提供相关咨询和支撑服务。</w:t>
      </w:r>
    </w:p>
    <w:p>
      <w:pPr>
        <w:pStyle w:val="3"/>
        <w:bidi w:val="0"/>
        <w:ind w:firstLine="420"/>
        <w:rPr>
          <w:rFonts w:hint="eastAsia" w:ascii="宋体" w:hAnsi="宋体" w:eastAsia="宋体" w:cs="宋体"/>
          <w:b/>
          <w:sz w:val="24"/>
          <w:szCs w:val="24"/>
          <w:highlight w:val="none"/>
        </w:rPr>
      </w:pPr>
      <w:r>
        <w:rPr>
          <w:rFonts w:hint="eastAsia" w:ascii="宋体" w:hAnsi="宋体" w:eastAsia="宋体" w:cs="宋体"/>
          <w:b/>
          <w:sz w:val="24"/>
          <w:szCs w:val="24"/>
          <w:highlight w:val="none"/>
        </w:rPr>
        <w:t>3.2</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内容</w:t>
      </w:r>
      <w:bookmarkEnd w:id="59"/>
      <w:bookmarkEnd w:id="60"/>
    </w:p>
    <w:tbl>
      <w:tblPr>
        <w:tblStyle w:val="14"/>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690"/>
        <w:gridCol w:w="2159"/>
        <w:gridCol w:w="1491"/>
        <w:gridCol w:w="13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0" w:type="dxa"/>
            <w:tcBorders>
              <w:tl2br w:val="nil"/>
              <w:tr2bl w:val="nil"/>
            </w:tcBorders>
            <w:vAlign w:val="center"/>
          </w:tcPr>
          <w:p>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序号</w:t>
            </w:r>
          </w:p>
        </w:tc>
        <w:tc>
          <w:tcPr>
            <w:tcW w:w="3690" w:type="dxa"/>
            <w:tcBorders>
              <w:tl2br w:val="nil"/>
              <w:tr2bl w:val="nil"/>
            </w:tcBorders>
            <w:vAlign w:val="center"/>
          </w:tcPr>
          <w:p>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标的名称</w:t>
            </w:r>
          </w:p>
        </w:tc>
        <w:tc>
          <w:tcPr>
            <w:tcW w:w="2159" w:type="dxa"/>
            <w:tcBorders>
              <w:tl2br w:val="nil"/>
              <w:tr2bl w:val="nil"/>
            </w:tcBorders>
            <w:vAlign w:val="center"/>
          </w:tcPr>
          <w:p>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采购品目</w:t>
            </w:r>
          </w:p>
        </w:tc>
        <w:tc>
          <w:tcPr>
            <w:tcW w:w="1491" w:type="dxa"/>
            <w:tcBorders>
              <w:tl2br w:val="nil"/>
              <w:tr2bl w:val="nil"/>
            </w:tcBorders>
            <w:vAlign w:val="center"/>
          </w:tcPr>
          <w:p>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计量单位</w:t>
            </w:r>
          </w:p>
        </w:tc>
        <w:tc>
          <w:tcPr>
            <w:tcW w:w="1304" w:type="dxa"/>
            <w:tcBorders>
              <w:tl2br w:val="nil"/>
              <w:tr2bl w:val="nil"/>
            </w:tcBorders>
            <w:vAlign w:val="center"/>
          </w:tcPr>
          <w:p>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0" w:type="dxa"/>
            <w:tcBorders>
              <w:tl2br w:val="nil"/>
              <w:tr2bl w:val="nil"/>
            </w:tcBorders>
            <w:vAlign w:val="center"/>
          </w:tcPr>
          <w:p>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1</w:t>
            </w:r>
          </w:p>
        </w:tc>
        <w:tc>
          <w:tcPr>
            <w:tcW w:w="3690" w:type="dxa"/>
            <w:tcBorders>
              <w:tl2br w:val="nil"/>
              <w:tr2bl w:val="nil"/>
            </w:tcBorders>
            <w:vAlign w:val="center"/>
          </w:tcPr>
          <w:p>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sz w:val="24"/>
                <w:szCs w:val="24"/>
                <w:highlight w:val="none"/>
                <w:lang w:val="en-US" w:eastAsia="zh-CN"/>
              </w:rPr>
              <w:t>政府采购项目</w:t>
            </w:r>
            <w:r>
              <w:rPr>
                <w:rFonts w:hint="eastAsia" w:ascii="宋体" w:hAnsi="宋体" w:eastAsia="宋体" w:cs="宋体"/>
                <w:b w:val="0"/>
                <w:bCs/>
                <w:sz w:val="24"/>
                <w:szCs w:val="24"/>
                <w:highlight w:val="none"/>
                <w:vertAlign w:val="baseline"/>
                <w:lang w:val="en-US" w:eastAsia="zh-CN"/>
              </w:rPr>
              <w:t>招标代理机构</w:t>
            </w:r>
          </w:p>
        </w:tc>
        <w:tc>
          <w:tcPr>
            <w:tcW w:w="2159" w:type="dxa"/>
            <w:tcBorders>
              <w:tl2br w:val="nil"/>
              <w:tr2bl w:val="nil"/>
            </w:tcBorders>
            <w:vAlign w:val="center"/>
          </w:tcPr>
          <w:p>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val="0"/>
                <w:position w:val="2"/>
                <w:sz w:val="24"/>
                <w:szCs w:val="24"/>
                <w:highlight w:val="none"/>
                <w:vertAlign w:val="baseline"/>
              </w:rPr>
              <w:t>招标代理</w:t>
            </w:r>
            <w:r>
              <w:rPr>
                <w:rFonts w:hint="eastAsia" w:ascii="宋体" w:hAnsi="宋体" w:eastAsia="宋体" w:cs="宋体"/>
                <w:b w:val="0"/>
                <w:bCs w:val="0"/>
                <w:position w:val="2"/>
                <w:sz w:val="24"/>
                <w:szCs w:val="24"/>
                <w:highlight w:val="none"/>
                <w:vertAlign w:val="baseline"/>
                <w:lang w:val="en-US" w:eastAsia="zh-CN"/>
              </w:rPr>
              <w:t>机构</w:t>
            </w:r>
          </w:p>
        </w:tc>
        <w:tc>
          <w:tcPr>
            <w:tcW w:w="1491" w:type="dxa"/>
            <w:tcBorders>
              <w:tl2br w:val="nil"/>
              <w:tr2bl w:val="nil"/>
            </w:tcBorders>
            <w:vAlign w:val="center"/>
          </w:tcPr>
          <w:p>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个</w:t>
            </w:r>
          </w:p>
        </w:tc>
        <w:tc>
          <w:tcPr>
            <w:tcW w:w="1304" w:type="dxa"/>
            <w:tcBorders>
              <w:tl2br w:val="nil"/>
              <w:tr2bl w:val="nil"/>
            </w:tcBorders>
            <w:vAlign w:val="center"/>
          </w:tcPr>
          <w:p>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w:t>
            </w:r>
          </w:p>
        </w:tc>
      </w:tr>
    </w:tbl>
    <w:p>
      <w:pPr>
        <w:rPr>
          <w:rFonts w:hint="eastAsia"/>
          <w:highlight w:val="none"/>
        </w:rPr>
      </w:pPr>
    </w:p>
    <w:p>
      <w:pPr>
        <w:pStyle w:val="3"/>
        <w:keepNext/>
        <w:keepLines/>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highlight w:val="none"/>
        </w:rPr>
      </w:pPr>
      <w:bookmarkStart w:id="61" w:name="_Toc25480"/>
      <w:bookmarkStart w:id="62" w:name="_Toc2000"/>
      <w:r>
        <w:rPr>
          <w:rFonts w:hint="eastAsia" w:ascii="宋体" w:hAnsi="宋体" w:eastAsia="宋体" w:cs="宋体"/>
          <w:b/>
          <w:highlight w:val="none"/>
        </w:rPr>
        <w:t>3.3</w:t>
      </w:r>
      <w:r>
        <w:rPr>
          <w:rFonts w:hint="eastAsia" w:ascii="宋体" w:hAnsi="宋体" w:eastAsia="宋体" w:cs="宋体"/>
          <w:b/>
          <w:highlight w:val="none"/>
          <w:lang w:val="en-US" w:eastAsia="zh-CN"/>
        </w:rPr>
        <w:t>.项目</w:t>
      </w:r>
      <w:r>
        <w:rPr>
          <w:rFonts w:hint="eastAsia" w:ascii="宋体" w:hAnsi="宋体" w:eastAsia="宋体" w:cs="宋体"/>
          <w:b/>
          <w:highlight w:val="none"/>
        </w:rPr>
        <w:t>内容</w:t>
      </w:r>
      <w:bookmarkEnd w:id="61"/>
      <w:bookmarkEnd w:id="62"/>
    </w:p>
    <w:p>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技术要求</w:t>
      </w:r>
    </w:p>
    <w:p>
      <w:pPr>
        <w:keepNext w:val="0"/>
        <w:keepLines w:val="0"/>
        <w:pageBreakBefore w:val="0"/>
        <w:widowControl/>
        <w:suppressLineNumbers w:val="0"/>
        <w:kinsoku/>
        <w:wordWrap/>
        <w:overflowPunct/>
        <w:topLinePunct w:val="0"/>
        <w:bidi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根据《中华人民共和国政府采购法》和广东省实施《中华人民共和国政府采购法》办法等政府采购法律法规，达到政府采购限额的项目及政府采购有关的</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lang w:val="en-US" w:eastAsia="zh-Hans"/>
        </w:rPr>
        <w:t>货物</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服务</w:t>
      </w:r>
      <w:r>
        <w:rPr>
          <w:rFonts w:hint="eastAsia" w:ascii="宋体" w:hAnsi="宋体" w:eastAsia="宋体" w:cs="宋体"/>
          <w:color w:val="000000"/>
          <w:kern w:val="0"/>
          <w:sz w:val="24"/>
          <w:szCs w:val="24"/>
          <w:highlight w:val="none"/>
          <w:lang w:val="en-US" w:eastAsia="zh-CN" w:bidi="ar"/>
        </w:rPr>
        <w:t>等招标代理工作。具体工作内容如下：</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编制招标策划方案，收到</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提供的前期文件资料后的</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日内，将招标策划方案交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合理设定投标人资质条件及人员条件</w:t>
      </w:r>
      <w:r>
        <w:rPr>
          <w:rFonts w:hint="eastAsia" w:ascii="宋体" w:hAnsi="宋体" w:eastAsia="宋体" w:cs="宋体"/>
          <w:sz w:val="24"/>
          <w:szCs w:val="24"/>
          <w:highlight w:val="none"/>
          <w:lang w:eastAsia="zh-CN"/>
        </w:rPr>
        <w:t>。</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编制招标文件，收到</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提供的编制招标文件所需的必要文件资料后的</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lang w:val="en-US" w:eastAsia="zh-Hans"/>
        </w:rPr>
        <w:t>内</w:t>
      </w:r>
      <w:r>
        <w:rPr>
          <w:rFonts w:hint="eastAsia" w:ascii="宋体" w:hAnsi="宋体" w:eastAsia="宋体" w:cs="宋体"/>
          <w:sz w:val="24"/>
          <w:szCs w:val="24"/>
          <w:highlight w:val="none"/>
          <w:lang w:val="en-US" w:eastAsia="zh-CN"/>
        </w:rPr>
        <w:t>，将招标文件交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按征集人工作开展的需要及相关法律法规程序组织招投标活动。</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组织现场踏勘，答疑、澄清，编制现场踏勘会议纪要、编制补充招标文件等。</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按程序组织项目的开标、评标、定标、中标通知书授予等相关工作，受理、处理质疑、投诉等问题。</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招标结束后</w:t>
      </w:r>
      <w:r>
        <w:rPr>
          <w:rFonts w:hint="eastAsia" w:ascii="宋体" w:hAnsi="宋体" w:eastAsia="宋体" w:cs="宋体"/>
          <w:sz w:val="24"/>
          <w:szCs w:val="24"/>
          <w:highlight w:val="none"/>
          <w:lang w:val="en-US" w:eastAsia="zh-Hans"/>
        </w:rPr>
        <w:t>协助完成</w:t>
      </w:r>
      <w:r>
        <w:rPr>
          <w:rFonts w:hint="eastAsia" w:ascii="宋体" w:hAnsi="宋体" w:eastAsia="宋体" w:cs="宋体"/>
          <w:sz w:val="24"/>
          <w:szCs w:val="24"/>
          <w:highlight w:val="none"/>
          <w:lang w:val="en-US" w:eastAsia="zh-CN"/>
        </w:rPr>
        <w:t>起草</w:t>
      </w:r>
      <w:r>
        <w:rPr>
          <w:rFonts w:hint="eastAsia" w:ascii="宋体" w:hAnsi="宋体" w:eastAsia="宋体" w:cs="宋体"/>
          <w:sz w:val="24"/>
          <w:szCs w:val="24"/>
          <w:highlight w:val="none"/>
          <w:lang w:val="en-US" w:eastAsia="zh-Hans"/>
        </w:rPr>
        <w:t>项目实施</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Hans"/>
        </w:rPr>
        <w:t>并</w:t>
      </w:r>
      <w:r>
        <w:rPr>
          <w:rFonts w:hint="eastAsia" w:ascii="宋体" w:hAnsi="宋体" w:eastAsia="宋体" w:cs="宋体"/>
          <w:sz w:val="24"/>
          <w:szCs w:val="24"/>
          <w:highlight w:val="none"/>
          <w:lang w:val="en-US" w:eastAsia="zh-CN"/>
        </w:rPr>
        <w:t>编制招标项目总结报告（含招标全过程书面及电子版文件资料），资料交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熟悉《中华人民共和国政府采购法》及《中华人民共和国政府采购法实施条例》等国家、省、市</w:t>
      </w:r>
      <w:r>
        <w:rPr>
          <w:rFonts w:hint="eastAsia" w:ascii="宋体" w:hAnsi="宋体" w:eastAsia="宋体" w:cs="宋体"/>
          <w:color w:val="000000"/>
          <w:kern w:val="0"/>
          <w:sz w:val="24"/>
          <w:szCs w:val="24"/>
          <w:highlight w:val="none"/>
          <w:lang w:val="en-US" w:eastAsia="zh-Hans" w:bidi="ar"/>
        </w:rPr>
        <w:t>有关</w:t>
      </w:r>
      <w:r>
        <w:rPr>
          <w:rFonts w:hint="eastAsia" w:ascii="宋体" w:hAnsi="宋体" w:eastAsia="宋体" w:cs="宋体"/>
          <w:color w:val="000000"/>
          <w:kern w:val="0"/>
          <w:sz w:val="24"/>
          <w:szCs w:val="24"/>
          <w:highlight w:val="none"/>
          <w:lang w:val="en-US" w:eastAsia="zh-CN" w:bidi="ar"/>
        </w:rPr>
        <w:t>管理部门制定</w:t>
      </w:r>
      <w:r>
        <w:rPr>
          <w:rFonts w:hint="eastAsia" w:ascii="宋体" w:hAnsi="宋体" w:eastAsia="宋体" w:cs="宋体"/>
          <w:sz w:val="24"/>
          <w:szCs w:val="24"/>
          <w:highlight w:val="none"/>
          <w:lang w:val="en-US" w:eastAsia="zh-CN"/>
        </w:rPr>
        <w:t>的有关政策、法规。</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具有健全的组织机构和内部管理制度，拥有完善的质量控制制度及完善的财务管理制度，拥有良好的社会信誉。</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能够根据国家和省、市有关</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法律法规和地方法规、政策、文件等有关规定，本着为建设单位节约投资的原则，科学、客观、公正地开展招标代理工作；并按建设单位的要求，按时按质提供招标文件，对招标文件的真实性、准确性负责，并负有保密责任。</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具有履行项目招标工作所必需的设备和专业技术能力。</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具有</w:t>
      </w:r>
      <w:r>
        <w:rPr>
          <w:rFonts w:hint="eastAsia" w:ascii="宋体" w:hAnsi="宋体" w:eastAsia="宋体" w:cs="宋体"/>
          <w:sz w:val="24"/>
          <w:szCs w:val="24"/>
          <w:highlight w:val="none"/>
          <w:lang w:val="en-US" w:eastAsia="zh-CN"/>
        </w:rPr>
        <w:t>履行项目招标工作所必需</w:t>
      </w:r>
      <w:r>
        <w:rPr>
          <w:rFonts w:hint="eastAsia" w:ascii="宋体" w:hAnsi="宋体" w:eastAsia="宋体" w:cs="宋体"/>
          <w:sz w:val="24"/>
          <w:szCs w:val="24"/>
          <w:highlight w:val="none"/>
          <w:lang w:val="en-US" w:eastAsia="zh-Hans"/>
        </w:rPr>
        <w:t>的专业人员</w:t>
      </w:r>
      <w:r>
        <w:rPr>
          <w:rFonts w:hint="eastAsia" w:ascii="宋体" w:hAnsi="宋体" w:eastAsia="宋体" w:cs="宋体"/>
          <w:sz w:val="24"/>
          <w:szCs w:val="24"/>
          <w:highlight w:val="none"/>
          <w:lang w:val="en-US" w:eastAsia="zh-CN"/>
        </w:rPr>
        <w:t>。</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有固定的营业场所和开展招标代理业务所需设施及办公条件。</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有健全的组织机构和内部管理的规章制度。</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具备编制招标文件、组织评标和定标的相应专业力量。</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法律、行政法规规定的其它条件。</w:t>
      </w:r>
    </w:p>
    <w:p>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其他相关要求</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入围供应商须遵守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提出的各项规章制度和廉政纪律、保密规定和要求，按照</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提出的工作规程和要求开展服务工作。入围供应商须配合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做好入围供应商参与人员的定期培训工作。</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入围供应商除与拟委托项目有利害关系需回避外，入围供应商不得无故拒绝</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的工作任务，否则</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有权终止该入围供应商的采购合同。</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default" w:ascii="宋体" w:hAnsi="宋体" w:cs="宋体"/>
          <w:color w:val="000000"/>
          <w:kern w:val="0"/>
          <w:sz w:val="24"/>
          <w:szCs w:val="24"/>
          <w:highlight w:val="none"/>
          <w:lang w:eastAsia="zh-CN" w:bidi="ar"/>
        </w:rPr>
        <w:t>招标人</w:t>
      </w:r>
      <w:r>
        <w:rPr>
          <w:rFonts w:hint="eastAsia" w:ascii="宋体" w:hAnsi="宋体" w:eastAsia="宋体" w:cs="宋体"/>
          <w:color w:val="000000"/>
          <w:kern w:val="0"/>
          <w:sz w:val="24"/>
          <w:szCs w:val="24"/>
          <w:highlight w:val="none"/>
          <w:lang w:val="en-US" w:eastAsia="zh-CN" w:bidi="ar"/>
        </w:rPr>
        <w:t>将对采购合同完成的服务成果进行稽核并按相关办法对其服务进行评价，</w:t>
      </w:r>
      <w:r>
        <w:rPr>
          <w:rFonts w:hint="eastAsia" w:ascii="宋体" w:hAnsi="宋体" w:eastAsia="宋体" w:cs="宋体"/>
          <w:sz w:val="24"/>
          <w:szCs w:val="24"/>
          <w:highlight w:val="none"/>
          <w:lang w:val="en-US" w:eastAsia="zh-CN"/>
        </w:rPr>
        <w:t>入围供应商须无条件配合。</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加强对工作人员的监督管理，对工作人员成果承担相应的法律责任；入围供应商及入围供应商工作人员工作出现重大过失，给招标工作造成损失或严重后果的，经确认，取消供应商的入围资格，并承担相应的法律责任。</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招标过程中，发现入围供应商有以下行为之一，</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可以取消供应商的入围资格：</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提供虚假信息，误导或欺骗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，谋取非法利益。</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违反了诚实信用和投标承诺，没有严格执行相关质量、服务标准，损害政府利益。</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拒绝接受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及相关部门监督、检查</w:t>
      </w:r>
      <w:r>
        <w:rPr>
          <w:rFonts w:hint="eastAsia" w:ascii="宋体" w:hAnsi="宋体" w:eastAsia="宋体" w:cs="宋体"/>
          <w:sz w:val="24"/>
          <w:szCs w:val="24"/>
          <w:highlight w:val="none"/>
          <w:lang w:eastAsia="zh-CN"/>
        </w:rPr>
        <w:t>。</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出现信息危机、财务危机、生产经营危机甚至破产、无法继续履行招标代理业务。</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在招标过程中若有滥用职权、玩忽职守或泄露国家机密、商业秘密等违法违纪行为的，一经查实，立刻终止采购合同，对入围供应商及相关人员追究法律责任并向行业主管部门报告；触犯刑律的，移交司法机关处理。</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入围供应商须建立完备的项目管理制度：包括但不限于工作岗位职责规定、人员培训管理、招标业务审核规范、开评标流程规范、档案管理制度等。</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入围供应商应严格遵守招标人制定的工程管理相关制度。</w:t>
      </w:r>
    </w:p>
    <w:p>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考核标准和方法</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spacing w:val="-13"/>
          <w:sz w:val="24"/>
          <w:szCs w:val="24"/>
          <w:highlight w:val="none"/>
          <w:lang w:val="en-US" w:eastAsia="zh-CN"/>
        </w:rPr>
        <w:t>入围</w:t>
      </w:r>
      <w:r>
        <w:rPr>
          <w:rFonts w:hint="eastAsia" w:ascii="宋体" w:hAnsi="宋体" w:eastAsia="宋体" w:cs="宋体"/>
          <w:spacing w:val="-13"/>
          <w:sz w:val="24"/>
          <w:szCs w:val="24"/>
          <w:highlight w:val="none"/>
        </w:rPr>
        <w:t>供应商</w:t>
      </w:r>
      <w:r>
        <w:rPr>
          <w:rFonts w:hint="eastAsia" w:ascii="宋体" w:hAnsi="宋体" w:eastAsia="宋体" w:cs="宋体"/>
          <w:color w:val="auto"/>
          <w:sz w:val="24"/>
          <w:highlight w:val="none"/>
          <w:u w:val="none"/>
        </w:rPr>
        <w:t>应遵照</w:t>
      </w:r>
      <w:r>
        <w:rPr>
          <w:rFonts w:hint="eastAsia" w:ascii="宋体" w:hAnsi="宋体" w:eastAsia="宋体" w:cs="宋体"/>
          <w:color w:val="auto"/>
          <w:sz w:val="24"/>
          <w:highlight w:val="none"/>
          <w:u w:val="none"/>
          <w:lang w:val="en-US" w:eastAsia="zh-CN"/>
        </w:rPr>
        <w:t>文件</w:t>
      </w:r>
      <w:r>
        <w:rPr>
          <w:rFonts w:hint="eastAsia" w:ascii="宋体" w:hAnsi="宋体" w:eastAsia="宋体" w:cs="宋体"/>
          <w:color w:val="auto"/>
          <w:sz w:val="24"/>
          <w:highlight w:val="none"/>
          <w:u w:val="none"/>
        </w:rPr>
        <w:t>要求和自身的服务承诺，按</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要求开展</w:t>
      </w:r>
      <w:r>
        <w:rPr>
          <w:rFonts w:hint="eastAsia" w:ascii="宋体" w:hAnsi="宋体" w:eastAsia="宋体" w:cs="宋体"/>
          <w:color w:val="auto"/>
          <w:sz w:val="24"/>
          <w:highlight w:val="none"/>
          <w:u w:val="none"/>
          <w:lang w:val="en-US" w:eastAsia="zh-CN"/>
        </w:rPr>
        <w:t>项目服务</w:t>
      </w:r>
      <w:r>
        <w:rPr>
          <w:rFonts w:hint="eastAsia" w:ascii="宋体" w:hAnsi="宋体" w:eastAsia="宋体" w:cs="宋体"/>
          <w:color w:val="auto"/>
          <w:sz w:val="24"/>
          <w:highlight w:val="none"/>
          <w:u w:val="none"/>
        </w:rPr>
        <w:t>工作，并接受</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对其进行考核。</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rPr>
        <w:t>考核是对每个委托项目的</w:t>
      </w:r>
      <w:r>
        <w:rPr>
          <w:rFonts w:hint="eastAsia" w:ascii="宋体" w:hAnsi="宋体" w:eastAsia="宋体" w:cs="宋体"/>
          <w:color w:val="auto"/>
          <w:sz w:val="24"/>
          <w:highlight w:val="none"/>
          <w:u w:val="none"/>
          <w:lang w:val="en-US" w:eastAsia="zh-CN"/>
        </w:rPr>
        <w:t>代理行为</w:t>
      </w:r>
      <w:r>
        <w:rPr>
          <w:rFonts w:hint="eastAsia" w:ascii="宋体" w:hAnsi="宋体" w:eastAsia="宋体" w:cs="宋体"/>
          <w:color w:val="auto"/>
          <w:sz w:val="24"/>
          <w:highlight w:val="none"/>
          <w:lang w:val="en-US" w:eastAsia="zh-CN"/>
        </w:rPr>
        <w:t>、代理质量</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其他情况</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lang w:val="en-US" w:eastAsia="zh-CN"/>
        </w:rPr>
        <w:t>加扣分项等</w:t>
      </w:r>
      <w:r>
        <w:rPr>
          <w:rFonts w:hint="eastAsia" w:ascii="宋体" w:hAnsi="宋体" w:eastAsia="宋体" w:cs="宋体"/>
          <w:color w:val="auto"/>
          <w:sz w:val="24"/>
          <w:highlight w:val="none"/>
          <w:u w:val="none"/>
        </w:rPr>
        <w:t>方面进行考核</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考核标准</w:t>
      </w:r>
      <w:r>
        <w:rPr>
          <w:rFonts w:hint="eastAsia" w:ascii="宋体" w:hAnsi="宋体" w:eastAsia="宋体" w:cs="宋体"/>
          <w:color w:val="auto"/>
          <w:sz w:val="24"/>
          <w:highlight w:val="none"/>
          <w:u w:val="none"/>
          <w:lang w:val="en-US" w:eastAsia="zh-Hans"/>
        </w:rPr>
        <w:t>见</w:t>
      </w:r>
      <w:r>
        <w:rPr>
          <w:rFonts w:hint="eastAsia" w:ascii="宋体" w:hAnsi="宋体" w:eastAsia="宋体" w:cs="宋体"/>
          <w:color w:val="auto"/>
          <w:sz w:val="24"/>
          <w:highlight w:val="none"/>
          <w:u w:val="none"/>
        </w:rPr>
        <w:t>附表</w:t>
      </w:r>
      <w:r>
        <w:rPr>
          <w:rFonts w:hint="eastAsia" w:ascii="宋体" w:hAnsi="宋体" w:eastAsia="宋体" w:cs="宋体"/>
          <w:color w:val="auto"/>
          <w:sz w:val="24"/>
          <w:highlight w:val="none"/>
          <w:u w:val="none"/>
          <w:lang w:val="en-US" w:eastAsia="zh-CN"/>
        </w:rPr>
        <w:t>一</w:t>
      </w:r>
      <w:r>
        <w:rPr>
          <w:rFonts w:hint="eastAsia" w:ascii="宋体" w:hAnsi="宋体" w:eastAsia="宋体" w:cs="宋体"/>
          <w:color w:val="auto"/>
          <w:sz w:val="24"/>
          <w:highlight w:val="none"/>
          <w:u w:val="none"/>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lang w:val="en-US" w:eastAsia="zh-CN"/>
        </w:rPr>
        <w:t>入围供应商接受招标人的委托招标代理任务后，并接受招标人考核。考核不合格，将不再授予项目委托。</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highlight w:val="none"/>
          <w:lang w:val="en-US" w:eastAsia="zh-CN"/>
        </w:rPr>
        <w:t>考核标准详见附表一。</w:t>
      </w:r>
    </w:p>
    <w:p>
      <w:pPr>
        <w:pStyle w:val="3"/>
        <w:pageBreakBefore w:val="0"/>
        <w:widowControl/>
        <w:kinsoku/>
        <w:wordWrap/>
        <w:overflowPunct/>
        <w:topLinePunct w:val="0"/>
        <w:autoSpaceDE w:val="0"/>
        <w:autoSpaceDN w:val="0"/>
        <w:bidi w:val="0"/>
        <w:adjustRightInd w:val="0"/>
        <w:snapToGrid w:val="0"/>
        <w:spacing w:beforeLines="0" w:afterLines="0" w:line="360" w:lineRule="auto"/>
        <w:ind w:leftChars="0" w:firstLine="482" w:firstLineChars="200"/>
        <w:textAlignment w:val="baseline"/>
        <w:rPr>
          <w:rFonts w:hint="eastAsia" w:ascii="宋体" w:hAnsi="宋体" w:eastAsia="宋体" w:cs="宋体"/>
          <w:b/>
          <w:highlight w:val="none"/>
        </w:rPr>
      </w:pPr>
      <w:bookmarkStart w:id="63" w:name="_Toc14456"/>
      <w:bookmarkStart w:id="64" w:name="_Toc4948"/>
      <w:r>
        <w:rPr>
          <w:rFonts w:hint="eastAsia" w:ascii="宋体" w:hAnsi="宋体" w:eastAsia="宋体" w:cs="宋体"/>
          <w:b/>
          <w:highlight w:val="none"/>
        </w:rPr>
        <w:t>3.4</w:t>
      </w:r>
      <w:r>
        <w:rPr>
          <w:rFonts w:hint="eastAsia" w:ascii="宋体" w:hAnsi="宋体" w:eastAsia="宋体" w:cs="宋体"/>
          <w:b/>
          <w:highlight w:val="none"/>
          <w:lang w:val="en-US" w:eastAsia="zh-CN"/>
        </w:rPr>
        <w:t>.</w:t>
      </w:r>
      <w:r>
        <w:rPr>
          <w:rFonts w:hint="eastAsia" w:ascii="宋体" w:hAnsi="宋体" w:eastAsia="宋体" w:cs="宋体"/>
          <w:b/>
          <w:highlight w:val="none"/>
        </w:rPr>
        <w:t>商务要求</w:t>
      </w:r>
      <w:bookmarkEnd w:id="63"/>
      <w:bookmarkEnd w:id="64"/>
    </w:p>
    <w:p>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计费及支付方式</w:t>
      </w:r>
    </w:p>
    <w:p>
      <w:pPr>
        <w:pStyle w:val="17"/>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单个项目招标代理费最高限价</w:t>
      </w:r>
      <w:r>
        <w:rPr>
          <w:rFonts w:hint="eastAsia" w:ascii="宋体" w:hAnsi="宋体" w:cs="宋体"/>
          <w:sz w:val="24"/>
          <w:szCs w:val="24"/>
          <w:highlight w:val="none"/>
          <w:lang w:val="en-US" w:eastAsia="zh-CN"/>
        </w:rPr>
        <w:t>不得超过</w:t>
      </w:r>
      <w:r>
        <w:rPr>
          <w:rFonts w:hint="eastAsia" w:ascii="宋体" w:hAnsi="宋体" w:eastAsia="宋体" w:cs="宋体"/>
          <w:sz w:val="24"/>
          <w:szCs w:val="24"/>
          <w:highlight w:val="none"/>
          <w:lang w:val="en-US" w:eastAsia="zh-Hans"/>
        </w:rPr>
        <w:t>人民币20万元。</w:t>
      </w:r>
    </w:p>
    <w:p>
      <w:pPr>
        <w:pStyle w:val="17"/>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完成招标代理全部工作后，</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按</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人的财务制度向</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人提出付款申请，</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人自收到</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人付款申请后的10个工作日内向市财政部门申请办理一次性付清代理酬金的手续，具体支付时间以财政部门支付时间为准。。</w:t>
      </w:r>
    </w:p>
    <w:p>
      <w:pPr>
        <w:pStyle w:val="17"/>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人付款前，</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向</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人开具等额有效的发票，并已清楚明白财政部门付款的相关程序，付款时间为</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w:t>
      </w:r>
      <w:r>
        <w:rPr>
          <w:rFonts w:hint="eastAsia" w:ascii="宋体" w:hAnsi="宋体" w:cs="宋体"/>
          <w:sz w:val="24"/>
          <w:szCs w:val="24"/>
          <w:highlight w:val="none"/>
          <w:lang w:val="en-US" w:eastAsia="zh-CN"/>
        </w:rPr>
        <w:t>向</w:t>
      </w:r>
      <w:r>
        <w:rPr>
          <w:rFonts w:hint="eastAsia" w:ascii="宋体" w:hAnsi="宋体" w:eastAsia="宋体" w:cs="宋体"/>
          <w:sz w:val="24"/>
          <w:szCs w:val="24"/>
          <w:highlight w:val="none"/>
          <w:lang w:val="en-US" w:eastAsia="zh-Hans"/>
        </w:rPr>
        <w:t>市财政部门提出支付申请的时间，而非款项实际支付时间。如因政府财政支付流程导致的支付延期，</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人不承担责任，也不能作为</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延迟履行或者不履行合同义务的抗辩理由。</w:t>
      </w:r>
    </w:p>
    <w:p>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default" w:ascii="宋体" w:hAnsi="宋体" w:eastAsia="宋体" w:cs="宋体"/>
          <w:b/>
          <w:bCs/>
          <w:sz w:val="24"/>
          <w:szCs w:val="24"/>
          <w:highlight w:val="none"/>
          <w:lang w:val="en-US" w:eastAsia="zh-Hans"/>
        </w:rPr>
      </w:pPr>
      <w:r>
        <w:rPr>
          <w:rFonts w:hint="eastAsia" w:ascii="宋体" w:hAnsi="宋体" w:eastAsia="宋体" w:cs="宋体"/>
          <w:b/>
          <w:bCs/>
          <w:sz w:val="24"/>
          <w:szCs w:val="24"/>
          <w:highlight w:val="none"/>
          <w:lang w:val="en-US" w:eastAsia="zh-Hans"/>
        </w:rPr>
        <w:t>供应商选定办法</w:t>
      </w:r>
    </w:p>
    <w:p>
      <w:pPr>
        <w:pStyle w:val="17"/>
        <w:keepNext w:val="0"/>
        <w:keepLines w:val="0"/>
        <w:pageBreakBefore w:val="0"/>
        <w:widowControl w:val="0"/>
        <w:numPr>
          <w:ilvl w:val="0"/>
          <w:numId w:val="9"/>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评审小组根据供应商递交的</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Hans"/>
        </w:rPr>
        <w:t>文件对各项目独立进行评分，按照评分从高到低排序，供应商得分排名前10名为本项目的入围协议供应商，得分相同时，以服务方案的得分由高到低顺序排序。每次项目择选招标代理机构时，在入围协议供应商范围内采用</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lang w:val="en-US" w:eastAsia="zh-Hans"/>
        </w:rPr>
        <w:t>的方式进行选定</w:t>
      </w:r>
      <w:r>
        <w:rPr>
          <w:rFonts w:hint="eastAsia" w:ascii="宋体" w:hAnsi="宋体" w:eastAsia="宋体" w:cs="宋体"/>
          <w:sz w:val="24"/>
          <w:szCs w:val="24"/>
          <w:highlight w:val="none"/>
          <w:lang w:val="en-US" w:eastAsia="zh-CN"/>
        </w:rPr>
        <w:t>。</w:t>
      </w:r>
    </w:p>
    <w:p>
      <w:pPr>
        <w:pStyle w:val="17"/>
        <w:keepNext w:val="0"/>
        <w:keepLines w:val="0"/>
        <w:pageBreakBefore w:val="0"/>
        <w:widowControl w:val="0"/>
        <w:numPr>
          <w:ilvl w:val="0"/>
          <w:numId w:val="9"/>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二次竞价以</w:t>
      </w:r>
      <w:r>
        <w:rPr>
          <w:rFonts w:hint="eastAsia" w:ascii="宋体" w:hAnsi="宋体" w:cs="宋体"/>
          <w:sz w:val="24"/>
          <w:szCs w:val="24"/>
          <w:highlight w:val="none"/>
          <w:lang w:val="en-US" w:eastAsia="zh-CN"/>
        </w:rPr>
        <w:t>采购人制定的</w:t>
      </w:r>
      <w:r>
        <w:rPr>
          <w:rFonts w:hint="eastAsia" w:ascii="宋体" w:hAnsi="宋体" w:eastAsia="宋体" w:cs="宋体"/>
          <w:sz w:val="24"/>
          <w:szCs w:val="24"/>
          <w:highlight w:val="none"/>
          <w:lang w:val="en-US" w:eastAsia="zh-Hans"/>
        </w:rPr>
        <w:t>招标代理费</w:t>
      </w:r>
      <w:r>
        <w:rPr>
          <w:rFonts w:hint="eastAsia" w:ascii="宋体" w:hAnsi="宋体" w:eastAsia="宋体" w:cs="宋体"/>
          <w:sz w:val="24"/>
          <w:szCs w:val="24"/>
          <w:highlight w:val="none"/>
          <w:lang w:val="en-US" w:eastAsia="zh-CN"/>
        </w:rPr>
        <w:t>最高限价，从入围供应商中选择所有符合竞价需求的供应商参与二次竞价，确定报价最低的为成交供应商。</w:t>
      </w:r>
    </w:p>
    <w:p>
      <w:pPr>
        <w:keepNext w:val="0"/>
        <w:keepLines w:val="0"/>
        <w:pageBreakBefore/>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rPr>
        <w:t>附表</w:t>
      </w:r>
      <w:r>
        <w:rPr>
          <w:rFonts w:hint="eastAsia" w:ascii="宋体" w:hAnsi="宋体" w:eastAsia="宋体" w:cs="宋体"/>
          <w:b/>
          <w:bCs/>
          <w:color w:val="auto"/>
          <w:sz w:val="24"/>
          <w:highlight w:val="none"/>
          <w:u w:val="none"/>
          <w:lang w:val="en-US" w:eastAsia="zh-CN"/>
        </w:rPr>
        <w:t>一：考核标准</w:t>
      </w:r>
    </w:p>
    <w:tbl>
      <w:tblPr>
        <w:tblStyle w:val="1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305"/>
        <w:gridCol w:w="5412"/>
        <w:gridCol w:w="825"/>
        <w:gridCol w:w="810"/>
      </w:tblGrid>
      <w:tr>
        <w:tblPrEx>
          <w:tblCellMar>
            <w:top w:w="0" w:type="dxa"/>
            <w:left w:w="108" w:type="dxa"/>
            <w:bottom w:w="0" w:type="dxa"/>
            <w:right w:w="108" w:type="dxa"/>
          </w:tblCellMar>
        </w:tblPrEx>
        <w:trPr>
          <w:trHeight w:val="452" w:hRule="atLeast"/>
          <w:tblHeader/>
        </w:trPr>
        <w:tc>
          <w:tcPr>
            <w:tcW w:w="139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评价项目</w:t>
            </w:r>
          </w:p>
        </w:tc>
        <w:tc>
          <w:tcPr>
            <w:tcW w:w="13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评价分项</w:t>
            </w:r>
          </w:p>
        </w:tc>
        <w:tc>
          <w:tcPr>
            <w:tcW w:w="5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评分标准</w:t>
            </w:r>
          </w:p>
        </w:tc>
        <w:tc>
          <w:tcPr>
            <w:tcW w:w="8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扣分</w:t>
            </w:r>
          </w:p>
        </w:tc>
        <w:tc>
          <w:tcPr>
            <w:tcW w:w="8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restart"/>
          </w:tcPr>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default" w:asciiTheme="minorEastAsia" w:hAnsiTheme="minorEastAsia" w:eastAsiaTheme="minorEastAsia" w:cstheme="minorEastAsia"/>
                <w:b/>
                <w:bCs/>
                <w:color w:val="auto"/>
                <w:sz w:val="22"/>
                <w:szCs w:val="22"/>
                <w:highlight w:val="none"/>
                <w:vertAlign w:val="baseline"/>
                <w:lang w:val="en-US" w:eastAsia="zh-CN"/>
              </w:rPr>
            </w:pPr>
            <w:r>
              <w:rPr>
                <w:rFonts w:hint="eastAsia" w:asciiTheme="minorEastAsia" w:hAnsiTheme="minorEastAsia" w:cstheme="minorEastAsia"/>
                <w:b/>
                <w:bCs/>
                <w:color w:val="auto"/>
                <w:sz w:val="22"/>
                <w:szCs w:val="22"/>
                <w:highlight w:val="none"/>
                <w:vertAlign w:val="baseline"/>
                <w:lang w:val="en-US" w:eastAsia="zh-CN"/>
              </w:rPr>
              <w:t>一、代理</w:t>
            </w:r>
            <w:r>
              <w:rPr>
                <w:rFonts w:hint="default" w:asciiTheme="minorEastAsia" w:hAnsiTheme="minorEastAsia" w:eastAsiaTheme="minorEastAsia" w:cstheme="minorEastAsia"/>
                <w:b/>
                <w:bCs/>
                <w:color w:val="auto"/>
                <w:sz w:val="22"/>
                <w:szCs w:val="22"/>
                <w:highlight w:val="none"/>
                <w:vertAlign w:val="baseline"/>
                <w:lang w:val="en-US" w:eastAsia="zh-CN"/>
              </w:rPr>
              <w:t>行为</w:t>
            </w:r>
            <w:r>
              <w:rPr>
                <w:rFonts w:hint="eastAsia" w:asciiTheme="minorEastAsia" w:hAnsiTheme="minorEastAsia" w:cstheme="minorEastAsia"/>
                <w:b/>
                <w:bCs/>
                <w:color w:val="auto"/>
                <w:sz w:val="22"/>
                <w:szCs w:val="22"/>
                <w:highlight w:val="none"/>
                <w:vertAlign w:val="baseline"/>
                <w:lang w:val="en-US" w:eastAsia="zh-CN"/>
              </w:rPr>
              <w:t>（30分）</w:t>
            </w:r>
          </w:p>
        </w:tc>
        <w:tc>
          <w:tcPr>
            <w:tcW w:w="1305" w:type="dxa"/>
            <w:vMerge w:val="restart"/>
            <w:vAlign w:val="center"/>
          </w:tcPr>
          <w:p>
            <w:pPr>
              <w:widowControl w:val="0"/>
              <w:numPr>
                <w:ilvl w:val="0"/>
                <w:numId w:val="0"/>
              </w:numPr>
              <w:jc w:val="left"/>
              <w:rPr>
                <w:rFonts w:hint="default" w:asciiTheme="minorEastAsia" w:hAnsiTheme="minorEastAsia" w:eastAsiaTheme="minorEastAsia" w:cstheme="minorEastAsia"/>
                <w:b/>
                <w:bCs/>
                <w:color w:val="auto"/>
                <w:sz w:val="22"/>
                <w:szCs w:val="22"/>
                <w:highlight w:val="none"/>
                <w:vertAlign w:val="baseline"/>
                <w:lang w:val="en-US" w:eastAsia="zh-CN"/>
              </w:rPr>
            </w:pPr>
            <w:r>
              <w:rPr>
                <w:rFonts w:hint="eastAsia" w:asciiTheme="minorEastAsia" w:hAnsiTheme="minorEastAsia" w:cstheme="minorEastAsia"/>
                <w:b/>
                <w:bCs/>
                <w:color w:val="auto"/>
                <w:sz w:val="22"/>
                <w:szCs w:val="22"/>
                <w:highlight w:val="none"/>
                <w:vertAlign w:val="baseline"/>
                <w:lang w:val="en-US" w:eastAsia="zh-CN"/>
              </w:rPr>
              <w:t>行为规范及服务态度（30分）</w:t>
            </w: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1.1</w:t>
            </w:r>
            <w:r>
              <w:rPr>
                <w:rFonts w:hint="eastAsia" w:asciiTheme="minorEastAsia" w:hAnsiTheme="minorEastAsia" w:eastAsiaTheme="minorEastAsia" w:cstheme="minorEastAsia"/>
                <w:i w:val="0"/>
                <w:iCs w:val="0"/>
                <w:caps w:val="0"/>
                <w:color w:val="auto"/>
                <w:spacing w:val="0"/>
                <w:sz w:val="22"/>
                <w:szCs w:val="22"/>
                <w:highlight w:val="none"/>
                <w:shd w:val="clear"/>
              </w:rPr>
              <w:t>在招标代理过程中发现违法违规问题，不及时向</w:t>
            </w:r>
            <w:r>
              <w:rPr>
                <w:rFonts w:hint="eastAsia" w:asciiTheme="minorEastAsia" w:hAnsiTheme="minorEastAsia" w:eastAsiaTheme="minorEastAsia" w:cstheme="minorEastAsia"/>
                <w:i w:val="0"/>
                <w:iCs w:val="0"/>
                <w:caps w:val="0"/>
                <w:color w:val="auto"/>
                <w:spacing w:val="0"/>
                <w:sz w:val="22"/>
                <w:szCs w:val="22"/>
                <w:highlight w:val="none"/>
                <w:shd w:val="clear"/>
                <w:lang w:val="en-US" w:eastAsia="zh-CN"/>
              </w:rPr>
              <w:t>市代建中心</w:t>
            </w:r>
            <w:r>
              <w:rPr>
                <w:rFonts w:hint="eastAsia" w:asciiTheme="minorEastAsia" w:hAnsiTheme="minorEastAsia" w:eastAsiaTheme="minorEastAsia" w:cstheme="minorEastAsia"/>
                <w:i w:val="0"/>
                <w:iCs w:val="0"/>
                <w:caps w:val="0"/>
                <w:color w:val="auto"/>
                <w:spacing w:val="0"/>
                <w:sz w:val="22"/>
                <w:szCs w:val="22"/>
                <w:highlight w:val="none"/>
                <w:shd w:val="clear"/>
              </w:rPr>
              <w:t>汇报的，每次扣3分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restart"/>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1.2</w:t>
            </w:r>
            <w:r>
              <w:rPr>
                <w:rFonts w:hint="eastAsia" w:asciiTheme="minorEastAsia" w:hAnsiTheme="minorEastAsia" w:eastAsiaTheme="minorEastAsia" w:cstheme="minorEastAsia"/>
                <w:i w:val="0"/>
                <w:iCs w:val="0"/>
                <w:caps w:val="0"/>
                <w:color w:val="auto"/>
                <w:spacing w:val="0"/>
                <w:sz w:val="22"/>
                <w:szCs w:val="22"/>
                <w:highlight w:val="none"/>
                <w:shd w:val="clear"/>
              </w:rPr>
              <w:t>服务态度生硬，与服务对象发生争吵，造成不良影响的，每次扣 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1.3</w:t>
            </w:r>
            <w:r>
              <w:rPr>
                <w:rFonts w:hint="eastAsia" w:asciiTheme="minorEastAsia" w:hAnsiTheme="minorEastAsia" w:eastAsiaTheme="minorEastAsia" w:cstheme="minorEastAsia"/>
                <w:i w:val="0"/>
                <w:iCs w:val="0"/>
                <w:caps w:val="0"/>
                <w:color w:val="auto"/>
                <w:spacing w:val="0"/>
                <w:sz w:val="22"/>
                <w:szCs w:val="22"/>
                <w:highlight w:val="none"/>
                <w:shd w:val="clear"/>
              </w:rPr>
              <w:t>干预评</w:t>
            </w:r>
            <w:r>
              <w:rPr>
                <w:rFonts w:hint="eastAsia" w:asciiTheme="minorEastAsia" w:hAnsiTheme="minorEastAsia" w:cstheme="minorEastAsia"/>
                <w:i w:val="0"/>
                <w:iCs w:val="0"/>
                <w:caps w:val="0"/>
                <w:color w:val="auto"/>
                <w:spacing w:val="0"/>
                <w:sz w:val="22"/>
                <w:szCs w:val="22"/>
                <w:highlight w:val="none"/>
                <w:shd w:val="clear"/>
                <w:lang w:eastAsia="zh-CN"/>
              </w:rPr>
              <w:t>（</w:t>
            </w:r>
            <w:r>
              <w:rPr>
                <w:rFonts w:hint="eastAsia" w:asciiTheme="minorEastAsia" w:hAnsiTheme="minorEastAsia" w:cstheme="minorEastAsia"/>
                <w:i w:val="0"/>
                <w:iCs w:val="0"/>
                <w:caps w:val="0"/>
                <w:color w:val="auto"/>
                <w:spacing w:val="0"/>
                <w:sz w:val="22"/>
                <w:szCs w:val="22"/>
                <w:highlight w:val="none"/>
                <w:shd w:val="clear"/>
                <w:lang w:val="en-US" w:eastAsia="zh-CN"/>
              </w:rPr>
              <w:t>定</w:t>
            </w:r>
            <w:r>
              <w:rPr>
                <w:rFonts w:hint="eastAsia" w:asciiTheme="minorEastAsia" w:hAnsiTheme="minorEastAsia" w:cstheme="minorEastAsia"/>
                <w:i w:val="0"/>
                <w:iCs w:val="0"/>
                <w:caps w:val="0"/>
                <w:color w:val="auto"/>
                <w:spacing w:val="0"/>
                <w:sz w:val="22"/>
                <w:szCs w:val="22"/>
                <w:highlight w:val="none"/>
                <w:shd w:val="clear"/>
                <w:lang w:eastAsia="zh-CN"/>
              </w:rPr>
              <w:t>）</w:t>
            </w:r>
            <w:r>
              <w:rPr>
                <w:rFonts w:hint="eastAsia" w:asciiTheme="minorEastAsia" w:hAnsiTheme="minorEastAsia" w:eastAsiaTheme="minorEastAsia" w:cstheme="minorEastAsia"/>
                <w:i w:val="0"/>
                <w:iCs w:val="0"/>
                <w:caps w:val="0"/>
                <w:color w:val="auto"/>
                <w:spacing w:val="0"/>
                <w:sz w:val="22"/>
                <w:szCs w:val="22"/>
                <w:highlight w:val="none"/>
                <w:shd w:val="clear"/>
              </w:rPr>
              <w:t>标委员会活动和影响评</w:t>
            </w:r>
            <w:r>
              <w:rPr>
                <w:rFonts w:hint="eastAsia" w:asciiTheme="minorEastAsia" w:hAnsiTheme="minorEastAsia" w:cstheme="minorEastAsia"/>
                <w:i w:val="0"/>
                <w:iCs w:val="0"/>
                <w:caps w:val="0"/>
                <w:color w:val="auto"/>
                <w:spacing w:val="0"/>
                <w:sz w:val="22"/>
                <w:szCs w:val="22"/>
                <w:highlight w:val="none"/>
                <w:shd w:val="clear"/>
                <w:lang w:eastAsia="zh-CN"/>
              </w:rPr>
              <w:t>（</w:t>
            </w:r>
            <w:r>
              <w:rPr>
                <w:rFonts w:hint="eastAsia" w:asciiTheme="minorEastAsia" w:hAnsiTheme="minorEastAsia" w:cstheme="minorEastAsia"/>
                <w:i w:val="0"/>
                <w:iCs w:val="0"/>
                <w:caps w:val="0"/>
                <w:color w:val="auto"/>
                <w:spacing w:val="0"/>
                <w:sz w:val="22"/>
                <w:szCs w:val="22"/>
                <w:highlight w:val="none"/>
                <w:shd w:val="clear"/>
                <w:lang w:val="en-US" w:eastAsia="zh-CN"/>
              </w:rPr>
              <w:t>定</w:t>
            </w:r>
            <w:r>
              <w:rPr>
                <w:rFonts w:hint="eastAsia" w:asciiTheme="minorEastAsia" w:hAnsiTheme="minorEastAsia" w:cstheme="minorEastAsia"/>
                <w:i w:val="0"/>
                <w:iCs w:val="0"/>
                <w:caps w:val="0"/>
                <w:color w:val="auto"/>
                <w:spacing w:val="0"/>
                <w:sz w:val="22"/>
                <w:szCs w:val="22"/>
                <w:highlight w:val="none"/>
                <w:shd w:val="clear"/>
                <w:lang w:eastAsia="zh-CN"/>
              </w:rPr>
              <w:t>）</w:t>
            </w:r>
            <w:r>
              <w:rPr>
                <w:rFonts w:hint="eastAsia" w:asciiTheme="minorEastAsia" w:hAnsiTheme="minorEastAsia" w:eastAsiaTheme="minorEastAsia" w:cstheme="minorEastAsia"/>
                <w:i w:val="0"/>
                <w:iCs w:val="0"/>
                <w:caps w:val="0"/>
                <w:color w:val="auto"/>
                <w:spacing w:val="0"/>
                <w:sz w:val="22"/>
                <w:szCs w:val="22"/>
                <w:highlight w:val="none"/>
                <w:shd w:val="clear"/>
              </w:rPr>
              <w:t>标专家的意思表示的，每次扣2分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1.4</w:t>
            </w:r>
            <w:r>
              <w:rPr>
                <w:rFonts w:hint="eastAsia" w:asciiTheme="minorEastAsia" w:hAnsiTheme="minorEastAsia" w:eastAsiaTheme="minorEastAsia" w:cstheme="minorEastAsia"/>
                <w:i w:val="0"/>
                <w:iCs w:val="0"/>
                <w:caps w:val="0"/>
                <w:color w:val="auto"/>
                <w:spacing w:val="0"/>
                <w:sz w:val="22"/>
                <w:szCs w:val="22"/>
                <w:highlight w:val="none"/>
                <w:shd w:val="clear"/>
              </w:rPr>
              <w:t>不配合</w:t>
            </w:r>
            <w:r>
              <w:rPr>
                <w:rFonts w:hint="eastAsia" w:asciiTheme="minorEastAsia" w:hAnsiTheme="minorEastAsia" w:eastAsiaTheme="minorEastAsia" w:cstheme="minorEastAsia"/>
                <w:i w:val="0"/>
                <w:iCs w:val="0"/>
                <w:caps w:val="0"/>
                <w:color w:val="auto"/>
                <w:spacing w:val="0"/>
                <w:sz w:val="22"/>
                <w:szCs w:val="22"/>
                <w:highlight w:val="none"/>
                <w:shd w:val="clear"/>
                <w:lang w:val="en-US" w:eastAsia="zh-CN"/>
              </w:rPr>
              <w:t>市代建中心</w:t>
            </w:r>
            <w:r>
              <w:rPr>
                <w:rFonts w:hint="eastAsia" w:asciiTheme="minorEastAsia" w:hAnsiTheme="minorEastAsia" w:eastAsiaTheme="minorEastAsia" w:cstheme="minorEastAsia"/>
                <w:i w:val="0"/>
                <w:iCs w:val="0"/>
                <w:caps w:val="0"/>
                <w:color w:val="auto"/>
                <w:spacing w:val="0"/>
                <w:sz w:val="22"/>
                <w:szCs w:val="22"/>
                <w:highlight w:val="none"/>
                <w:shd w:val="clear"/>
              </w:rPr>
              <w:t>对招投标投诉调查处理，不如实反映情况，不及时提供材料的，每次扣2分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b w:val="0"/>
                <w:bCs w:val="0"/>
                <w:color w:val="auto"/>
                <w:sz w:val="22"/>
                <w:szCs w:val="22"/>
                <w:highlight w:val="none"/>
                <w:vertAlign w:val="baseline"/>
                <w:lang w:val="en-US" w:eastAsia="zh-CN"/>
              </w:rPr>
              <w:t>1.5</w:t>
            </w:r>
            <w:r>
              <w:rPr>
                <w:rFonts w:hint="eastAsia" w:asciiTheme="minorEastAsia" w:hAnsiTheme="minorEastAsia" w:eastAsiaTheme="minorEastAsia" w:cstheme="minorEastAsia"/>
                <w:b w:val="0"/>
                <w:bCs w:val="0"/>
                <w:color w:val="auto"/>
                <w:sz w:val="22"/>
                <w:szCs w:val="22"/>
                <w:highlight w:val="none"/>
                <w:vertAlign w:val="baseline"/>
                <w:lang w:val="en-US" w:eastAsia="zh-CN"/>
              </w:rPr>
              <w:t>缺席</w:t>
            </w:r>
            <w:r>
              <w:rPr>
                <w:rFonts w:hint="eastAsia" w:asciiTheme="minorEastAsia" w:hAnsiTheme="minorEastAsia" w:cstheme="minorEastAsia"/>
                <w:b w:val="0"/>
                <w:bCs w:val="0"/>
                <w:color w:val="auto"/>
                <w:sz w:val="22"/>
                <w:szCs w:val="22"/>
                <w:highlight w:val="none"/>
                <w:vertAlign w:val="baseline"/>
                <w:lang w:val="en-US" w:eastAsia="zh-CN"/>
              </w:rPr>
              <w:t>市代建中心、业主方</w:t>
            </w:r>
            <w:r>
              <w:rPr>
                <w:rFonts w:hint="eastAsia" w:asciiTheme="minorEastAsia" w:hAnsiTheme="minorEastAsia" w:eastAsiaTheme="minorEastAsia" w:cstheme="minorEastAsia"/>
                <w:b w:val="0"/>
                <w:bCs w:val="0"/>
                <w:color w:val="auto"/>
                <w:sz w:val="22"/>
                <w:szCs w:val="22"/>
                <w:highlight w:val="none"/>
                <w:vertAlign w:val="baseline"/>
                <w:lang w:val="en-US" w:eastAsia="zh-CN"/>
              </w:rPr>
              <w:t>或其他任何需要</w:t>
            </w:r>
            <w:r>
              <w:rPr>
                <w:rFonts w:hint="eastAsia" w:asciiTheme="minorEastAsia" w:hAnsiTheme="minorEastAsia" w:cstheme="minorEastAsia"/>
                <w:b w:val="0"/>
                <w:bCs w:val="0"/>
                <w:color w:val="auto"/>
                <w:sz w:val="22"/>
                <w:szCs w:val="22"/>
                <w:highlight w:val="none"/>
                <w:vertAlign w:val="baseline"/>
                <w:lang w:val="en-US" w:eastAsia="zh-CN"/>
              </w:rPr>
              <w:t>招标代理</w:t>
            </w:r>
            <w:r>
              <w:rPr>
                <w:rFonts w:hint="eastAsia" w:asciiTheme="minorEastAsia" w:hAnsiTheme="minorEastAsia" w:eastAsiaTheme="minorEastAsia" w:cstheme="minorEastAsia"/>
                <w:b w:val="0"/>
                <w:bCs w:val="0"/>
                <w:color w:val="auto"/>
                <w:sz w:val="22"/>
                <w:szCs w:val="22"/>
                <w:highlight w:val="none"/>
                <w:vertAlign w:val="baseline"/>
                <w:lang w:val="en-US" w:eastAsia="zh-CN"/>
              </w:rPr>
              <w:t>单位参与的工作会议</w:t>
            </w:r>
            <w:r>
              <w:rPr>
                <w:rFonts w:hint="eastAsia" w:asciiTheme="minorEastAsia" w:hAnsiTheme="minorEastAsia" w:eastAsiaTheme="minorEastAsia" w:cstheme="minorEastAsia"/>
                <w:i w:val="0"/>
                <w:iCs w:val="0"/>
                <w:caps w:val="0"/>
                <w:color w:val="auto"/>
                <w:spacing w:val="0"/>
                <w:sz w:val="22"/>
                <w:szCs w:val="22"/>
                <w:highlight w:val="none"/>
                <w:shd w:val="clear"/>
              </w:rPr>
              <w:t>，每次扣2分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1.6</w:t>
            </w:r>
            <w:r>
              <w:rPr>
                <w:rFonts w:hint="eastAsia" w:asciiTheme="minorEastAsia" w:hAnsiTheme="minorEastAsia" w:eastAsiaTheme="minorEastAsia" w:cstheme="minorEastAsia"/>
                <w:i w:val="0"/>
                <w:iCs w:val="0"/>
                <w:caps w:val="0"/>
                <w:color w:val="auto"/>
                <w:spacing w:val="0"/>
                <w:sz w:val="22"/>
                <w:szCs w:val="22"/>
                <w:highlight w:val="none"/>
                <w:shd w:val="clear"/>
              </w:rPr>
              <w:t>未按规定提前到达开标场所作准备的，每次扣</w:t>
            </w:r>
            <w:r>
              <w:rPr>
                <w:rFonts w:hint="eastAsia" w:asciiTheme="minorEastAsia" w:hAnsiTheme="minorEastAsia" w:cstheme="minorEastAsia"/>
                <w:i w:val="0"/>
                <w:iCs w:val="0"/>
                <w:caps w:val="0"/>
                <w:color w:val="auto"/>
                <w:spacing w:val="0"/>
                <w:sz w:val="22"/>
                <w:szCs w:val="22"/>
                <w:highlight w:val="none"/>
                <w:shd w:val="clear"/>
                <w:lang w:val="en-US" w:eastAsia="zh-CN"/>
              </w:rPr>
              <w:t>3</w:t>
            </w:r>
            <w:r>
              <w:rPr>
                <w:rFonts w:hint="eastAsia" w:asciiTheme="minorEastAsia" w:hAnsiTheme="minorEastAsia" w:eastAsiaTheme="minorEastAsia" w:cstheme="minorEastAsia"/>
                <w:i w:val="0"/>
                <w:iCs w:val="0"/>
                <w:caps w:val="0"/>
                <w:color w:val="auto"/>
                <w:spacing w:val="0"/>
                <w:sz w:val="22"/>
                <w:szCs w:val="22"/>
                <w:highlight w:val="none"/>
                <w:shd w:val="clear"/>
              </w:rPr>
              <w:t>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1.7</w:t>
            </w:r>
            <w:r>
              <w:rPr>
                <w:rFonts w:hint="eastAsia" w:asciiTheme="minorEastAsia" w:hAnsiTheme="minorEastAsia" w:eastAsiaTheme="minorEastAsia" w:cstheme="minorEastAsia"/>
                <w:i w:val="0"/>
                <w:iCs w:val="0"/>
                <w:caps w:val="0"/>
                <w:color w:val="auto"/>
                <w:spacing w:val="0"/>
                <w:sz w:val="22"/>
                <w:szCs w:val="22"/>
                <w:highlight w:val="none"/>
                <w:shd w:val="clear"/>
              </w:rPr>
              <w:t>未按规定填报抽取评标专家的区域或者专业的，每次扣2分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1.8</w:t>
            </w:r>
            <w:r>
              <w:rPr>
                <w:rFonts w:hint="eastAsia" w:asciiTheme="minorEastAsia" w:hAnsiTheme="minorEastAsia" w:eastAsiaTheme="minorEastAsia" w:cstheme="minorEastAsia"/>
                <w:i w:val="0"/>
                <w:iCs w:val="0"/>
                <w:caps w:val="0"/>
                <w:color w:val="auto"/>
                <w:spacing w:val="0"/>
                <w:sz w:val="22"/>
                <w:szCs w:val="22"/>
                <w:highlight w:val="none"/>
                <w:shd w:val="clear"/>
              </w:rPr>
              <w:t>对投标人开标期间提出的异议，</w:t>
            </w:r>
            <w:r>
              <w:rPr>
                <w:rFonts w:hint="eastAsia" w:asciiTheme="minorEastAsia" w:hAnsiTheme="minorEastAsia" w:cstheme="minorEastAsia"/>
                <w:i w:val="0"/>
                <w:iCs w:val="0"/>
                <w:caps w:val="0"/>
                <w:color w:val="auto"/>
                <w:spacing w:val="0"/>
                <w:sz w:val="22"/>
                <w:szCs w:val="22"/>
                <w:highlight w:val="none"/>
                <w:shd w:val="clear"/>
                <w:lang w:val="en-US" w:eastAsia="zh-CN"/>
              </w:rPr>
              <w:t>未及时反馈给招标人或</w:t>
            </w:r>
            <w:r>
              <w:rPr>
                <w:rFonts w:hint="eastAsia" w:asciiTheme="minorEastAsia" w:hAnsiTheme="minorEastAsia" w:eastAsiaTheme="minorEastAsia" w:cstheme="minorEastAsia"/>
                <w:i w:val="0"/>
                <w:iCs w:val="0"/>
                <w:caps w:val="0"/>
                <w:color w:val="auto"/>
                <w:spacing w:val="0"/>
                <w:sz w:val="22"/>
                <w:szCs w:val="22"/>
                <w:highlight w:val="none"/>
                <w:shd w:val="clear"/>
              </w:rPr>
              <w:t>未按规定答复并记录的，每次扣1分，对投标人在公示期间提出的异议，</w:t>
            </w:r>
            <w:r>
              <w:rPr>
                <w:rFonts w:hint="eastAsia" w:asciiTheme="minorEastAsia" w:hAnsiTheme="minorEastAsia" w:cstheme="minorEastAsia"/>
                <w:i w:val="0"/>
                <w:iCs w:val="0"/>
                <w:caps w:val="0"/>
                <w:color w:val="auto"/>
                <w:spacing w:val="0"/>
                <w:sz w:val="22"/>
                <w:szCs w:val="22"/>
                <w:highlight w:val="none"/>
                <w:shd w:val="clear"/>
                <w:lang w:val="en-US" w:eastAsia="zh-CN"/>
              </w:rPr>
              <w:t>未及时反馈给招标人或</w:t>
            </w:r>
            <w:r>
              <w:rPr>
                <w:rFonts w:hint="eastAsia" w:asciiTheme="minorEastAsia" w:hAnsiTheme="minorEastAsia" w:eastAsiaTheme="minorEastAsia" w:cstheme="minorEastAsia"/>
                <w:i w:val="0"/>
                <w:iCs w:val="0"/>
                <w:caps w:val="0"/>
                <w:color w:val="auto"/>
                <w:spacing w:val="0"/>
                <w:sz w:val="22"/>
                <w:szCs w:val="22"/>
                <w:highlight w:val="none"/>
                <w:shd w:val="clear"/>
              </w:rPr>
              <w:t>未按规定及时答复或答复不到位的，每次扣2分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1.9</w:t>
            </w:r>
            <w:r>
              <w:rPr>
                <w:rFonts w:hint="eastAsia" w:asciiTheme="minorEastAsia" w:hAnsiTheme="minorEastAsia" w:eastAsiaTheme="minorEastAsia" w:cstheme="minorEastAsia"/>
                <w:i w:val="0"/>
                <w:iCs w:val="0"/>
                <w:caps w:val="0"/>
                <w:color w:val="auto"/>
                <w:spacing w:val="0"/>
                <w:sz w:val="22"/>
                <w:szCs w:val="22"/>
                <w:highlight w:val="none"/>
                <w:shd w:val="clear"/>
              </w:rPr>
              <w:t>评标前，未告知评标专家回避要求、承诺事项、评标纪律、权利义务、评标流程等评标所必需的信息的，每次扣2分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1.10</w:t>
            </w:r>
            <w:r>
              <w:rPr>
                <w:rFonts w:hint="eastAsia" w:asciiTheme="minorEastAsia" w:hAnsiTheme="minorEastAsia" w:eastAsiaTheme="minorEastAsia" w:cstheme="minorEastAsia"/>
                <w:i w:val="0"/>
                <w:iCs w:val="0"/>
                <w:caps w:val="0"/>
                <w:color w:val="auto"/>
                <w:spacing w:val="0"/>
                <w:sz w:val="22"/>
                <w:szCs w:val="22"/>
                <w:highlight w:val="none"/>
                <w:shd w:val="clear"/>
              </w:rPr>
              <w:t>对招标文件不熟悉、准备工作不充分，影响开、评标工作有序正常开展的，每次扣</w:t>
            </w:r>
            <w:r>
              <w:rPr>
                <w:rFonts w:hint="eastAsia" w:asciiTheme="minorEastAsia" w:hAnsiTheme="minorEastAsia" w:cstheme="minorEastAsia"/>
                <w:i w:val="0"/>
                <w:iCs w:val="0"/>
                <w:caps w:val="0"/>
                <w:color w:val="auto"/>
                <w:spacing w:val="0"/>
                <w:sz w:val="22"/>
                <w:szCs w:val="22"/>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2"/>
                <w:szCs w:val="22"/>
                <w:highlight w:val="none"/>
                <w:shd w:val="clear"/>
              </w:rPr>
              <w:t>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CellMar>
            <w:top w:w="0" w:type="dxa"/>
            <w:left w:w="108" w:type="dxa"/>
            <w:bottom w:w="0" w:type="dxa"/>
            <w:right w:w="108" w:type="dxa"/>
          </w:tblCellMar>
        </w:tblPrEx>
        <w:trPr>
          <w:trHeight w:val="467" w:hRule="atLeast"/>
        </w:trPr>
        <w:tc>
          <w:tcPr>
            <w:tcW w:w="1395" w:type="dxa"/>
            <w:vMerge w:val="restart"/>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b/>
                <w:bCs/>
                <w:color w:val="auto"/>
                <w:sz w:val="22"/>
                <w:szCs w:val="22"/>
                <w:highlight w:val="none"/>
                <w:vertAlign w:val="baseline"/>
                <w:lang w:val="en-US" w:eastAsia="zh-CN"/>
              </w:rPr>
              <w:t>二</w:t>
            </w:r>
            <w:r>
              <w:rPr>
                <w:rFonts w:hint="eastAsia" w:asciiTheme="minorEastAsia" w:hAnsiTheme="minorEastAsia" w:eastAsiaTheme="minorEastAsia" w:cstheme="minorEastAsia"/>
                <w:b/>
                <w:bCs/>
                <w:color w:val="auto"/>
                <w:sz w:val="22"/>
                <w:szCs w:val="22"/>
                <w:highlight w:val="none"/>
                <w:vertAlign w:val="baseline"/>
                <w:lang w:eastAsia="zh-CN"/>
              </w:rPr>
              <w:t>、</w:t>
            </w:r>
            <w:r>
              <w:rPr>
                <w:rFonts w:hint="eastAsia" w:asciiTheme="minorEastAsia" w:hAnsiTheme="minorEastAsia" w:cstheme="minorEastAsia"/>
                <w:b/>
                <w:bCs/>
                <w:color w:val="auto"/>
                <w:sz w:val="22"/>
                <w:szCs w:val="22"/>
                <w:highlight w:val="none"/>
                <w:vertAlign w:val="baseline"/>
                <w:lang w:val="en-US" w:eastAsia="zh-CN"/>
              </w:rPr>
              <w:t>代理</w:t>
            </w:r>
            <w:r>
              <w:rPr>
                <w:rFonts w:hint="eastAsia" w:asciiTheme="minorEastAsia" w:hAnsiTheme="minorEastAsia" w:eastAsiaTheme="minorEastAsia" w:cstheme="minorEastAsia"/>
                <w:b/>
                <w:bCs/>
                <w:color w:val="auto"/>
                <w:sz w:val="22"/>
                <w:szCs w:val="22"/>
                <w:highlight w:val="none"/>
                <w:vertAlign w:val="baseline"/>
                <w:lang w:eastAsia="zh-CN"/>
              </w:rPr>
              <w:t>质量（</w:t>
            </w:r>
            <w:r>
              <w:rPr>
                <w:rFonts w:hint="eastAsia" w:asciiTheme="minorEastAsia" w:hAnsiTheme="minorEastAsia" w:cstheme="minorEastAsia"/>
                <w:b/>
                <w:bCs/>
                <w:color w:val="auto"/>
                <w:sz w:val="22"/>
                <w:szCs w:val="22"/>
                <w:highlight w:val="none"/>
                <w:vertAlign w:val="baseline"/>
                <w:lang w:val="en-US" w:eastAsia="zh-CN"/>
              </w:rPr>
              <w:t>50</w:t>
            </w:r>
            <w:r>
              <w:rPr>
                <w:rFonts w:hint="eastAsia" w:asciiTheme="minorEastAsia" w:hAnsiTheme="minorEastAsia" w:eastAsiaTheme="minorEastAsia" w:cstheme="minorEastAsia"/>
                <w:b/>
                <w:bCs/>
                <w:color w:val="auto"/>
                <w:sz w:val="22"/>
                <w:szCs w:val="22"/>
                <w:highlight w:val="none"/>
                <w:vertAlign w:val="baseline"/>
                <w:lang w:val="en-US" w:eastAsia="zh-CN"/>
              </w:rPr>
              <w:t>分</w:t>
            </w:r>
            <w:r>
              <w:rPr>
                <w:rFonts w:hint="eastAsia" w:asciiTheme="minorEastAsia" w:hAnsiTheme="minorEastAsia" w:eastAsiaTheme="minorEastAsia" w:cstheme="minorEastAsia"/>
                <w:b/>
                <w:bCs/>
                <w:color w:val="auto"/>
                <w:sz w:val="22"/>
                <w:szCs w:val="22"/>
                <w:highlight w:val="none"/>
                <w:vertAlign w:val="baseline"/>
                <w:lang w:eastAsia="zh-CN"/>
              </w:rPr>
              <w:t>）</w:t>
            </w:r>
          </w:p>
        </w:tc>
        <w:tc>
          <w:tcPr>
            <w:tcW w:w="1305" w:type="dxa"/>
            <w:vMerge w:val="restart"/>
            <w:vAlign w:val="center"/>
          </w:tcPr>
          <w:p>
            <w:pPr>
              <w:widowControl w:val="0"/>
              <w:numPr>
                <w:ilvl w:val="0"/>
                <w:numId w:val="0"/>
              </w:numPr>
              <w:jc w:val="left"/>
              <w:rPr>
                <w:rFonts w:hint="eastAsia" w:asciiTheme="minorEastAsia" w:hAnsi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default"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招标文件编制及执行（50分）</w:t>
            </w: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w:t>
            </w:r>
            <w:r>
              <w:rPr>
                <w:rFonts w:hint="eastAsia" w:asciiTheme="minorEastAsia" w:hAnsiTheme="minorEastAsia" w:eastAsiaTheme="minorEastAsia" w:cstheme="minorEastAsia"/>
                <w:i w:val="0"/>
                <w:iCs w:val="0"/>
                <w:caps w:val="0"/>
                <w:color w:val="auto"/>
                <w:spacing w:val="0"/>
                <w:sz w:val="22"/>
                <w:szCs w:val="22"/>
                <w:highlight w:val="none"/>
                <w:shd w:val="clear"/>
              </w:rPr>
              <w:t>招标文件存在明显差错的，每处扣2分</w:t>
            </w:r>
            <w:r>
              <w:rPr>
                <w:rFonts w:hint="eastAsia" w:asciiTheme="minorEastAsia" w:hAnsiTheme="minorEastAsia" w:cstheme="minorEastAsia"/>
                <w:b w:val="0"/>
                <w:bCs w:val="0"/>
                <w:color w:val="auto"/>
                <w:sz w:val="22"/>
                <w:szCs w:val="22"/>
                <w:highlight w:val="none"/>
                <w:vertAlign w:val="baseline"/>
                <w:lang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restart"/>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vAlign w:val="center"/>
          </w:tcPr>
          <w:p>
            <w:pPr>
              <w:widowControl w:val="0"/>
              <w:numPr>
                <w:ilvl w:val="0"/>
                <w:numId w:val="0"/>
              </w:numPr>
              <w:ind w:left="0" w:leftChars="0" w:firstLine="0" w:firstLineChars="0"/>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2.2</w:t>
            </w:r>
            <w:r>
              <w:rPr>
                <w:rFonts w:hint="eastAsia" w:asciiTheme="minorEastAsia" w:hAnsiTheme="minorEastAsia" w:eastAsiaTheme="minorEastAsia" w:cstheme="minorEastAsia"/>
                <w:i w:val="0"/>
                <w:iCs w:val="0"/>
                <w:caps w:val="0"/>
                <w:color w:val="auto"/>
                <w:spacing w:val="0"/>
                <w:sz w:val="22"/>
                <w:szCs w:val="22"/>
                <w:highlight w:val="none"/>
                <w:shd w:val="clear"/>
              </w:rPr>
              <w:t>招标文件内容设置不合理的，每处扣2分</w:t>
            </w:r>
            <w:r>
              <w:rPr>
                <w:rFonts w:hint="eastAsia" w:asciiTheme="minorEastAsia" w:hAnsi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2.3</w:t>
            </w:r>
            <w:r>
              <w:rPr>
                <w:rFonts w:hint="eastAsia" w:asciiTheme="minorEastAsia" w:hAnsiTheme="minorEastAsia" w:eastAsiaTheme="minorEastAsia" w:cstheme="minorEastAsia"/>
                <w:i w:val="0"/>
                <w:iCs w:val="0"/>
                <w:caps w:val="0"/>
                <w:color w:val="auto"/>
                <w:spacing w:val="0"/>
                <w:sz w:val="22"/>
                <w:szCs w:val="22"/>
                <w:highlight w:val="none"/>
                <w:shd w:val="clear"/>
              </w:rPr>
              <w:t>招标文件中存在违法条款的，每处扣10分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2.4</w:t>
            </w:r>
            <w:r>
              <w:rPr>
                <w:rFonts w:hint="eastAsia" w:asciiTheme="minorEastAsia" w:hAnsiTheme="minorEastAsia" w:eastAsiaTheme="minorEastAsia" w:cstheme="minorEastAsia"/>
                <w:i w:val="0"/>
                <w:iCs w:val="0"/>
                <w:caps w:val="0"/>
                <w:color w:val="auto"/>
                <w:spacing w:val="0"/>
                <w:sz w:val="22"/>
                <w:szCs w:val="22"/>
                <w:highlight w:val="none"/>
                <w:shd w:val="clear"/>
              </w:rPr>
              <w:t>无特殊情况多次发布补充文件，每次扣1分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2.5</w:t>
            </w:r>
            <w:r>
              <w:rPr>
                <w:rFonts w:hint="eastAsia" w:asciiTheme="minorEastAsia" w:hAnsiTheme="minorEastAsia" w:eastAsiaTheme="minorEastAsia" w:cstheme="minorEastAsia"/>
                <w:i w:val="0"/>
                <w:iCs w:val="0"/>
                <w:caps w:val="0"/>
                <w:color w:val="auto"/>
                <w:spacing w:val="0"/>
                <w:sz w:val="22"/>
                <w:szCs w:val="22"/>
                <w:highlight w:val="none"/>
                <w:shd w:val="clear"/>
              </w:rPr>
              <w:t>擅自修改经备案确认的招标文件或者擅自修改招标文件范本中固定内容的，每处扣</w:t>
            </w:r>
            <w:r>
              <w:rPr>
                <w:rFonts w:hint="eastAsia" w:asciiTheme="minorEastAsia" w:hAnsiTheme="minorEastAsia" w:cstheme="minorEastAsia"/>
                <w:i w:val="0"/>
                <w:iCs w:val="0"/>
                <w:caps w:val="0"/>
                <w:color w:val="auto"/>
                <w:spacing w:val="0"/>
                <w:sz w:val="22"/>
                <w:szCs w:val="22"/>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2"/>
                <w:szCs w:val="22"/>
                <w:highlight w:val="none"/>
                <w:shd w:val="clear"/>
              </w:rPr>
              <w:t>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2.6</w:t>
            </w:r>
            <w:r>
              <w:rPr>
                <w:rFonts w:hint="eastAsia" w:asciiTheme="minorEastAsia" w:hAnsiTheme="minorEastAsia" w:eastAsiaTheme="minorEastAsia" w:cstheme="minorEastAsia"/>
                <w:i w:val="0"/>
                <w:iCs w:val="0"/>
                <w:caps w:val="0"/>
                <w:color w:val="auto"/>
                <w:spacing w:val="0"/>
                <w:sz w:val="22"/>
                <w:szCs w:val="22"/>
                <w:highlight w:val="none"/>
                <w:shd w:val="clear"/>
              </w:rPr>
              <w:t>未及时提交招标文件备案资料的，每次扣2分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2.7</w:t>
            </w:r>
            <w:r>
              <w:rPr>
                <w:rFonts w:hint="eastAsia" w:asciiTheme="minorEastAsia" w:hAnsiTheme="minorEastAsia" w:eastAsiaTheme="minorEastAsia" w:cstheme="minorEastAsia"/>
                <w:i w:val="0"/>
                <w:iCs w:val="0"/>
                <w:caps w:val="0"/>
                <w:color w:val="auto"/>
                <w:spacing w:val="0"/>
                <w:sz w:val="22"/>
                <w:szCs w:val="22"/>
                <w:highlight w:val="none"/>
                <w:shd w:val="clear"/>
              </w:rPr>
              <w:t>未如实记录、计算、汇总或妥善保管招投标原始记录的，每次扣 2分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2.8</w:t>
            </w:r>
            <w:r>
              <w:rPr>
                <w:rFonts w:hint="eastAsia" w:asciiTheme="minorEastAsia" w:hAnsiTheme="minorEastAsia" w:eastAsiaTheme="minorEastAsia" w:cstheme="minorEastAsia"/>
                <w:i w:val="0"/>
                <w:iCs w:val="0"/>
                <w:caps w:val="0"/>
                <w:color w:val="auto"/>
                <w:spacing w:val="0"/>
                <w:sz w:val="22"/>
                <w:szCs w:val="22"/>
                <w:highlight w:val="none"/>
                <w:shd w:val="clear"/>
              </w:rPr>
              <w:t>因代理原因，导致延期开标或者影响开评标结果或者造成不良后果或影响的，每次扣</w:t>
            </w:r>
            <w:r>
              <w:rPr>
                <w:rFonts w:hint="eastAsia" w:asciiTheme="minorEastAsia" w:hAnsiTheme="minorEastAsia" w:cstheme="minorEastAsia"/>
                <w:i w:val="0"/>
                <w:iCs w:val="0"/>
                <w:caps w:val="0"/>
                <w:color w:val="auto"/>
                <w:spacing w:val="0"/>
                <w:sz w:val="22"/>
                <w:szCs w:val="22"/>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2"/>
                <w:szCs w:val="22"/>
                <w:highlight w:val="none"/>
                <w:shd w:val="clear"/>
              </w:rPr>
              <w:t>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2.9</w:t>
            </w:r>
            <w:r>
              <w:rPr>
                <w:rFonts w:hint="eastAsia" w:asciiTheme="minorEastAsia" w:hAnsiTheme="minorEastAsia" w:eastAsiaTheme="minorEastAsia" w:cstheme="minorEastAsia"/>
                <w:i w:val="0"/>
                <w:iCs w:val="0"/>
                <w:caps w:val="0"/>
                <w:color w:val="auto"/>
                <w:spacing w:val="0"/>
                <w:sz w:val="22"/>
                <w:szCs w:val="22"/>
                <w:highlight w:val="none"/>
                <w:shd w:val="clear"/>
              </w:rPr>
              <w:t>因上传资料不完整或不准确，或者前期准备工作不充分等原因，影响</w:t>
            </w:r>
            <w:r>
              <w:rPr>
                <w:rFonts w:hint="eastAsia" w:asciiTheme="minorEastAsia" w:hAnsiTheme="minorEastAsia" w:cstheme="minorEastAsia"/>
                <w:i w:val="0"/>
                <w:iCs w:val="0"/>
                <w:caps w:val="0"/>
                <w:color w:val="auto"/>
                <w:spacing w:val="0"/>
                <w:sz w:val="22"/>
                <w:szCs w:val="22"/>
                <w:highlight w:val="none"/>
                <w:shd w:val="clear"/>
                <w:lang w:val="en-US" w:eastAsia="zh-CN"/>
              </w:rPr>
              <w:t>招投标</w:t>
            </w:r>
            <w:r>
              <w:rPr>
                <w:rFonts w:hint="eastAsia" w:asciiTheme="minorEastAsia" w:hAnsiTheme="minorEastAsia" w:eastAsiaTheme="minorEastAsia" w:cstheme="minorEastAsia"/>
                <w:i w:val="0"/>
                <w:iCs w:val="0"/>
                <w:caps w:val="0"/>
                <w:color w:val="auto"/>
                <w:spacing w:val="0"/>
                <w:sz w:val="22"/>
                <w:szCs w:val="22"/>
                <w:highlight w:val="none"/>
                <w:shd w:val="clear"/>
              </w:rPr>
              <w:t>程序的，每次扣1分，导致延时</w:t>
            </w:r>
            <w:r>
              <w:rPr>
                <w:rFonts w:hint="eastAsia" w:asciiTheme="minorEastAsia" w:hAnsiTheme="minorEastAsia" w:cstheme="minorEastAsia"/>
                <w:i w:val="0"/>
                <w:iCs w:val="0"/>
                <w:caps w:val="0"/>
                <w:color w:val="auto"/>
                <w:spacing w:val="0"/>
                <w:sz w:val="22"/>
                <w:szCs w:val="22"/>
                <w:highlight w:val="none"/>
                <w:shd w:val="clear"/>
                <w:lang w:val="en-US" w:eastAsia="zh-CN"/>
              </w:rPr>
              <w:t>发布公告、</w:t>
            </w:r>
            <w:r>
              <w:rPr>
                <w:rFonts w:hint="eastAsia" w:asciiTheme="minorEastAsia" w:hAnsiTheme="minorEastAsia" w:eastAsiaTheme="minorEastAsia" w:cstheme="minorEastAsia"/>
                <w:i w:val="0"/>
                <w:iCs w:val="0"/>
                <w:caps w:val="0"/>
                <w:color w:val="auto"/>
                <w:spacing w:val="0"/>
                <w:sz w:val="22"/>
                <w:szCs w:val="22"/>
                <w:highlight w:val="none"/>
                <w:shd w:val="clear"/>
              </w:rPr>
              <w:t>开标、影响开评标结果或者造成不良后果的，每次扣3分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2.10</w:t>
            </w:r>
            <w:r>
              <w:rPr>
                <w:rFonts w:hint="eastAsia" w:asciiTheme="minorEastAsia" w:hAnsiTheme="minorEastAsia" w:eastAsiaTheme="minorEastAsia" w:cstheme="minorEastAsia"/>
                <w:i w:val="0"/>
                <w:iCs w:val="0"/>
                <w:caps w:val="0"/>
                <w:color w:val="auto"/>
                <w:spacing w:val="0"/>
                <w:sz w:val="22"/>
                <w:szCs w:val="22"/>
                <w:highlight w:val="none"/>
                <w:shd w:val="clear"/>
              </w:rPr>
              <w:t>招投标情况报告未及时提交，或者补录的，或者提交资料不齐，或提交的资料存在明显错误的，每项（处）扣２分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2.11</w:t>
            </w:r>
            <w:r>
              <w:rPr>
                <w:rFonts w:hint="eastAsia" w:asciiTheme="minorEastAsia" w:hAnsiTheme="minorEastAsia" w:eastAsiaTheme="minorEastAsia" w:cstheme="minorEastAsia"/>
                <w:i w:val="0"/>
                <w:iCs w:val="0"/>
                <w:caps w:val="0"/>
                <w:color w:val="auto"/>
                <w:spacing w:val="0"/>
                <w:sz w:val="22"/>
                <w:szCs w:val="22"/>
                <w:highlight w:val="none"/>
                <w:shd w:val="clear"/>
              </w:rPr>
              <w:t>评标结束后未及时推送中标候选人应公示公告的相关数据或者中标候选人公示或中标公告内容存在明显失误或错误的，每次扣 2分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2.12</w:t>
            </w:r>
            <w:r>
              <w:rPr>
                <w:rFonts w:hint="eastAsia" w:asciiTheme="minorEastAsia" w:hAnsiTheme="minorEastAsia" w:eastAsiaTheme="minorEastAsia" w:cstheme="minorEastAsia"/>
                <w:i w:val="0"/>
                <w:iCs w:val="0"/>
                <w:caps w:val="0"/>
                <w:color w:val="auto"/>
                <w:spacing w:val="0"/>
                <w:sz w:val="22"/>
                <w:szCs w:val="22"/>
                <w:highlight w:val="none"/>
                <w:shd w:val="clear"/>
              </w:rPr>
              <w:t>未按招标文件规定组织开、评标活动，每次扣2分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2.13</w:t>
            </w:r>
            <w:r>
              <w:rPr>
                <w:rFonts w:hint="eastAsia" w:asciiTheme="minorEastAsia" w:hAnsiTheme="minorEastAsia" w:eastAsiaTheme="minorEastAsia" w:cstheme="minorEastAsia"/>
                <w:i w:val="0"/>
                <w:iCs w:val="0"/>
                <w:caps w:val="0"/>
                <w:color w:val="auto"/>
                <w:spacing w:val="0"/>
                <w:sz w:val="22"/>
                <w:szCs w:val="22"/>
                <w:highlight w:val="none"/>
                <w:shd w:val="clear"/>
              </w:rPr>
              <w:t>代理过程中，因存在过失，导致项目流标的，每次扣5分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2.14</w:t>
            </w:r>
            <w:r>
              <w:rPr>
                <w:rFonts w:hint="eastAsia" w:asciiTheme="minorEastAsia" w:hAnsiTheme="minorEastAsia" w:eastAsiaTheme="minorEastAsia" w:cstheme="minorEastAsia"/>
                <w:i w:val="0"/>
                <w:iCs w:val="0"/>
                <w:caps w:val="0"/>
                <w:color w:val="auto"/>
                <w:spacing w:val="0"/>
                <w:sz w:val="22"/>
                <w:szCs w:val="22"/>
                <w:highlight w:val="none"/>
                <w:shd w:val="clear"/>
              </w:rPr>
              <w:t>已备案的招标文件未及时送达监管部门或者送达书面资料与电子文档不一致的，每次扣2分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2.15招标文件编制</w:t>
            </w:r>
            <w:r>
              <w:rPr>
                <w:rFonts w:hint="eastAsia" w:asciiTheme="minorEastAsia" w:hAnsiTheme="minorEastAsia" w:eastAsiaTheme="minorEastAsia" w:cstheme="minorEastAsia"/>
                <w:b w:val="0"/>
                <w:bCs w:val="0"/>
                <w:color w:val="auto"/>
                <w:sz w:val="22"/>
                <w:szCs w:val="22"/>
                <w:highlight w:val="none"/>
                <w:vertAlign w:val="baseline"/>
                <w:lang w:val="en-US" w:eastAsia="zh-CN"/>
              </w:rPr>
              <w:t>未</w:t>
            </w:r>
            <w:r>
              <w:rPr>
                <w:rFonts w:hint="eastAsia" w:asciiTheme="minorEastAsia" w:hAnsiTheme="minorEastAsia" w:cstheme="minorEastAsia"/>
                <w:b w:val="0"/>
                <w:bCs w:val="0"/>
                <w:color w:val="auto"/>
                <w:sz w:val="22"/>
                <w:szCs w:val="22"/>
                <w:highlight w:val="none"/>
                <w:vertAlign w:val="baseline"/>
                <w:lang w:val="en-US" w:eastAsia="zh-CN"/>
              </w:rPr>
              <w:t>按市代建中心要求的时间提供，</w:t>
            </w:r>
            <w:r>
              <w:rPr>
                <w:rFonts w:hint="eastAsia" w:asciiTheme="minorEastAsia" w:hAnsiTheme="minorEastAsia" w:eastAsiaTheme="minorEastAsia" w:cstheme="minorEastAsia"/>
                <w:i w:val="0"/>
                <w:iCs w:val="0"/>
                <w:caps w:val="0"/>
                <w:color w:val="auto"/>
                <w:spacing w:val="0"/>
                <w:sz w:val="22"/>
                <w:szCs w:val="22"/>
                <w:highlight w:val="none"/>
                <w:shd w:val="clear"/>
              </w:rPr>
              <w:t>每次</w:t>
            </w:r>
            <w:r>
              <w:rPr>
                <w:rFonts w:hint="eastAsia" w:asciiTheme="minorEastAsia" w:hAnsiTheme="minorEastAsia" w:eastAsiaTheme="minorEastAsia" w:cstheme="minorEastAsia"/>
                <w:b w:val="0"/>
                <w:bCs w:val="0"/>
                <w:color w:val="auto"/>
                <w:sz w:val="22"/>
                <w:szCs w:val="22"/>
                <w:highlight w:val="none"/>
                <w:vertAlign w:val="baseline"/>
                <w:lang w:val="en-US" w:eastAsia="zh-CN"/>
              </w:rPr>
              <w:t>扣</w:t>
            </w:r>
            <w:r>
              <w:rPr>
                <w:rFonts w:hint="eastAsia" w:asciiTheme="minorEastAsia" w:hAnsiTheme="minorEastAsia" w:cstheme="minorEastAsia"/>
                <w:b w:val="0"/>
                <w:bCs w:val="0"/>
                <w:color w:val="auto"/>
                <w:sz w:val="22"/>
                <w:szCs w:val="22"/>
                <w:highlight w:val="none"/>
                <w:vertAlign w:val="baseline"/>
                <w:lang w:val="en-US" w:eastAsia="zh-CN"/>
              </w:rPr>
              <w:t>3</w:t>
            </w:r>
            <w:r>
              <w:rPr>
                <w:rFonts w:hint="eastAsia" w:asciiTheme="minorEastAsia" w:hAnsiTheme="minorEastAsia" w:eastAsiaTheme="minorEastAsia" w:cstheme="minorEastAsia"/>
                <w:b w:val="0"/>
                <w:bCs w:val="0"/>
                <w:color w:val="auto"/>
                <w:sz w:val="22"/>
                <w:szCs w:val="22"/>
                <w:highlight w:val="none"/>
                <w:vertAlign w:val="baseline"/>
                <w:lang w:val="en-US" w:eastAsia="zh-CN"/>
              </w:rPr>
              <w:t>分</w:t>
            </w:r>
            <w:r>
              <w:rPr>
                <w:rFonts w:hint="eastAsia" w:asciiTheme="minorEastAsia" w:hAnsiTheme="minorEastAsia" w:eastAsiaTheme="minorEastAsia" w:cstheme="minorEastAsia"/>
                <w:b w:val="0"/>
                <w:bCs w:val="0"/>
                <w:color w:val="auto"/>
                <w:sz w:val="22"/>
                <w:szCs w:val="22"/>
                <w:highlight w:val="none"/>
                <w:vertAlign w:val="baseline"/>
                <w:lang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39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b/>
                <w:bCs/>
                <w:color w:val="auto"/>
                <w:sz w:val="22"/>
                <w:szCs w:val="22"/>
                <w:highlight w:val="none"/>
                <w:vertAlign w:val="baseline"/>
                <w:lang w:val="en-US" w:eastAsia="zh-CN"/>
              </w:rPr>
              <w:t>三</w:t>
            </w:r>
            <w:r>
              <w:rPr>
                <w:rFonts w:hint="eastAsia" w:asciiTheme="minorEastAsia" w:hAnsiTheme="minorEastAsia" w:eastAsiaTheme="minorEastAsia" w:cstheme="minorEastAsia"/>
                <w:b/>
                <w:bCs/>
                <w:color w:val="auto"/>
                <w:sz w:val="22"/>
                <w:szCs w:val="22"/>
                <w:highlight w:val="none"/>
                <w:vertAlign w:val="baseline"/>
                <w:lang w:eastAsia="zh-CN"/>
              </w:rPr>
              <w:t>、其它情况（</w:t>
            </w:r>
            <w:r>
              <w:rPr>
                <w:rFonts w:hint="eastAsia" w:asciiTheme="minorEastAsia" w:hAnsiTheme="minorEastAsia" w:cstheme="minorEastAsia"/>
                <w:b/>
                <w:bCs/>
                <w:color w:val="auto"/>
                <w:sz w:val="22"/>
                <w:szCs w:val="22"/>
                <w:highlight w:val="none"/>
                <w:vertAlign w:val="baseline"/>
                <w:lang w:val="en-US" w:eastAsia="zh-CN"/>
              </w:rPr>
              <w:t>2</w:t>
            </w:r>
            <w:r>
              <w:rPr>
                <w:rFonts w:hint="eastAsia" w:asciiTheme="minorEastAsia" w:hAnsiTheme="minorEastAsia" w:eastAsiaTheme="minorEastAsia" w:cstheme="minorEastAsia"/>
                <w:b/>
                <w:bCs/>
                <w:color w:val="auto"/>
                <w:sz w:val="22"/>
                <w:szCs w:val="22"/>
                <w:highlight w:val="none"/>
                <w:vertAlign w:val="baseline"/>
                <w:lang w:val="en-US" w:eastAsia="zh-CN"/>
              </w:rPr>
              <w:t>0分</w:t>
            </w:r>
            <w:r>
              <w:rPr>
                <w:rFonts w:hint="eastAsia" w:asciiTheme="minorEastAsia" w:hAnsiTheme="minorEastAsia" w:eastAsiaTheme="minorEastAsia" w:cstheme="minorEastAsia"/>
                <w:b/>
                <w:bCs/>
                <w:color w:val="auto"/>
                <w:sz w:val="22"/>
                <w:szCs w:val="22"/>
                <w:highlight w:val="none"/>
                <w:vertAlign w:val="baseline"/>
                <w:lang w:eastAsia="zh-CN"/>
              </w:rPr>
              <w:t>）</w:t>
            </w:r>
          </w:p>
        </w:tc>
        <w:tc>
          <w:tcPr>
            <w:tcW w:w="1305" w:type="dxa"/>
          </w:tcPr>
          <w:p>
            <w:pPr>
              <w:widowControl/>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eastAsiaTheme="minorEastAsia" w:cstheme="minorEastAsia"/>
                <w:b w:val="0"/>
                <w:bCs w:val="0"/>
                <w:color w:val="auto"/>
                <w:kern w:val="2"/>
                <w:sz w:val="22"/>
                <w:szCs w:val="22"/>
                <w:highlight w:val="none"/>
                <w:lang w:val="en-US" w:eastAsia="zh-CN" w:bidi="ar"/>
              </w:rPr>
              <w:t>廉政纪律</w:t>
            </w:r>
            <w:r>
              <w:rPr>
                <w:rFonts w:hint="eastAsia" w:asciiTheme="minorEastAsia" w:hAnsiTheme="minorEastAsia" w:cstheme="minorEastAsia"/>
                <w:b w:val="0"/>
                <w:bCs w:val="0"/>
                <w:color w:val="auto"/>
                <w:sz w:val="22"/>
                <w:szCs w:val="22"/>
                <w:highlight w:val="none"/>
                <w:vertAlign w:val="baseline"/>
                <w:lang w:val="en-US" w:eastAsia="zh-CN"/>
              </w:rPr>
              <w:t>（20分）</w:t>
            </w:r>
          </w:p>
        </w:tc>
        <w:tc>
          <w:tcPr>
            <w:tcW w:w="5412" w:type="dxa"/>
          </w:tcPr>
          <w:p>
            <w:pPr>
              <w:widowControl w:val="0"/>
              <w:numPr>
                <w:ilvl w:val="0"/>
                <w:numId w:val="0"/>
              </w:numPr>
              <w:jc w:val="left"/>
              <w:rPr>
                <w:rFonts w:hint="default" w:asciiTheme="minorEastAsia" w:hAnsiTheme="minorEastAsia" w:cstheme="minorEastAsia"/>
                <w:i w:val="0"/>
                <w:iCs w:val="0"/>
                <w:caps w:val="0"/>
                <w:color w:val="auto"/>
                <w:spacing w:val="0"/>
                <w:sz w:val="22"/>
                <w:szCs w:val="22"/>
                <w:highlight w:val="none"/>
                <w:shd w:val="clear"/>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招标代理机构存在以下情形之一的，扣</w:t>
            </w:r>
            <w:r>
              <w:rPr>
                <w:rFonts w:hint="default" w:asciiTheme="minorEastAsia" w:hAnsiTheme="minorEastAsia" w:cstheme="minorEastAsia"/>
                <w:i w:val="0"/>
                <w:iCs w:val="0"/>
                <w:caps w:val="0"/>
                <w:color w:val="auto"/>
                <w:spacing w:val="0"/>
                <w:sz w:val="22"/>
                <w:szCs w:val="22"/>
                <w:highlight w:val="none"/>
                <w:shd w:val="clear"/>
                <w:lang w:val="en-US" w:eastAsia="zh-CN"/>
              </w:rPr>
              <w:t>20</w:t>
            </w:r>
            <w:r>
              <w:rPr>
                <w:rFonts w:hint="eastAsia" w:asciiTheme="minorEastAsia" w:hAnsiTheme="minorEastAsia" w:cstheme="minorEastAsia"/>
                <w:i w:val="0"/>
                <w:iCs w:val="0"/>
                <w:caps w:val="0"/>
                <w:color w:val="auto"/>
                <w:spacing w:val="0"/>
                <w:sz w:val="22"/>
                <w:szCs w:val="22"/>
                <w:highlight w:val="none"/>
                <w:shd w:val="clear"/>
                <w:lang w:val="en-US" w:eastAsia="zh-CN"/>
              </w:rPr>
              <w:t>分。</w:t>
            </w:r>
          </w:p>
          <w:p>
            <w:pPr>
              <w:widowControl w:val="0"/>
              <w:numPr>
                <w:ilvl w:val="0"/>
                <w:numId w:val="0"/>
              </w:numPr>
              <w:jc w:val="left"/>
              <w:rPr>
                <w:rFonts w:hint="eastAsia" w:asciiTheme="minorEastAsia" w:hAnsiTheme="minorEastAsia" w:eastAsiaTheme="minorEastAsia" w:cstheme="minorEastAsia"/>
                <w:i w:val="0"/>
                <w:iCs w:val="0"/>
                <w:caps w:val="0"/>
                <w:color w:val="auto"/>
                <w:spacing w:val="0"/>
                <w:sz w:val="22"/>
                <w:szCs w:val="22"/>
                <w:highlight w:val="none"/>
                <w:shd w:val="clear"/>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3.1</w:t>
            </w:r>
            <w:r>
              <w:rPr>
                <w:rFonts w:hint="eastAsia" w:asciiTheme="minorEastAsia" w:hAnsiTheme="minorEastAsia" w:eastAsiaTheme="minorEastAsia" w:cstheme="minorEastAsia"/>
                <w:i w:val="0"/>
                <w:iCs w:val="0"/>
                <w:caps w:val="0"/>
                <w:color w:val="auto"/>
                <w:spacing w:val="0"/>
                <w:sz w:val="22"/>
                <w:szCs w:val="22"/>
                <w:highlight w:val="none"/>
                <w:shd w:val="clear"/>
              </w:rPr>
              <w:t>与招标人、投标人串通招投标的</w:t>
            </w:r>
            <w:r>
              <w:rPr>
                <w:rFonts w:hint="eastAsia" w:asciiTheme="minorEastAsia" w:hAnsiTheme="minorEastAsia" w:cstheme="minorEastAsia"/>
                <w:i w:val="0"/>
                <w:iCs w:val="0"/>
                <w:caps w:val="0"/>
                <w:color w:val="auto"/>
                <w:spacing w:val="0"/>
                <w:sz w:val="22"/>
                <w:szCs w:val="22"/>
                <w:highlight w:val="none"/>
                <w:shd w:val="clear"/>
                <w:lang w:eastAsia="zh-CN"/>
              </w:rPr>
              <w:t>。</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3.2</w:t>
            </w:r>
            <w:r>
              <w:rPr>
                <w:rFonts w:hint="eastAsia" w:asciiTheme="minorEastAsia" w:hAnsiTheme="minorEastAsia" w:eastAsiaTheme="minorEastAsia" w:cstheme="minorEastAsia"/>
                <w:i w:val="0"/>
                <w:iCs w:val="0"/>
                <w:caps w:val="0"/>
                <w:color w:val="auto"/>
                <w:spacing w:val="0"/>
                <w:sz w:val="22"/>
                <w:szCs w:val="22"/>
                <w:highlight w:val="none"/>
                <w:shd w:val="clear"/>
              </w:rPr>
              <w:t>在招投标活动中有行贿或受贿行为的</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3.3</w:t>
            </w:r>
            <w:r>
              <w:rPr>
                <w:rFonts w:hint="eastAsia" w:asciiTheme="minorEastAsia" w:hAnsiTheme="minorEastAsia" w:eastAsiaTheme="minorEastAsia" w:cstheme="minorEastAsia"/>
                <w:i w:val="0"/>
                <w:iCs w:val="0"/>
                <w:caps w:val="0"/>
                <w:color w:val="auto"/>
                <w:spacing w:val="0"/>
                <w:sz w:val="22"/>
                <w:szCs w:val="22"/>
                <w:highlight w:val="none"/>
                <w:shd w:val="clear"/>
              </w:rPr>
              <w:t>接受同一项目的招标代理和投标咨询业务的</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3.4</w:t>
            </w:r>
            <w:r>
              <w:rPr>
                <w:rFonts w:hint="eastAsia" w:asciiTheme="minorEastAsia" w:hAnsiTheme="minorEastAsia" w:eastAsiaTheme="minorEastAsia" w:cstheme="minorEastAsia"/>
                <w:i w:val="0"/>
                <w:iCs w:val="0"/>
                <w:caps w:val="0"/>
                <w:color w:val="auto"/>
                <w:spacing w:val="0"/>
                <w:sz w:val="22"/>
                <w:szCs w:val="22"/>
                <w:highlight w:val="none"/>
                <w:shd w:val="clear"/>
              </w:rPr>
              <w:t>泄露应当保密的与招投标活动有关的情况和资料的</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3.5</w:t>
            </w:r>
            <w:r>
              <w:rPr>
                <w:rFonts w:hint="eastAsia" w:asciiTheme="minorEastAsia" w:hAnsiTheme="minorEastAsia" w:eastAsiaTheme="minorEastAsia" w:cstheme="minorEastAsia"/>
                <w:i w:val="0"/>
                <w:iCs w:val="0"/>
                <w:caps w:val="0"/>
                <w:color w:val="auto"/>
                <w:spacing w:val="0"/>
                <w:sz w:val="22"/>
                <w:szCs w:val="22"/>
                <w:highlight w:val="none"/>
                <w:shd w:val="clear"/>
              </w:rPr>
              <w:t>私自转让代理或咨询业务的</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3.6</w:t>
            </w:r>
            <w:r>
              <w:rPr>
                <w:rFonts w:hint="eastAsia" w:asciiTheme="minorEastAsia" w:hAnsiTheme="minorEastAsia" w:eastAsiaTheme="minorEastAsia" w:cstheme="minorEastAsia"/>
                <w:i w:val="0"/>
                <w:iCs w:val="0"/>
                <w:caps w:val="0"/>
                <w:color w:val="auto"/>
                <w:spacing w:val="0"/>
                <w:sz w:val="22"/>
                <w:szCs w:val="22"/>
                <w:highlight w:val="none"/>
                <w:shd w:val="clear"/>
              </w:rPr>
              <w:t>泄露在咨询服务活动中获取的商业秘密和技术秘密的</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747" w:type="dxa"/>
            <w:gridSpan w:val="5"/>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eastAsiaTheme="minorEastAsia" w:cstheme="minorEastAsia"/>
                <w:b w:val="0"/>
                <w:bCs w:val="0"/>
                <w:color w:val="auto"/>
                <w:sz w:val="22"/>
                <w:szCs w:val="22"/>
                <w:highlight w:val="none"/>
                <w:vertAlign w:val="baseline"/>
                <w:lang w:eastAsia="zh-CN"/>
              </w:rPr>
              <w:t>合计：</w:t>
            </w:r>
            <w:r>
              <w:rPr>
                <w:rFonts w:hint="eastAsia" w:asciiTheme="minorEastAsia" w:hAnsiTheme="minorEastAsia" w:eastAsiaTheme="minorEastAsia" w:cstheme="minorEastAsia"/>
                <w:b w:val="0"/>
                <w:bCs w:val="0"/>
                <w:color w:val="auto"/>
                <w:sz w:val="22"/>
                <w:szCs w:val="22"/>
                <w:highlight w:val="none"/>
                <w:vertAlign w:val="baseline"/>
                <w:lang w:val="en-US" w:eastAsia="zh-CN"/>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eastAsiaTheme="minorEastAsia" w:cstheme="minorEastAsia"/>
                <w:b/>
                <w:bCs/>
                <w:color w:val="auto"/>
                <w:sz w:val="22"/>
                <w:szCs w:val="22"/>
                <w:highlight w:val="none"/>
                <w:vertAlign w:val="baseline"/>
                <w:lang w:val="en-US" w:eastAsia="zh-CN"/>
              </w:rPr>
              <w:t>加分项</w:t>
            </w:r>
          </w:p>
        </w:tc>
        <w:tc>
          <w:tcPr>
            <w:tcW w:w="6717" w:type="dxa"/>
            <w:gridSpan w:val="2"/>
          </w:tcPr>
          <w:p>
            <w:pPr>
              <w:widowControl w:val="0"/>
              <w:numPr>
                <w:ilvl w:val="0"/>
                <w:numId w:val="0"/>
              </w:numPr>
              <w:jc w:val="left"/>
              <w:rPr>
                <w:rFonts w:hint="default"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4</w:t>
            </w:r>
            <w:r>
              <w:rPr>
                <w:rFonts w:hint="default" w:asciiTheme="minorEastAsia" w:hAnsiTheme="minorEastAsia" w:eastAsiaTheme="minorEastAsia" w:cstheme="minorEastAsia"/>
                <w:b w:val="0"/>
                <w:bCs w:val="0"/>
                <w:color w:val="auto"/>
                <w:sz w:val="22"/>
                <w:szCs w:val="22"/>
                <w:highlight w:val="none"/>
                <w:vertAlign w:val="baseline"/>
                <w:lang w:val="en-US" w:eastAsia="zh-CN"/>
              </w:rPr>
              <w:t>.1及时反映招标活动中的违法行为，被查属实的，加</w:t>
            </w:r>
            <w:r>
              <w:rPr>
                <w:rFonts w:hint="eastAsia" w:asciiTheme="minorEastAsia" w:hAnsiTheme="minorEastAsia" w:eastAsiaTheme="minorEastAsia" w:cstheme="minorEastAsia"/>
                <w:b w:val="0"/>
                <w:bCs w:val="0"/>
                <w:color w:val="auto"/>
                <w:sz w:val="22"/>
                <w:szCs w:val="22"/>
                <w:highlight w:val="none"/>
                <w:shd w:val="clear"/>
                <w:vertAlign w:val="baseline"/>
                <w:lang w:val="en-US" w:eastAsia="zh-CN"/>
              </w:rPr>
              <w:t>5</w:t>
            </w:r>
            <w:r>
              <w:rPr>
                <w:rFonts w:hint="default" w:asciiTheme="minorEastAsia" w:hAnsiTheme="minorEastAsia" w:eastAsiaTheme="minorEastAsia" w:cstheme="minorEastAsia"/>
                <w:b w:val="0"/>
                <w:bCs w:val="0"/>
                <w:color w:val="auto"/>
                <w:sz w:val="22"/>
                <w:szCs w:val="22"/>
                <w:highlight w:val="none"/>
                <w:vertAlign w:val="baseline"/>
                <w:lang w:val="en-US" w:eastAsia="zh-CN"/>
              </w:rPr>
              <w:t>分。</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4</w:t>
            </w:r>
            <w:r>
              <w:rPr>
                <w:rFonts w:hint="default" w:asciiTheme="minorEastAsia" w:hAnsiTheme="minorEastAsia" w:eastAsiaTheme="minorEastAsia" w:cstheme="minorEastAsia"/>
                <w:b w:val="0"/>
                <w:bCs w:val="0"/>
                <w:color w:val="auto"/>
                <w:sz w:val="22"/>
                <w:szCs w:val="22"/>
                <w:highlight w:val="none"/>
                <w:vertAlign w:val="baseline"/>
                <w:lang w:val="en-US" w:eastAsia="zh-CN"/>
              </w:rPr>
              <w:t>.2</w:t>
            </w:r>
            <w:r>
              <w:rPr>
                <w:rFonts w:hint="eastAsia" w:asciiTheme="minorEastAsia" w:hAnsiTheme="minorEastAsia" w:eastAsiaTheme="minorEastAsia" w:cstheme="minorEastAsia"/>
                <w:i w:val="0"/>
                <w:iCs w:val="0"/>
                <w:caps w:val="0"/>
                <w:color w:val="auto"/>
                <w:spacing w:val="0"/>
                <w:sz w:val="22"/>
                <w:szCs w:val="22"/>
                <w:highlight w:val="none"/>
                <w:shd w:val="clear"/>
              </w:rPr>
              <w:t>被相关管理部门书面表扬的，</w:t>
            </w:r>
            <w:r>
              <w:rPr>
                <w:rFonts w:hint="default" w:asciiTheme="minorEastAsia" w:hAnsiTheme="minorEastAsia" w:eastAsiaTheme="minorEastAsia" w:cstheme="minorEastAsia"/>
                <w:b w:val="0"/>
                <w:bCs w:val="0"/>
                <w:color w:val="auto"/>
                <w:sz w:val="22"/>
                <w:szCs w:val="22"/>
                <w:highlight w:val="none"/>
                <w:vertAlign w:val="baseline"/>
                <w:lang w:val="en-US" w:eastAsia="zh-CN"/>
              </w:rPr>
              <w:t>国家级加15分，省级加10分，市级加5分。</w:t>
            </w:r>
          </w:p>
        </w:tc>
        <w:tc>
          <w:tcPr>
            <w:tcW w:w="1635"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395" w:type="dxa"/>
            <w:vMerge w:val="restart"/>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eastAsiaTheme="minorEastAsia" w:cstheme="minorEastAsia"/>
                <w:b/>
                <w:bCs/>
                <w:color w:val="auto"/>
                <w:sz w:val="22"/>
                <w:szCs w:val="22"/>
                <w:highlight w:val="none"/>
                <w:vertAlign w:val="baseline"/>
                <w:lang w:val="en-US" w:eastAsia="zh-CN"/>
              </w:rPr>
              <w:t>扣分项</w:t>
            </w:r>
          </w:p>
        </w:tc>
        <w:tc>
          <w:tcPr>
            <w:tcW w:w="6717"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eastAsiaTheme="minorEastAsia" w:cstheme="minorEastAsia"/>
                <w:b w:val="0"/>
                <w:bCs w:val="0"/>
                <w:color w:val="auto"/>
                <w:sz w:val="22"/>
                <w:szCs w:val="22"/>
                <w:highlight w:val="none"/>
                <w:vertAlign w:val="baseline"/>
                <w:lang w:val="en-US" w:eastAsia="zh-CN"/>
              </w:rPr>
              <w:t>因违反合同约定，收到</w:t>
            </w:r>
            <w:r>
              <w:rPr>
                <w:rFonts w:hint="eastAsia" w:asciiTheme="minorEastAsia" w:hAnsiTheme="minorEastAsia" w:cstheme="minorEastAsia"/>
                <w:b w:val="0"/>
                <w:bCs w:val="0"/>
                <w:color w:val="auto"/>
                <w:sz w:val="22"/>
                <w:szCs w:val="22"/>
                <w:highlight w:val="none"/>
                <w:vertAlign w:val="baseline"/>
                <w:lang w:val="en-US" w:eastAsia="zh-CN"/>
              </w:rPr>
              <w:t>市代建中心</w:t>
            </w:r>
            <w:r>
              <w:rPr>
                <w:rFonts w:hint="eastAsia" w:asciiTheme="minorEastAsia" w:hAnsiTheme="minorEastAsia" w:eastAsiaTheme="minorEastAsia" w:cstheme="minorEastAsia"/>
                <w:b w:val="0"/>
                <w:bCs w:val="0"/>
                <w:color w:val="auto"/>
                <w:sz w:val="22"/>
                <w:szCs w:val="22"/>
                <w:highlight w:val="none"/>
                <w:vertAlign w:val="baseline"/>
                <w:lang w:val="en-US" w:eastAsia="zh-CN"/>
              </w:rPr>
              <w:t>发出书面违约通知，给予以下处理：</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5</w:t>
            </w:r>
            <w:r>
              <w:rPr>
                <w:rFonts w:hint="eastAsia" w:asciiTheme="minorEastAsia" w:hAnsiTheme="minorEastAsia" w:eastAsiaTheme="minorEastAsia" w:cstheme="minorEastAsia"/>
                <w:b w:val="0"/>
                <w:bCs w:val="0"/>
                <w:color w:val="auto"/>
                <w:sz w:val="22"/>
                <w:szCs w:val="22"/>
                <w:highlight w:val="none"/>
                <w:vertAlign w:val="baseline"/>
                <w:lang w:val="en-US" w:eastAsia="zh-CN"/>
              </w:rPr>
              <w:t>.1评价年度违约金额累计达到合同金额的0.5%以下，扣3分。</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5</w:t>
            </w:r>
            <w:r>
              <w:rPr>
                <w:rFonts w:hint="eastAsia" w:asciiTheme="minorEastAsia" w:hAnsiTheme="minorEastAsia" w:eastAsiaTheme="minorEastAsia" w:cstheme="minorEastAsia"/>
                <w:b w:val="0"/>
                <w:bCs w:val="0"/>
                <w:color w:val="auto"/>
                <w:sz w:val="22"/>
                <w:szCs w:val="22"/>
                <w:highlight w:val="none"/>
                <w:vertAlign w:val="baseline"/>
                <w:lang w:val="en-US" w:eastAsia="zh-CN"/>
              </w:rPr>
              <w:t>.2评价年度违约金额累计达到合同金额的0.6%-1.5%，扣6分。</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5</w:t>
            </w:r>
            <w:r>
              <w:rPr>
                <w:rFonts w:hint="eastAsia" w:asciiTheme="minorEastAsia" w:hAnsiTheme="minorEastAsia" w:eastAsiaTheme="minorEastAsia" w:cstheme="minorEastAsia"/>
                <w:b w:val="0"/>
                <w:bCs w:val="0"/>
                <w:color w:val="auto"/>
                <w:sz w:val="22"/>
                <w:szCs w:val="22"/>
                <w:highlight w:val="none"/>
                <w:vertAlign w:val="baseline"/>
                <w:lang w:val="en-US" w:eastAsia="zh-CN"/>
              </w:rPr>
              <w:t>.3评价年度违约金额累计达到合同金额的1.6%以上的，扣10分。</w:t>
            </w:r>
          </w:p>
        </w:tc>
        <w:tc>
          <w:tcPr>
            <w:tcW w:w="1635"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ind w:firstLine="660" w:firstLineChars="300"/>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c>
          <w:tcPr>
            <w:tcW w:w="6717"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5.4招标代理机构</w:t>
            </w:r>
            <w:r>
              <w:rPr>
                <w:rFonts w:hint="eastAsia" w:asciiTheme="minorEastAsia" w:hAnsiTheme="minorEastAsia" w:eastAsiaTheme="minorEastAsia" w:cstheme="minorEastAsia"/>
                <w:b w:val="0"/>
                <w:bCs w:val="0"/>
                <w:color w:val="auto"/>
                <w:sz w:val="22"/>
                <w:szCs w:val="22"/>
                <w:highlight w:val="none"/>
                <w:vertAlign w:val="baseline"/>
                <w:lang w:val="en-US" w:eastAsia="zh-CN"/>
              </w:rPr>
              <w:t>受到行政主管部门的通报或处罚等，每次扣5-10分。</w:t>
            </w:r>
          </w:p>
        </w:tc>
        <w:tc>
          <w:tcPr>
            <w:tcW w:w="1635"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ind w:firstLine="660" w:firstLineChars="300"/>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c>
          <w:tcPr>
            <w:tcW w:w="6717" w:type="dxa"/>
            <w:gridSpan w:val="2"/>
          </w:tcPr>
          <w:p>
            <w:pPr>
              <w:widowControl w:val="0"/>
              <w:numPr>
                <w:ilvl w:val="0"/>
                <w:numId w:val="0"/>
              </w:numPr>
              <w:jc w:val="left"/>
              <w:rPr>
                <w:rFonts w:hint="default" w:asciiTheme="minorEastAsia" w:hAnsiTheme="minorEastAsia" w:cstheme="minorEastAsia"/>
                <w:b w:val="0"/>
                <w:bCs w:val="0"/>
                <w:color w:val="auto"/>
                <w:sz w:val="22"/>
                <w:szCs w:val="22"/>
                <w:highlight w:val="none"/>
                <w:vertAlign w:val="baseline"/>
                <w:lang w:val="en-US" w:eastAsia="zh-CN"/>
              </w:rPr>
            </w:pPr>
            <w:r>
              <w:rPr>
                <w:rFonts w:hint="default" w:asciiTheme="minorEastAsia" w:hAnsiTheme="minorEastAsia" w:cstheme="minorEastAsia"/>
                <w:b w:val="0"/>
                <w:bCs w:val="0"/>
                <w:color w:val="auto"/>
                <w:sz w:val="22"/>
                <w:szCs w:val="22"/>
                <w:highlight w:val="none"/>
                <w:vertAlign w:val="baseline"/>
                <w:lang w:val="en-US" w:eastAsia="zh-CN"/>
              </w:rPr>
              <w:t>5.5在日常考核中被亮黄牌的，一次扣5分。</w:t>
            </w:r>
          </w:p>
        </w:tc>
        <w:tc>
          <w:tcPr>
            <w:tcW w:w="1635"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5"/>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eastAsiaTheme="minorEastAsia" w:cstheme="minorEastAsia"/>
                <w:b/>
                <w:bCs/>
                <w:color w:val="auto"/>
                <w:sz w:val="22"/>
                <w:szCs w:val="22"/>
                <w:highlight w:val="none"/>
                <w:vertAlign w:val="baseline"/>
                <w:lang w:val="en-US" w:eastAsia="zh-CN"/>
              </w:rPr>
              <w:t>总分数（    ）=100分－扣分项（   ）＋加分项（   ）</w:t>
            </w:r>
          </w:p>
        </w:tc>
      </w:tr>
    </w:tbl>
    <w:p>
      <w:pPr>
        <w:numPr>
          <w:ilvl w:val="0"/>
          <w:numId w:val="0"/>
        </w:numPr>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评分说明：</w:t>
      </w:r>
    </w:p>
    <w:p>
      <w:pPr>
        <w:numPr>
          <w:ilvl w:val="0"/>
          <w:numId w:val="10"/>
        </w:num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招标代理机构</w:t>
      </w:r>
      <w:r>
        <w:rPr>
          <w:rFonts w:hint="eastAsia" w:ascii="宋体" w:hAnsi="宋体" w:eastAsia="宋体" w:cs="宋体"/>
          <w:b w:val="0"/>
          <w:bCs w:val="0"/>
          <w:color w:val="auto"/>
          <w:sz w:val="24"/>
          <w:szCs w:val="24"/>
          <w:highlight w:val="none"/>
          <w:lang w:val="en-US" w:eastAsia="zh-CN"/>
        </w:rPr>
        <w:t>如发生违约的，予以扣分处理，最高扣分不超过“评审分项”分值；</w:t>
      </w:r>
    </w:p>
    <w:p>
      <w:pPr>
        <w:numPr>
          <w:ilvl w:val="0"/>
          <w:numId w:val="10"/>
        </w:num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涉及工程项目的，以单项工程（合同/标段）为评价记录，有多项不良行为的则分别扣分。</w:t>
      </w:r>
    </w:p>
    <w:p>
      <w:pPr>
        <w:numPr>
          <w:ilvl w:val="0"/>
          <w:numId w:val="1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同一</w:t>
      </w:r>
      <w:r>
        <w:rPr>
          <w:rFonts w:hint="eastAsia" w:ascii="宋体" w:hAnsi="宋体" w:eastAsia="宋体" w:cs="宋体"/>
          <w:b w:val="0"/>
          <w:bCs w:val="0"/>
          <w:color w:val="auto"/>
          <w:sz w:val="24"/>
          <w:szCs w:val="24"/>
          <w:highlight w:val="none"/>
          <w:vertAlign w:val="baseline"/>
          <w:lang w:val="en-US" w:eastAsia="zh-CN"/>
        </w:rPr>
        <w:t>招标代理机构</w:t>
      </w:r>
      <w:r>
        <w:rPr>
          <w:rFonts w:hint="eastAsia" w:ascii="宋体" w:hAnsi="宋体" w:eastAsia="宋体" w:cs="宋体"/>
          <w:b w:val="0"/>
          <w:bCs w:val="0"/>
          <w:color w:val="auto"/>
          <w:sz w:val="24"/>
          <w:szCs w:val="24"/>
          <w:highlight w:val="none"/>
          <w:lang w:val="en-US" w:eastAsia="zh-CN"/>
        </w:rPr>
        <w:t>、同一项目获得同一性质不同级别荣誉，只取最高级别加分。</w:t>
      </w:r>
    </w:p>
    <w:p>
      <w:pPr>
        <w:numPr>
          <w:ilvl w:val="0"/>
          <w:numId w:val="10"/>
        </w:numPr>
        <w:bidi w:val="0"/>
        <w:ind w:left="0" w:leftChars="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考核得分60分及以上为合格。</w:t>
      </w:r>
    </w:p>
    <w:p>
      <w:pPr>
        <w:bidi w:val="0"/>
        <w:rPr>
          <w:rFonts w:hint="eastAsia" w:ascii="宋体" w:hAnsi="宋体" w:eastAsia="宋体" w:cs="宋体"/>
          <w:highlight w:val="none"/>
          <w:lang w:val="en-US" w:eastAsia="zh-CN"/>
        </w:rPr>
      </w:pPr>
    </w:p>
    <w:p>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65" w:name="_Toc7722"/>
      <w:bookmarkStart w:id="66" w:name="_Toc9213"/>
      <w:r>
        <w:rPr>
          <w:rFonts w:hint="eastAsia" w:ascii="宋体" w:hAnsi="宋体" w:eastAsia="宋体" w:cs="宋体"/>
          <w:b/>
          <w:highlight w:val="none"/>
        </w:rPr>
        <w:t>第四章 资格审查</w:t>
      </w:r>
      <w:bookmarkEnd w:id="65"/>
      <w:bookmarkEnd w:id="66"/>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评审小组负责对响应供应商进行资格审</w:t>
      </w:r>
      <w:r>
        <w:rPr>
          <w:rFonts w:hint="eastAsia" w:ascii="宋体" w:hAnsi="宋体" w:eastAsia="宋体" w:cs="宋体"/>
          <w:spacing w:val="-1"/>
          <w:sz w:val="24"/>
          <w:szCs w:val="24"/>
          <w:highlight w:val="none"/>
        </w:rPr>
        <w:t>查，资格审查标准及要求如下：</w:t>
      </w:r>
    </w:p>
    <w:p>
      <w:pPr>
        <w:pStyle w:val="3"/>
        <w:pageBreakBefore w:val="0"/>
        <w:widowControl/>
        <w:kinsoku w:val="0"/>
        <w:wordWrap/>
        <w:overflowPunct/>
        <w:topLinePunct w:val="0"/>
        <w:autoSpaceDE w:val="0"/>
        <w:autoSpaceDN w:val="0"/>
        <w:bidi w:val="0"/>
        <w:adjustRightInd w:val="0"/>
        <w:snapToGrid w:val="0"/>
        <w:spacing w:beforeLines="0" w:afterLines="0" w:line="360" w:lineRule="auto"/>
        <w:ind w:left="0"/>
        <w:textAlignment w:val="baseline"/>
        <w:rPr>
          <w:rFonts w:hint="eastAsia" w:ascii="宋体" w:hAnsi="宋体" w:eastAsia="宋体" w:cs="宋体"/>
          <w:sz w:val="28"/>
          <w:szCs w:val="28"/>
          <w:highlight w:val="none"/>
        </w:rPr>
      </w:pPr>
      <w:bookmarkStart w:id="67" w:name="_Toc22787"/>
      <w:bookmarkStart w:id="68" w:name="_Toc27175"/>
      <w:r>
        <w:rPr>
          <w:rFonts w:hint="eastAsia" w:ascii="宋体" w:hAnsi="宋体" w:eastAsia="宋体" w:cs="宋体"/>
          <w:highlight w:val="none"/>
          <w:lang w:val="en-US" w:eastAsia="zh-CN"/>
        </w:rPr>
        <w:t>4.1.</w:t>
      </w:r>
      <w:r>
        <w:rPr>
          <w:rFonts w:hint="eastAsia" w:ascii="宋体" w:hAnsi="宋体" w:eastAsia="宋体" w:cs="宋体"/>
          <w:highlight w:val="none"/>
        </w:rPr>
        <w:t>一般资格审查</w:t>
      </w:r>
      <w:bookmarkEnd w:id="67"/>
      <w:bookmarkEnd w:id="68"/>
    </w:p>
    <w:tbl>
      <w:tblPr>
        <w:tblStyle w:val="16"/>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68"/>
        <w:gridCol w:w="3016"/>
        <w:gridCol w:w="5854"/>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01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资格审查要求概况</w:t>
            </w:r>
          </w:p>
        </w:tc>
        <w:tc>
          <w:tcPr>
            <w:tcW w:w="585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评审点具体描述</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01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供应商代表的证明</w:t>
            </w:r>
          </w:p>
        </w:tc>
        <w:tc>
          <w:tcPr>
            <w:tcW w:w="585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法定代表人(负责人)参加的，提供“法定代表人(负责人)证明书”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委托代理人参加的，提供“法定代表人(负责人)授权委托书”内容齐全。</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301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585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供应商有效的营业执照，或事业单位法人证书，或其他非企业组织证明独立承担民事责任能力的文件。(多证合一的，提供营业执照扫描件)任意一项证明文件扫描件清晰。</w:t>
            </w:r>
          </w:p>
        </w:tc>
      </w:tr>
    </w:tbl>
    <w:p>
      <w:pPr>
        <w:pStyle w:val="3"/>
        <w:keepNext/>
        <w:keepLines/>
        <w:pageBreakBefore w:val="0"/>
        <w:widowControl/>
        <w:kinsoku w:val="0"/>
        <w:wordWrap/>
        <w:overflowPunct/>
        <w:topLinePunct w:val="0"/>
        <w:autoSpaceDE w:val="0"/>
        <w:autoSpaceDN w:val="0"/>
        <w:bidi w:val="0"/>
        <w:adjustRightInd w:val="0"/>
        <w:snapToGrid w:val="0"/>
        <w:spacing w:before="0" w:beforeLines="50" w:afterLines="0" w:line="360" w:lineRule="auto"/>
        <w:ind w:left="0" w:firstLine="420"/>
        <w:textAlignment w:val="baseline"/>
        <w:rPr>
          <w:rFonts w:hint="eastAsia" w:ascii="宋体" w:hAnsi="宋体" w:eastAsia="宋体" w:cs="宋体"/>
          <w:highlight w:val="none"/>
        </w:rPr>
      </w:pPr>
      <w:bookmarkStart w:id="69" w:name="_Toc27306"/>
      <w:bookmarkStart w:id="70" w:name="_Toc19672"/>
      <w:r>
        <w:rPr>
          <w:rFonts w:hint="eastAsia" w:ascii="宋体" w:hAnsi="宋体" w:eastAsia="宋体" w:cs="宋体"/>
          <w:b/>
          <w:highlight w:val="none"/>
          <w:lang w:val="en-US" w:eastAsia="zh-CN"/>
        </w:rPr>
        <w:t>4.2.特殊资格审查</w:t>
      </w:r>
      <w:bookmarkEnd w:id="69"/>
      <w:bookmarkEnd w:id="70"/>
    </w:p>
    <w:tbl>
      <w:tblPr>
        <w:tblStyle w:val="16"/>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58"/>
        <w:gridCol w:w="2881"/>
        <w:gridCol w:w="3844"/>
        <w:gridCol w:w="195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1049" w:type="dxa"/>
            <w:tcBorders>
              <w:tl2br w:val="nil"/>
              <w:tr2bl w:val="nil"/>
            </w:tcBorders>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54" w:type="dxa"/>
            <w:tcBorders>
              <w:tl2br w:val="nil"/>
              <w:tr2bl w:val="nil"/>
            </w:tcBorders>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资格审查要求概况</w:t>
            </w:r>
          </w:p>
        </w:tc>
        <w:tc>
          <w:tcPr>
            <w:tcW w:w="4209" w:type="dxa"/>
            <w:tcBorders>
              <w:tl2br w:val="nil"/>
              <w:tr2bl w:val="nil"/>
            </w:tcBorders>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评审点具体描述</w:t>
            </w:r>
          </w:p>
        </w:tc>
        <w:tc>
          <w:tcPr>
            <w:tcW w:w="2140" w:type="dxa"/>
            <w:tcBorders>
              <w:tl2br w:val="nil"/>
              <w:tr2bl w:val="nil"/>
            </w:tcBorders>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关联格式</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10552" w:type="dxa"/>
            <w:gridSpan w:val="4"/>
            <w:tcBorders>
              <w:tl2br w:val="nil"/>
              <w:tr2bl w:val="nil"/>
            </w:tcBorders>
            <w:vAlign w:val="center"/>
          </w:tcPr>
          <w:p>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bl>
    <w:p>
      <w:pPr>
        <w:bidi w:val="0"/>
        <w:rPr>
          <w:rFonts w:hint="eastAsia" w:ascii="宋体" w:hAnsi="宋体" w:eastAsia="宋体" w:cs="宋体"/>
          <w:highlight w:val="none"/>
          <w:lang w:val="en-US" w:eastAsia="zh-CN"/>
        </w:rPr>
      </w:pPr>
      <w:bookmarkStart w:id="71" w:name="_Toc26759"/>
      <w:bookmarkStart w:id="72" w:name="_Toc8427"/>
    </w:p>
    <w:p>
      <w:pPr>
        <w:pStyle w:val="3"/>
        <w:pageBreakBefore w:val="0"/>
        <w:widowControl/>
        <w:kinsoku w:val="0"/>
        <w:wordWrap/>
        <w:overflowPunct/>
        <w:topLinePunct w:val="0"/>
        <w:autoSpaceDE w:val="0"/>
        <w:autoSpaceDN w:val="0"/>
        <w:bidi w:val="0"/>
        <w:adjustRightInd w:val="0"/>
        <w:snapToGrid w:val="0"/>
        <w:spacing w:beforeLines="0" w:afterLines="0" w:line="360" w:lineRule="auto"/>
        <w:ind w:left="0" w:firstLine="420"/>
        <w:textAlignment w:val="baseline"/>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4.3.落实政府采购政策资格审查</w:t>
      </w:r>
      <w:bookmarkEnd w:id="71"/>
      <w:bookmarkEnd w:id="72"/>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本项目不属于专门面向中小企业采购</w:t>
      </w:r>
      <w:r>
        <w:rPr>
          <w:rFonts w:hint="eastAsia" w:ascii="宋体" w:hAnsi="宋体" w:eastAsia="宋体" w:cs="宋体"/>
          <w:spacing w:val="1"/>
          <w:sz w:val="24"/>
          <w:szCs w:val="24"/>
          <w:highlight w:val="none"/>
        </w:rPr>
        <w:t>。</w:t>
      </w:r>
    </w:p>
    <w:p>
      <w:pPr>
        <w:pStyle w:val="7"/>
        <w:rPr>
          <w:rFonts w:hint="eastAsia"/>
          <w:highlight w:val="none"/>
        </w:rPr>
      </w:pPr>
    </w:p>
    <w:p>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73" w:name="_Toc32749"/>
      <w:bookmarkStart w:id="74" w:name="_Toc18286"/>
      <w:r>
        <w:rPr>
          <w:rFonts w:hint="eastAsia" w:ascii="宋体" w:hAnsi="宋体" w:eastAsia="宋体" w:cs="宋体"/>
          <w:b/>
          <w:highlight w:val="none"/>
        </w:rPr>
        <w:t>第五章 入围评审办法</w:t>
      </w:r>
      <w:bookmarkEnd w:id="73"/>
      <w:bookmarkEnd w:id="74"/>
    </w:p>
    <w:p>
      <w:pPr>
        <w:pStyle w:val="3"/>
        <w:pageBreakBefore w:val="0"/>
        <w:widowControl/>
        <w:kinsoku/>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75" w:name="_Toc21352"/>
      <w:bookmarkStart w:id="76" w:name="_Toc23855"/>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75"/>
      <w:bookmarkEnd w:id="76"/>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一、根据《中华人民共和国政府采购法》、《中华人民共和国政府采购法实施条例》、《政府采购需求管理办法》等法律规章，结合本项目特点制定本评审办法。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二、评审工作由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人负责组织，具体评审事务由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人依法组建的</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负责。评</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由评审</w:t>
      </w:r>
      <w:r>
        <w:rPr>
          <w:rFonts w:hint="eastAsia" w:ascii="宋体" w:hAnsi="宋体" w:eastAsia="宋体" w:cs="宋体"/>
          <w:sz w:val="24"/>
          <w:szCs w:val="24"/>
          <w:highlight w:val="none"/>
          <w:lang w:val="en-US" w:eastAsia="zh-CN"/>
        </w:rPr>
        <w:t>小组成员</w:t>
      </w:r>
      <w:r>
        <w:rPr>
          <w:rFonts w:hint="eastAsia" w:ascii="宋体" w:hAnsi="宋体" w:eastAsia="宋体" w:cs="宋体"/>
          <w:sz w:val="24"/>
          <w:szCs w:val="24"/>
          <w:highlight w:val="none"/>
        </w:rPr>
        <w:t>组成。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三、评审工作应遵循公平、公正、科学及择优的原则，并以相同的评审程序和标准对待所有的供应商。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四、评审过程应当独立、保密，任何单位和个人不得非法干预评审活动。供应商非法干预评审活动的，其响应文件将作无效处理；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人及其工作人员非法干预评审活动的，将依法追究其责任。</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lang w:eastAsia="zh-CN"/>
        </w:rPr>
      </w:pPr>
      <w:bookmarkStart w:id="77" w:name="_Toc4283"/>
      <w:bookmarkStart w:id="78" w:name="_Toc16616"/>
      <w:r>
        <w:rPr>
          <w:rFonts w:hint="eastAsia" w:ascii="宋体" w:hAnsi="宋体" w:eastAsia="宋体" w:cs="宋体"/>
          <w:b/>
          <w:sz w:val="24"/>
          <w:szCs w:val="24"/>
          <w:highlight w:val="none"/>
        </w:rPr>
        <w:t>5.2</w:t>
      </w:r>
      <w:r>
        <w:rPr>
          <w:rFonts w:hint="eastAsia" w:ascii="宋体" w:hAnsi="宋体" w:eastAsia="宋体" w:cs="宋体"/>
          <w:b/>
          <w:sz w:val="24"/>
          <w:szCs w:val="24"/>
          <w:highlight w:val="none"/>
          <w:lang w:val="en-US" w:eastAsia="zh-CN"/>
        </w:rPr>
        <w:t>.</w:t>
      </w:r>
      <w:bookmarkEnd w:id="77"/>
      <w:bookmarkEnd w:id="78"/>
      <w:r>
        <w:rPr>
          <w:rFonts w:hint="eastAsia" w:ascii="宋体" w:hAnsi="宋体" w:eastAsia="宋体" w:cs="宋体"/>
          <w:b/>
          <w:sz w:val="24"/>
          <w:szCs w:val="24"/>
          <w:highlight w:val="none"/>
          <w:lang w:eastAsia="zh-CN"/>
        </w:rPr>
        <w:t>评审小组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采购人负责组建</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成员获取响应文件</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rPr>
        <w:t>，开展评审活动。出现应当回避的情形时，</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成员应当主动回避；</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人按规定申请补充</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成员；无法及时补充的，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人应当封存供应商响应文件，按规定重新组建</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，解封响应文件后，开展评审活动。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文件规定的评审程序、评分方法和标准进行评审，并独立履行下列职责：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(一)熟悉和理解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(二)对符合资格的供应商的响应文件进行审查，以确定其是否满足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(三)对有效供应商的响应文件进行比较和评价；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(四)根据需要要求</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文件作出解释；根据需要要求供应商对响应文件有关事项作出解释或者澄清；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(五)确定入围候选人名单；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(六)起草评审报告并进行签署；</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人或者财政、监察等有关部门报告或举报非法干预评审工作的行为；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人或者有关部门报告评审中发现违法行为；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(九)法律、法规和规章规定的其他职责。</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79" w:name="_Toc21572"/>
      <w:bookmarkStart w:id="80" w:name="_Toc13079"/>
      <w:r>
        <w:rPr>
          <w:rFonts w:hint="eastAsia" w:ascii="宋体" w:hAnsi="宋体" w:eastAsia="宋体" w:cs="宋体"/>
          <w:b/>
          <w:sz w:val="24"/>
          <w:szCs w:val="24"/>
          <w:highlight w:val="none"/>
        </w:rPr>
        <w:t>5.3</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评审方法</w:t>
      </w:r>
      <w:bookmarkEnd w:id="79"/>
      <w:bookmarkEnd w:id="80"/>
    </w:p>
    <w:p>
      <w:pPr>
        <w:ind w:firstLine="480" w:firstLineChars="200"/>
        <w:rPr>
          <w:rFonts w:hint="eastAsia"/>
          <w:highlight w:val="none"/>
        </w:rPr>
      </w:pPr>
      <w:r>
        <w:rPr>
          <w:rFonts w:hint="eastAsia" w:ascii="宋体" w:hAnsi="宋体" w:eastAsia="宋体" w:cs="宋体"/>
          <w:b w:val="0"/>
          <w:bCs/>
          <w:sz w:val="24"/>
          <w:szCs w:val="24"/>
          <w:highlight w:val="none"/>
          <w:lang w:val="en-US" w:eastAsia="zh-CN"/>
        </w:rPr>
        <w:t>质量优先法</w:t>
      </w:r>
    </w:p>
    <w:p>
      <w:pPr>
        <w:rPr>
          <w:rFonts w:hint="eastAsia"/>
          <w:highlight w:val="none"/>
        </w:rPr>
      </w:pP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1" w:name="_Toc2953"/>
      <w:bookmarkStart w:id="82" w:name="_Toc693"/>
      <w:r>
        <w:rPr>
          <w:rFonts w:hint="eastAsia" w:ascii="宋体" w:hAnsi="宋体" w:eastAsia="宋体" w:cs="宋体"/>
          <w:b/>
          <w:sz w:val="24"/>
          <w:szCs w:val="24"/>
          <w:highlight w:val="none"/>
        </w:rPr>
        <w:t>5.4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评审程序</w:t>
      </w:r>
      <w:bookmarkEnd w:id="81"/>
      <w:bookmarkEnd w:id="82"/>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12"/>
          <w:sz w:val="24"/>
          <w:szCs w:val="24"/>
          <w:highlight w:val="none"/>
        </w:rPr>
        <w:t>5</w:t>
      </w:r>
      <w:r>
        <w:rPr>
          <w:rFonts w:hint="eastAsia" w:ascii="宋体" w:hAnsi="宋体" w:eastAsia="宋体" w:cs="宋体"/>
          <w:b/>
          <w:bCs/>
          <w:spacing w:val="6"/>
          <w:sz w:val="24"/>
          <w:szCs w:val="24"/>
          <w:highlight w:val="none"/>
        </w:rPr>
        <w:t>.4.1</w:t>
      </w:r>
      <w:r>
        <w:rPr>
          <w:rFonts w:hint="eastAsia" w:ascii="宋体" w:hAnsi="宋体" w:eastAsia="宋体" w:cs="宋体"/>
          <w:b/>
          <w:bCs/>
          <w:spacing w:val="6"/>
          <w:sz w:val="24"/>
          <w:szCs w:val="24"/>
          <w:highlight w:val="none"/>
          <w:lang w:val="en-US" w:eastAsia="zh-CN"/>
        </w:rPr>
        <w:t>.</w:t>
      </w:r>
      <w:r>
        <w:rPr>
          <w:rFonts w:hint="eastAsia" w:ascii="宋体" w:hAnsi="宋体" w:eastAsia="宋体" w:cs="宋体"/>
          <w:spacing w:val="6"/>
          <w:sz w:val="24"/>
          <w:szCs w:val="24"/>
          <w:highlight w:val="none"/>
        </w:rPr>
        <w:t>熟悉和理解</w:t>
      </w:r>
      <w:r>
        <w:rPr>
          <w:rFonts w:hint="eastAsia" w:ascii="宋体" w:hAnsi="宋体" w:eastAsia="宋体" w:cs="宋体"/>
          <w:sz w:val="24"/>
          <w:szCs w:val="24"/>
          <w:highlight w:val="none"/>
          <w:lang w:val="en-US" w:eastAsia="zh-CN"/>
        </w:rPr>
        <w:t>采购</w:t>
      </w:r>
      <w:r>
        <w:rPr>
          <w:rFonts w:hint="eastAsia" w:ascii="宋体" w:hAnsi="宋体" w:eastAsia="宋体" w:cs="宋体"/>
          <w:spacing w:val="6"/>
          <w:sz w:val="24"/>
          <w:szCs w:val="24"/>
          <w:highlight w:val="none"/>
        </w:rPr>
        <w:t>文件、停止评审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2"/>
          <w:sz w:val="24"/>
          <w:szCs w:val="24"/>
          <w:highlight w:val="none"/>
        </w:rPr>
        <w:t>评审小组</w:t>
      </w:r>
      <w:r>
        <w:rPr>
          <w:rFonts w:hint="eastAsia" w:ascii="宋体" w:hAnsi="宋体" w:eastAsia="宋体" w:cs="宋体"/>
          <w:spacing w:val="2"/>
          <w:sz w:val="24"/>
          <w:szCs w:val="24"/>
          <w:highlight w:val="none"/>
        </w:rPr>
        <w:t>正式评审前，应当对</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文件进行熟悉和理解，内容主要包括</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文件中供应商资格资质性要</w:t>
      </w:r>
      <w:r>
        <w:rPr>
          <w:rFonts w:hint="eastAsia" w:ascii="宋体" w:hAnsi="宋体" w:eastAsia="宋体" w:cs="宋体"/>
          <w:sz w:val="24"/>
          <w:szCs w:val="24"/>
          <w:highlight w:val="none"/>
        </w:rPr>
        <w:t>求、采购项</w:t>
      </w:r>
      <w:r>
        <w:rPr>
          <w:rFonts w:hint="eastAsia" w:ascii="宋体" w:hAnsi="宋体" w:eastAsia="宋体" w:cs="宋体"/>
          <w:spacing w:val="1"/>
          <w:sz w:val="24"/>
          <w:szCs w:val="24"/>
          <w:highlight w:val="none"/>
        </w:rPr>
        <w:t>目技术、服务和商务要求、评审方法和标准以及可能涉及签订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pacing w:val="1"/>
          <w:sz w:val="24"/>
          <w:szCs w:val="24"/>
          <w:highlight w:val="none"/>
        </w:rPr>
        <w:t>协议和采购合同</w:t>
      </w:r>
      <w:r>
        <w:rPr>
          <w:rFonts w:hint="eastAsia" w:ascii="宋体" w:hAnsi="宋体" w:eastAsia="宋体" w:cs="宋体"/>
          <w:sz w:val="24"/>
          <w:szCs w:val="24"/>
          <w:highlight w:val="none"/>
        </w:rPr>
        <w:t>的内容等。</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文件有下列情形之一的</w:t>
      </w:r>
      <w:r>
        <w:rPr>
          <w:rFonts w:hint="eastAsia" w:ascii="宋体" w:hAnsi="宋体" w:eastAsia="宋体" w:cs="宋体"/>
          <w:spacing w:val="1"/>
          <w:position w:val="1"/>
          <w:sz w:val="24"/>
          <w:szCs w:val="24"/>
          <w:highlight w:val="none"/>
        </w:rPr>
        <w:t>，</w:t>
      </w:r>
      <w:r>
        <w:rPr>
          <w:rFonts w:hint="eastAsia" w:ascii="宋体" w:hAnsi="宋体" w:eastAsia="宋体" w:cs="宋体"/>
          <w:spacing w:val="-2"/>
          <w:sz w:val="24"/>
          <w:szCs w:val="24"/>
          <w:highlight w:val="none"/>
        </w:rPr>
        <w:t>评审小组</w:t>
      </w:r>
      <w:r>
        <w:rPr>
          <w:rFonts w:hint="eastAsia" w:ascii="宋体" w:hAnsi="宋体" w:eastAsia="宋体" w:cs="宋体"/>
          <w:spacing w:val="1"/>
          <w:position w:val="1"/>
          <w:sz w:val="24"/>
          <w:szCs w:val="24"/>
          <w:highlight w:val="none"/>
        </w:rPr>
        <w:t>应当停止评审：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文件的规定存</w:t>
      </w:r>
      <w:r>
        <w:rPr>
          <w:rFonts w:hint="eastAsia" w:ascii="宋体" w:hAnsi="宋体" w:eastAsia="宋体" w:cs="宋体"/>
          <w:spacing w:val="1"/>
          <w:sz w:val="24"/>
          <w:szCs w:val="24"/>
          <w:highlight w:val="none"/>
        </w:rPr>
        <w:t>在歧义、重大缺陷的，导致评审无法进行的；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(二</w:t>
      </w:r>
      <w:r>
        <w:rPr>
          <w:rFonts w:hint="eastAsia" w:ascii="宋体" w:hAnsi="宋体" w:eastAsia="宋体" w:cs="宋体"/>
          <w:spacing w:val="5"/>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4"/>
          <w:sz w:val="24"/>
          <w:szCs w:val="24"/>
          <w:highlight w:val="none"/>
        </w:rPr>
        <w:t>文件明显以不合理条件对供应商实行差别待遇或者歧视待遇的；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(三)项目属于国家</w:t>
      </w:r>
      <w:r>
        <w:rPr>
          <w:rFonts w:hint="eastAsia" w:ascii="宋体" w:hAnsi="宋体" w:eastAsia="宋体" w:cs="宋体"/>
          <w:spacing w:val="4"/>
          <w:sz w:val="24"/>
          <w:szCs w:val="24"/>
          <w:highlight w:val="none"/>
        </w:rPr>
        <w:t>规</w:t>
      </w:r>
      <w:r>
        <w:rPr>
          <w:rFonts w:hint="eastAsia" w:ascii="宋体" w:hAnsi="宋体" w:eastAsia="宋体" w:cs="宋体"/>
          <w:spacing w:val="3"/>
          <w:sz w:val="24"/>
          <w:szCs w:val="24"/>
          <w:highlight w:val="none"/>
        </w:rPr>
        <w:t>定的优先、强制采购范围，但是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文件未依法体现优先、强制采购相关规定的；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(四)项目属于政</w:t>
      </w:r>
      <w:r>
        <w:rPr>
          <w:rFonts w:hint="eastAsia" w:ascii="宋体" w:hAnsi="宋体" w:eastAsia="宋体" w:cs="宋体"/>
          <w:spacing w:val="5"/>
          <w:sz w:val="24"/>
          <w:szCs w:val="24"/>
          <w:highlight w:val="none"/>
        </w:rPr>
        <w:t>府</w:t>
      </w:r>
      <w:r>
        <w:rPr>
          <w:rFonts w:hint="eastAsia" w:ascii="宋体" w:hAnsi="宋体" w:eastAsia="宋体" w:cs="宋体"/>
          <w:spacing w:val="3"/>
          <w:sz w:val="24"/>
          <w:szCs w:val="24"/>
          <w:highlight w:val="none"/>
        </w:rPr>
        <w:t>采购促进中小企业发展的范围，但是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文件未依法体现促进中小企业发展相关规定的；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6"/>
          <w:sz w:val="24"/>
          <w:szCs w:val="24"/>
          <w:highlight w:val="none"/>
        </w:rPr>
        <w:t>文件</w:t>
      </w:r>
      <w:r>
        <w:rPr>
          <w:rFonts w:hint="eastAsia" w:ascii="宋体" w:hAnsi="宋体" w:eastAsia="宋体" w:cs="宋体"/>
          <w:spacing w:val="3"/>
          <w:sz w:val="24"/>
          <w:szCs w:val="24"/>
          <w:highlight w:val="none"/>
        </w:rPr>
        <w:t>规定的评审方法是价格优先法或质量优先法之外的评审方法，或者虽然名称为价格优先法、质量优先法，</w:t>
      </w:r>
      <w:r>
        <w:rPr>
          <w:rFonts w:hint="eastAsia" w:ascii="宋体" w:hAnsi="宋体" w:eastAsia="宋体" w:cs="宋体"/>
          <w:spacing w:val="2"/>
          <w:sz w:val="24"/>
          <w:szCs w:val="24"/>
          <w:highlight w:val="none"/>
        </w:rPr>
        <w:t>但实际</w:t>
      </w:r>
      <w:r>
        <w:rPr>
          <w:rFonts w:hint="eastAsia" w:ascii="宋体" w:hAnsi="宋体" w:eastAsia="宋体" w:cs="宋体"/>
          <w:spacing w:val="1"/>
          <w:sz w:val="24"/>
          <w:szCs w:val="24"/>
          <w:highlight w:val="none"/>
        </w:rPr>
        <w:t>上不符合国家规定；</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5"/>
          <w:sz w:val="24"/>
          <w:szCs w:val="24"/>
          <w:highlight w:val="none"/>
        </w:rPr>
        <w:t>六)</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文件将供应商的资格条件列为评分因素的；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(七)征</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文件有违反国家其他有关强制性规定的情形</w:t>
      </w:r>
      <w:r>
        <w:rPr>
          <w:rFonts w:hint="eastAsia" w:ascii="宋体" w:hAnsi="宋体" w:eastAsia="宋体" w:cs="宋体"/>
          <w:spacing w:val="4"/>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出现上述应当停止评审情形的，</w:t>
      </w:r>
      <w:r>
        <w:rPr>
          <w:rFonts w:hint="eastAsia" w:ascii="宋体" w:hAnsi="宋体" w:eastAsia="宋体" w:cs="宋体"/>
          <w:spacing w:val="-2"/>
          <w:sz w:val="24"/>
          <w:szCs w:val="24"/>
          <w:highlight w:val="none"/>
        </w:rPr>
        <w:t>评审小组</w:t>
      </w:r>
      <w:r>
        <w:rPr>
          <w:rFonts w:hint="eastAsia" w:ascii="宋体" w:hAnsi="宋体" w:eastAsia="宋体" w:cs="宋体"/>
          <w:spacing w:val="2"/>
          <w:sz w:val="24"/>
          <w:szCs w:val="24"/>
          <w:highlight w:val="none"/>
        </w:rPr>
        <w:t>应当</w:t>
      </w:r>
      <w:r>
        <w:rPr>
          <w:rFonts w:hint="eastAsia" w:ascii="宋体" w:hAnsi="宋体" w:eastAsia="宋体" w:cs="宋体"/>
          <w:spacing w:val="2"/>
          <w:sz w:val="24"/>
          <w:szCs w:val="24"/>
          <w:highlight w:val="none"/>
          <w:lang w:val="en-US" w:eastAsia="zh-CN"/>
        </w:rPr>
        <w:t>书面</w:t>
      </w:r>
      <w:r>
        <w:rPr>
          <w:rFonts w:hint="eastAsia" w:ascii="宋体" w:hAnsi="宋体" w:eastAsia="宋体" w:cs="宋体"/>
          <w:spacing w:val="2"/>
          <w:sz w:val="24"/>
          <w:szCs w:val="24"/>
          <w:highlight w:val="none"/>
        </w:rPr>
        <w:t>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人提交情况说明。除上述情形外，</w:t>
      </w:r>
      <w:r>
        <w:rPr>
          <w:rFonts w:hint="eastAsia" w:ascii="宋体" w:hAnsi="宋体" w:eastAsia="宋体" w:cs="宋体"/>
          <w:spacing w:val="-2"/>
          <w:sz w:val="24"/>
          <w:szCs w:val="24"/>
          <w:highlight w:val="none"/>
        </w:rPr>
        <w:t>评审小组</w:t>
      </w:r>
      <w:r>
        <w:rPr>
          <w:rFonts w:hint="eastAsia" w:ascii="宋体" w:hAnsi="宋体" w:eastAsia="宋体" w:cs="宋体"/>
          <w:spacing w:val="1"/>
          <w:sz w:val="24"/>
          <w:szCs w:val="24"/>
          <w:highlight w:val="none"/>
        </w:rPr>
        <w:t>不</w:t>
      </w:r>
      <w:r>
        <w:rPr>
          <w:rFonts w:hint="eastAsia" w:ascii="宋体" w:hAnsi="宋体" w:eastAsia="宋体" w:cs="宋体"/>
          <w:spacing w:val="2"/>
          <w:sz w:val="24"/>
          <w:szCs w:val="24"/>
          <w:highlight w:val="none"/>
        </w:rPr>
        <w:t>得以</w:t>
      </w:r>
      <w:r>
        <w:rPr>
          <w:rFonts w:hint="eastAsia" w:ascii="宋体" w:hAnsi="宋体" w:eastAsia="宋体" w:cs="宋体"/>
          <w:spacing w:val="1"/>
          <w:sz w:val="24"/>
          <w:szCs w:val="24"/>
          <w:highlight w:val="none"/>
        </w:rPr>
        <w:t>任何方式和理由停止评审。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5.4.2</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符合性审查</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文件的实质性要求，对符合资格的响应文件进行审查，以确定其是否满足本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。本项目符合</w:t>
      </w:r>
      <w:r>
        <w:rPr>
          <w:rFonts w:hint="eastAsia" w:ascii="宋体" w:hAnsi="宋体" w:eastAsia="宋体" w:cs="宋体"/>
          <w:spacing w:val="1"/>
          <w:sz w:val="24"/>
          <w:szCs w:val="24"/>
          <w:highlight w:val="none"/>
        </w:rPr>
        <w:t>性审查事项，必须以本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在符合性审查过程中，如果出现</w:t>
      </w:r>
      <w:r>
        <w:rPr>
          <w:rFonts w:hint="eastAsia" w:ascii="宋体" w:hAnsi="宋体" w:eastAsia="宋体" w:cs="宋体"/>
          <w:spacing w:val="-2"/>
          <w:sz w:val="24"/>
          <w:szCs w:val="24"/>
          <w:highlight w:val="none"/>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符合性审查标准见</w:t>
      </w:r>
      <w:r>
        <w:rPr>
          <w:rFonts w:hint="eastAsia" w:ascii="宋体" w:hAnsi="宋体" w:eastAsia="宋体" w:cs="宋体"/>
          <w:spacing w:val="1"/>
          <w:sz w:val="24"/>
          <w:szCs w:val="24"/>
          <w:highlight w:val="none"/>
        </w:rPr>
        <w:t>下表(按以下顺序审查)：</w:t>
      </w:r>
    </w:p>
    <w:tbl>
      <w:tblPr>
        <w:tblStyle w:val="16"/>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46"/>
        <w:gridCol w:w="2842"/>
        <w:gridCol w:w="605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序</w:t>
            </w:r>
            <w:r>
              <w:rPr>
                <w:rFonts w:hint="eastAsia" w:ascii="宋体" w:hAnsi="宋体" w:eastAsia="宋体" w:cs="宋体"/>
                <w:spacing w:val="3"/>
                <w:sz w:val="24"/>
                <w:szCs w:val="24"/>
                <w:highlight w:val="none"/>
              </w:rPr>
              <w:t>号</w:t>
            </w:r>
          </w:p>
        </w:tc>
        <w:tc>
          <w:tcPr>
            <w:tcW w:w="284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评</w:t>
            </w:r>
            <w:r>
              <w:rPr>
                <w:rFonts w:hint="eastAsia" w:ascii="宋体" w:hAnsi="宋体" w:eastAsia="宋体" w:cs="宋体"/>
                <w:spacing w:val="11"/>
                <w:sz w:val="24"/>
                <w:szCs w:val="24"/>
                <w:highlight w:val="none"/>
              </w:rPr>
              <w:t>审点要求概况</w:t>
            </w:r>
          </w:p>
        </w:tc>
        <w:tc>
          <w:tcPr>
            <w:tcW w:w="605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评</w:t>
            </w:r>
            <w:r>
              <w:rPr>
                <w:rFonts w:hint="eastAsia" w:ascii="宋体" w:hAnsi="宋体" w:eastAsia="宋体" w:cs="宋体"/>
                <w:spacing w:val="11"/>
                <w:sz w:val="24"/>
                <w:szCs w:val="24"/>
                <w:highlight w:val="none"/>
              </w:rPr>
              <w:t>审点具体描述</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84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响</w:t>
            </w:r>
            <w:r>
              <w:rPr>
                <w:rFonts w:hint="eastAsia" w:ascii="宋体" w:hAnsi="宋体" w:eastAsia="宋体" w:cs="宋体"/>
                <w:spacing w:val="-1"/>
                <w:sz w:val="24"/>
                <w:szCs w:val="24"/>
                <w:highlight w:val="none"/>
              </w:rPr>
              <w:t>应文件封面</w:t>
            </w:r>
          </w:p>
        </w:tc>
        <w:tc>
          <w:tcPr>
            <w:tcW w:w="605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响</w:t>
            </w:r>
            <w:r>
              <w:rPr>
                <w:rFonts w:hint="eastAsia" w:ascii="宋体" w:hAnsi="宋体" w:eastAsia="宋体" w:cs="宋体"/>
                <w:spacing w:val="-1"/>
                <w:sz w:val="24"/>
                <w:szCs w:val="24"/>
                <w:highlight w:val="none"/>
              </w:rPr>
              <w:t>应文件封面</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84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z w:val="24"/>
                <w:szCs w:val="24"/>
                <w:highlight w:val="none"/>
              </w:rPr>
              <w:t>要求</w:t>
            </w:r>
          </w:p>
        </w:tc>
        <w:tc>
          <w:tcPr>
            <w:tcW w:w="605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对“</w:t>
            </w: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84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商</w:t>
            </w:r>
            <w:r>
              <w:rPr>
                <w:rFonts w:hint="eastAsia" w:ascii="宋体" w:hAnsi="宋体" w:eastAsia="宋体" w:cs="宋体"/>
                <w:spacing w:val="-1"/>
                <w:sz w:val="24"/>
                <w:szCs w:val="24"/>
                <w:highlight w:val="none"/>
              </w:rPr>
              <w:t>务</w:t>
            </w:r>
            <w:r>
              <w:rPr>
                <w:rFonts w:hint="eastAsia" w:ascii="宋体" w:hAnsi="宋体" w:eastAsia="宋体" w:cs="宋体"/>
                <w:spacing w:val="-1"/>
                <w:sz w:val="24"/>
                <w:szCs w:val="24"/>
                <w:highlight w:val="none"/>
                <w:lang w:val="en-US" w:eastAsia="zh-CN"/>
              </w:rPr>
              <w:t>部分</w:t>
            </w:r>
            <w:r>
              <w:rPr>
                <w:rFonts w:hint="eastAsia" w:ascii="宋体" w:hAnsi="宋体" w:eastAsia="宋体" w:cs="宋体"/>
                <w:spacing w:val="-1"/>
                <w:sz w:val="24"/>
                <w:szCs w:val="24"/>
                <w:highlight w:val="none"/>
              </w:rPr>
              <w:t>要求</w:t>
            </w:r>
          </w:p>
        </w:tc>
        <w:tc>
          <w:tcPr>
            <w:tcW w:w="605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10" w:firstLine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4"/>
                <w:sz w:val="24"/>
                <w:szCs w:val="24"/>
                <w:highlight w:val="none"/>
              </w:rPr>
              <w:t>对“商务</w:t>
            </w:r>
            <w:r>
              <w:rPr>
                <w:rFonts w:hint="eastAsia" w:ascii="宋体" w:hAnsi="宋体" w:eastAsia="宋体" w:cs="宋体"/>
                <w:spacing w:val="4"/>
                <w:sz w:val="24"/>
                <w:szCs w:val="24"/>
                <w:highlight w:val="none"/>
                <w:lang w:val="en-US" w:eastAsia="zh-CN"/>
              </w:rPr>
              <w:t>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highlight w:val="none"/>
        </w:rPr>
      </w:pPr>
      <w:r>
        <w:rPr>
          <w:rFonts w:hint="eastAsia" w:ascii="宋体" w:hAnsi="宋体" w:eastAsia="宋体" w:cs="宋体"/>
          <w:sz w:val="24"/>
          <w:szCs w:val="24"/>
          <w:highlight w:val="none"/>
        </w:rPr>
        <w:t>以上实质性要求全部响应并满足采购需求的，则通过符合性审查；如有任意一项结论未响应或不满足采购需求的，则按无效响应文件处理。如果</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认为供应商有任意一项不通过的，应在评审报告中载明不通过的具体原因。</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5.4.3</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解释、澄清有关问题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一、评审过程中，</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认为</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文件有关事项表述不明确或需要说明的，可以提请</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人做出解释。</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人的解释不得改变</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文件的原义或者影响公平、公正，解释事项如果涉及供应商权益的以有利于供应商的原则进行解释。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二、对响应文件中含义不明确、同类问题表述不一致或者有明显文字和计算错误的内容，</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应当要求供应商作出必要的澄清、说明或更正，并给予供应商必要的反馈时间。供应商应当按</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三、供应商的澄清、说明或者更正应当不超出响应文件的范围、不实质性改变响应文件的内容、不影响供应商的公平竞争、不导致响应文件从不响应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文件变为响应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文件的条件。下列内容不得澄清：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(一)供应商响应文件中不响应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文件规定的技术参数指标和商务应答；</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(二)供应商响应文件中未提供的证明其是否符合</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文件资格性、符合性规定要求的相关材料。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(三)供应商响应文件中的材料因印刷、影印等不清晰而难以辨认的。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四、对不同语言文本响应文件的解释发生异议的，以中文文本为准。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人宣布评审结束之前，供应商应及时响应</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发出的澄清、说明或补正要求。供应商未能及时响应的，自行承担不利后果。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应当积极履行澄清、说明或者更正的职责，不得滥用权力。</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5.4.4</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比较与评价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文件中规定的评审细则及标准，对符合性审查合格的响应文件进行商务和技术评估，综合比较和评价。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5.4.5</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确定入围供应商名单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对满足采购需求的供应进行综合评分，按照评分从高到低排序，根据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文件规定的淘汰率或者入围供应商数量上限，确定入围供应商。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5.4.6</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编写评审报告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评审报告是</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根据全体评审成员签</w:t>
      </w:r>
      <w:r>
        <w:rPr>
          <w:rFonts w:hint="eastAsia" w:ascii="宋体" w:hAnsi="宋体" w:eastAsia="宋体" w:cs="宋体"/>
          <w:sz w:val="24"/>
          <w:szCs w:val="24"/>
          <w:highlight w:val="none"/>
          <w:lang w:val="en-US" w:eastAsia="zh-CN"/>
        </w:rPr>
        <w:t>名</w:t>
      </w:r>
      <w:r>
        <w:rPr>
          <w:rFonts w:hint="eastAsia" w:ascii="宋体" w:hAnsi="宋体" w:eastAsia="宋体" w:cs="宋体"/>
          <w:sz w:val="24"/>
          <w:szCs w:val="24"/>
          <w:highlight w:val="none"/>
        </w:rPr>
        <w:t>的评审记录和评审结果编写的报告，其主要内容包括：</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公告刊登的媒体名称、开启日期和地点；</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二、响应供应商名单和评审小组成员名单；</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三、评审方法和标准；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四、开启记录和评审情况及说明，包括响应无效供应商名单及原因；</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五、评审结果，确定的入围供应商名单；</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六、其他需要说明的情况，包括评审过程中供应商根据评审小组要求进行的澄清、说明或者补正，评审小组成员的更换等。</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成员应当在评审报告中签名确认，对评审过程和结果有不同意见的，应当在评审报告中写明并说明理由。签字但未写明不同意见或者未说明理由的，视同无意见。拒不签名又未另行书面说明其不同意见和理由的，视同同意评审结果。</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3" w:name="_Toc17115"/>
      <w:bookmarkStart w:id="84" w:name="_Toc26296"/>
      <w:r>
        <w:rPr>
          <w:rFonts w:hint="eastAsia" w:ascii="宋体" w:hAnsi="宋体" w:eastAsia="宋体" w:cs="宋体"/>
          <w:b/>
          <w:sz w:val="24"/>
          <w:szCs w:val="24"/>
          <w:highlight w:val="none"/>
        </w:rPr>
        <w:t>5.5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评审争议处理规则</w:t>
      </w:r>
      <w:bookmarkEnd w:id="83"/>
      <w:bookmarkEnd w:id="84"/>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评审小组在评审过程中，对于符合性审查、对响应文件做无效响应处理及其他需要共同认定的事项存在争议的，应当以全体一致的原则做出结论，但不得违背法律法规和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文件规定。持不同意见的评审小组成员应当在评审报告上签署不同意见及理由，否则视为同意评审报告。持不同意见的评审小组成员认为认定过程和结果不符合法律法规或者</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文件规定的，应当及时向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人书面反映。</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5" w:name="_Toc7497"/>
      <w:bookmarkStart w:id="86" w:name="_Toc12787"/>
      <w:r>
        <w:rPr>
          <w:rFonts w:hint="eastAsia" w:ascii="宋体" w:hAnsi="宋体" w:eastAsia="宋体" w:cs="宋体"/>
          <w:b/>
          <w:sz w:val="24"/>
          <w:szCs w:val="24"/>
          <w:highlight w:val="none"/>
        </w:rPr>
        <w:t>5.6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评审细则及标准</w:t>
      </w:r>
      <w:bookmarkEnd w:id="85"/>
      <w:bookmarkEnd w:id="86"/>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一、评审小组只对通过资格性、符合性审查的响应文件，根据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文件的要求采用相同的评审程序、评审标准/评分办法进行评价和比较。</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二、评审小组成员应依据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文件规定的评审标准/评分办法独立评审。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lang w:eastAsia="zh-CN"/>
        </w:rPr>
      </w:pPr>
      <w:r>
        <w:rPr>
          <w:rFonts w:hint="eastAsia" w:ascii="宋体" w:hAnsi="宋体" w:eastAsia="宋体" w:cs="宋体"/>
          <w:b/>
          <w:bCs/>
          <w:spacing w:val="12"/>
          <w:sz w:val="24"/>
          <w:szCs w:val="24"/>
          <w:highlight w:val="none"/>
        </w:rPr>
        <w:t>5.</w:t>
      </w:r>
      <w:r>
        <w:rPr>
          <w:rFonts w:hint="eastAsia" w:ascii="宋体" w:hAnsi="宋体" w:eastAsia="宋体" w:cs="宋体"/>
          <w:b/>
          <w:bCs/>
          <w:spacing w:val="12"/>
          <w:sz w:val="24"/>
          <w:szCs w:val="24"/>
          <w:highlight w:val="none"/>
          <w:lang w:val="en-US" w:eastAsia="zh-CN"/>
        </w:rPr>
        <w:t>6.3.</w:t>
      </w:r>
      <w:r>
        <w:rPr>
          <w:rFonts w:hint="eastAsia" w:ascii="宋体" w:hAnsi="宋体" w:eastAsia="宋体" w:cs="宋体"/>
          <w:b/>
          <w:bCs/>
          <w:spacing w:val="12"/>
          <w:sz w:val="24"/>
          <w:szCs w:val="24"/>
          <w:highlight w:val="none"/>
        </w:rPr>
        <w:t>评分标准</w:t>
      </w:r>
    </w:p>
    <w:p>
      <w:pPr>
        <w:pStyle w:val="7"/>
        <w:ind w:firstLine="265" w:firstLineChars="100"/>
        <w:rPr>
          <w:rFonts w:hint="eastAsia" w:ascii="宋体" w:hAnsi="宋体" w:eastAsia="宋体" w:cs="宋体"/>
          <w:b/>
          <w:bCs/>
          <w:spacing w:val="12"/>
          <w:sz w:val="24"/>
          <w:szCs w:val="24"/>
          <w:highlight w:val="none"/>
          <w:lang w:eastAsia="zh-Hans"/>
        </w:rPr>
      </w:pPr>
      <w:r>
        <w:rPr>
          <w:rFonts w:hint="eastAsia" w:ascii="宋体" w:hAnsi="宋体" w:eastAsia="宋体" w:cs="宋体"/>
          <w:b/>
          <w:bCs/>
          <w:spacing w:val="12"/>
          <w:sz w:val="24"/>
          <w:szCs w:val="24"/>
          <w:highlight w:val="none"/>
          <w:lang w:val="en-US" w:eastAsia="zh-Hans"/>
        </w:rPr>
        <w:t>表一</w:t>
      </w:r>
      <w:r>
        <w:rPr>
          <w:rFonts w:hint="eastAsia" w:ascii="宋体" w:hAnsi="宋体" w:eastAsia="宋体" w:cs="宋体"/>
          <w:b/>
          <w:bCs/>
          <w:spacing w:val="12"/>
          <w:sz w:val="24"/>
          <w:szCs w:val="24"/>
          <w:highlight w:val="none"/>
          <w:lang w:eastAsia="zh-Hans"/>
        </w:rPr>
        <w:t>：</w:t>
      </w:r>
      <w:r>
        <w:rPr>
          <w:rFonts w:hint="eastAsia" w:ascii="宋体" w:hAnsi="宋体" w:eastAsia="宋体" w:cs="宋体"/>
          <w:b/>
          <w:bCs/>
          <w:sz w:val="24"/>
          <w:szCs w:val="24"/>
          <w:highlight w:val="none"/>
        </w:rPr>
        <w:t>评审因素</w:t>
      </w:r>
    </w:p>
    <w:tbl>
      <w:tblPr>
        <w:tblStyle w:val="16"/>
        <w:tblW w:w="9354"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95"/>
        <w:gridCol w:w="1588"/>
        <w:gridCol w:w="6001"/>
        <w:gridCol w:w="77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70" w:hRule="atLeast"/>
          <w:jc w:val="center"/>
        </w:trPr>
        <w:tc>
          <w:tcPr>
            <w:tcW w:w="2583"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6771"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23" w:hRule="atLeast"/>
          <w:jc w:val="center"/>
        </w:trPr>
        <w:tc>
          <w:tcPr>
            <w:tcW w:w="2583"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tc>
        <w:tc>
          <w:tcPr>
            <w:tcW w:w="6771"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技术部分：35</w:t>
            </w:r>
            <w:r>
              <w:rPr>
                <w:rFonts w:hint="eastAsia" w:ascii="宋体" w:hAnsi="宋体" w:eastAsia="宋体" w:cs="宋体"/>
                <w:sz w:val="24"/>
                <w:szCs w:val="24"/>
                <w:highlight w:val="none"/>
              </w:rPr>
              <w:t>.00分</w:t>
            </w:r>
          </w:p>
          <w:p>
            <w:pPr>
              <w:pStyle w:val="7"/>
              <w:rPr>
                <w:rFonts w:hint="eastAsia"/>
                <w:highlight w:val="none"/>
              </w:rPr>
            </w:pPr>
            <w:r>
              <w:rPr>
                <w:rFonts w:hint="eastAsia" w:ascii="宋体" w:hAnsi="宋体" w:eastAsia="宋体" w:cs="宋体"/>
                <w:sz w:val="24"/>
                <w:szCs w:val="24"/>
                <w:highlight w:val="none"/>
                <w:lang w:val="en-US" w:eastAsia="zh-CN"/>
              </w:rPr>
              <w:t>商务部分：65</w:t>
            </w:r>
            <w:r>
              <w:rPr>
                <w:rFonts w:hint="eastAsia" w:ascii="宋体" w:hAnsi="宋体" w:eastAsia="宋体" w:cs="宋体"/>
                <w:sz w:val="24"/>
                <w:szCs w:val="24"/>
                <w:highlight w:val="none"/>
              </w:rPr>
              <w:t>.00分</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w:t>
            </w:r>
          </w:p>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素分类</w:t>
            </w:r>
          </w:p>
        </w:tc>
        <w:tc>
          <w:tcPr>
            <w:tcW w:w="1588"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评审项</w:t>
            </w:r>
            <w:r>
              <w:rPr>
                <w:rFonts w:hint="eastAsia" w:ascii="宋体" w:hAnsi="宋体" w:eastAsia="宋体" w:cs="宋体"/>
                <w:sz w:val="24"/>
                <w:szCs w:val="24"/>
                <w:highlight w:val="none"/>
                <w:lang w:val="en-US" w:eastAsia="zh-CN"/>
              </w:rPr>
              <w:t>目</w:t>
            </w:r>
          </w:p>
        </w:tc>
        <w:tc>
          <w:tcPr>
            <w:tcW w:w="6001"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详细描述</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w:t>
            </w:r>
          </w:p>
        </w:tc>
        <w:tc>
          <w:tcPr>
            <w:tcW w:w="1588" w:type="dxa"/>
            <w:tcBorders>
              <w:tl2br w:val="nil"/>
              <w:tr2bl w:val="nil"/>
            </w:tcBorders>
            <w:noWrap w:val="0"/>
            <w:vAlign w:val="center"/>
          </w:tcPr>
          <w:p>
            <w:pPr>
              <w:keepNext w:val="0"/>
              <w:keepLines w:val="0"/>
              <w:pageBreakBefore w:val="0"/>
              <w:wordWrap/>
              <w:overflowPunct/>
              <w:topLinePunct w:val="0"/>
              <w:bidi w:val="0"/>
              <w:spacing w:line="3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w:t>
            </w:r>
          </w:p>
          <w:p>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对本</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需求内容提供的招标代理工作服务方案（包括但不限于实施规划、工作时间进度表、工作程序和步骤、管理和协调方法、服务便利性保证、开标、评标的服务工作等）进行评价：</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方案合理，内容详细，符合本项目招标代理工作特性的要求，完全满足且优于项目需求的，得35分；</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方案较合理，内容较详细，符合招标代理工作的要求，完全满足项目需求的，得30分；</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方案一般，内容简单，基本符合招标代理工作的要求，基本满足项目需求的，得25分；</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80" w:lineRule="exact"/>
              <w:ind w:left="0" w:leftChars="0" w:right="0" w:rightChars="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以此类推，级差为5分。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注：需提供相关材料并加盖供应商公章，未提供得0分。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商务部分</w:t>
            </w:r>
          </w:p>
        </w:tc>
        <w:tc>
          <w:tcPr>
            <w:tcW w:w="1588" w:type="dxa"/>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val="en-US" w:eastAsia="zh-CN"/>
              </w:rPr>
              <w:t>信誉</w:t>
            </w:r>
          </w:p>
        </w:tc>
        <w:tc>
          <w:tcPr>
            <w:tcW w:w="6001"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承诺2020年1月1日至今未</w:t>
            </w:r>
            <w:r>
              <w:rPr>
                <w:rFonts w:hint="eastAsia" w:ascii="宋体" w:hAnsi="宋体" w:eastAsia="宋体" w:cs="宋体"/>
                <w:sz w:val="24"/>
                <w:szCs w:val="24"/>
                <w:highlight w:val="none"/>
              </w:rPr>
              <w:t>存在违法违规行为被信用</w:t>
            </w:r>
            <w:r>
              <w:rPr>
                <w:rFonts w:hint="eastAsia" w:ascii="宋体" w:hAnsi="宋体" w:eastAsia="宋体" w:cs="宋体"/>
                <w:b w:val="0"/>
                <w:bCs w:val="0"/>
                <w:sz w:val="24"/>
                <w:szCs w:val="24"/>
                <w:highlight w:val="none"/>
              </w:rPr>
              <w:t>中国列入信用名单情形</w:t>
            </w:r>
            <w:r>
              <w:rPr>
                <w:rFonts w:hint="eastAsia" w:ascii="宋体" w:hAnsi="宋体" w:eastAsia="宋体" w:cs="宋体"/>
                <w:b w:val="0"/>
                <w:bCs w:val="0"/>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default"/>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承诺2020年1月1日至今未受过招标监管</w:t>
            </w:r>
            <w:r>
              <w:rPr>
                <w:rFonts w:hint="eastAsia" w:ascii="宋体" w:hAnsi="宋体" w:eastAsia="宋体" w:cs="宋体"/>
                <w:sz w:val="24"/>
                <w:szCs w:val="24"/>
                <w:highlight w:val="none"/>
              </w:rPr>
              <w:t>部门责令整改情形</w:t>
            </w:r>
            <w:r>
              <w:rPr>
                <w:rFonts w:hint="eastAsia" w:ascii="宋体" w:hAnsi="宋体" w:eastAsia="宋体" w:cs="宋体"/>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80" w:firstLineChars="200"/>
              <w:jc w:val="left"/>
              <w:textAlignment w:val="baseline"/>
              <w:rPr>
                <w:rFonts w:hint="eastAsia"/>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承诺2020年1月1日至今未受过招标监管部门行政处罚情形。</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企业人员</w:t>
            </w:r>
          </w:p>
        </w:tc>
        <w:tc>
          <w:tcPr>
            <w:tcW w:w="6001" w:type="dxa"/>
            <w:tcBorders>
              <w:tl2br w:val="nil"/>
              <w:tr2bl w:val="nil"/>
            </w:tcBorders>
            <w:noWrap w:val="0"/>
            <w:vAlign w:val="top"/>
          </w:tcPr>
          <w:p>
            <w:pPr>
              <w:pStyle w:val="17"/>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提供的</w:t>
            </w:r>
            <w:r>
              <w:rPr>
                <w:rFonts w:hint="eastAsia" w:ascii="宋体" w:hAnsi="宋体" w:cs="宋体"/>
                <w:sz w:val="24"/>
                <w:szCs w:val="24"/>
                <w:highlight w:val="none"/>
                <w:lang w:val="en-US" w:eastAsia="zh-CN"/>
              </w:rPr>
              <w:t>服务相对应</w:t>
            </w:r>
            <w:r>
              <w:rPr>
                <w:rFonts w:hint="eastAsia" w:ascii="宋体" w:hAnsi="宋体" w:eastAsia="宋体" w:cs="宋体"/>
                <w:sz w:val="24"/>
                <w:szCs w:val="24"/>
                <w:highlight w:val="none"/>
                <w:lang w:val="en-US" w:eastAsia="zh-CN"/>
              </w:rPr>
              <w:t>专业技术人员</w:t>
            </w:r>
            <w:r>
              <w:rPr>
                <w:rFonts w:hint="eastAsia" w:ascii="宋体" w:hAnsi="宋体" w:eastAsia="宋体" w:cs="宋体"/>
                <w:sz w:val="24"/>
                <w:szCs w:val="24"/>
                <w:highlight w:val="none"/>
              </w:rPr>
              <w:t>资质</w:t>
            </w:r>
            <w:r>
              <w:rPr>
                <w:rFonts w:hint="eastAsia" w:ascii="宋体" w:hAnsi="宋体" w:eastAsia="宋体" w:cs="宋体"/>
                <w:sz w:val="24"/>
                <w:szCs w:val="24"/>
                <w:highlight w:val="none"/>
                <w:lang w:val="en-US" w:eastAsia="zh-CN"/>
              </w:rPr>
              <w:t>情况进行评价</w:t>
            </w:r>
            <w:r>
              <w:rPr>
                <w:rFonts w:hint="eastAsia" w:ascii="宋体" w:hAnsi="宋体" w:cs="宋体"/>
                <w:sz w:val="24"/>
                <w:szCs w:val="24"/>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1.提供的人员配置能完全符合招标代理工作的要求，完全满足项目需求的，得28分；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2.提供的人员配置能较好符合招标代理工作的要求，较好满足项目需求的，得24分；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3.提供的人员配置能一般符合招标代理工作的要求，一般满足项目需求的，得20分；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4.提供的人员配置能基本符合招标代理工作的要求，基本满足项目需求的，得16分。</w:t>
            </w:r>
          </w:p>
          <w:p>
            <w:pPr>
              <w:pStyle w:val="17"/>
              <w:keepNext w:val="0"/>
              <w:keepLines w:val="0"/>
              <w:pageBreakBefore w:val="0"/>
              <w:widowControl w:val="0"/>
              <w:numPr>
                <w:ilvl w:val="0"/>
                <w:numId w:val="0"/>
              </w:numPr>
              <w:kinsoku/>
              <w:wordWrap/>
              <w:overflowPunct/>
              <w:topLinePunct w:val="0"/>
              <w:bidi w:val="0"/>
              <w:spacing w:line="38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注：需</w:t>
            </w:r>
            <w:r>
              <w:rPr>
                <w:rFonts w:hint="eastAsia" w:ascii="宋体" w:hAnsi="宋体" w:cs="宋体"/>
                <w:sz w:val="24"/>
                <w:szCs w:val="24"/>
                <w:highlight w:val="none"/>
                <w:lang w:val="en-US" w:eastAsia="zh-CN"/>
              </w:rPr>
              <w:t>提供</w:t>
            </w:r>
            <w:r>
              <w:rPr>
                <w:rFonts w:hint="eastAsia" w:ascii="宋体" w:hAnsi="宋体" w:eastAsia="宋体" w:cs="宋体"/>
                <w:sz w:val="24"/>
                <w:szCs w:val="24"/>
                <w:highlight w:val="none"/>
                <w:lang w:val="en-US" w:eastAsia="zh-CN"/>
              </w:rPr>
              <w:t>上述人员相关执业或职业资格证明文件复印件加盖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公章，并提供上述人员近6个月内任意1个月的社会保险参保证明复印件加盖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公章。未提供得0分。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tc>
        <w:tc>
          <w:tcPr>
            <w:tcW w:w="6001" w:type="dxa"/>
            <w:tcBorders>
              <w:tl2br w:val="nil"/>
              <w:tr2bl w:val="nil"/>
            </w:tcBorders>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月1日至</w:t>
            </w:r>
            <w:r>
              <w:rPr>
                <w:rFonts w:hint="eastAsia" w:ascii="宋体" w:hAnsi="宋体" w:eastAsia="宋体" w:cs="宋体"/>
                <w:sz w:val="24"/>
                <w:szCs w:val="24"/>
                <w:highlight w:val="none"/>
                <w:lang w:val="en-US" w:eastAsia="zh-CN"/>
              </w:rPr>
              <w:t>今</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val="en-US" w:eastAsia="zh-Hans"/>
              </w:rPr>
              <w:t>的</w:t>
            </w:r>
            <w:r>
              <w:rPr>
                <w:rFonts w:hint="eastAsia" w:ascii="宋体" w:hAnsi="宋体" w:eastAsia="宋体" w:cs="宋体"/>
                <w:sz w:val="24"/>
                <w:szCs w:val="24"/>
                <w:highlight w:val="none"/>
                <w:lang w:val="en-US" w:eastAsia="zh-CN"/>
              </w:rPr>
              <w:t>政府采购类</w:t>
            </w:r>
            <w:r>
              <w:rPr>
                <w:rFonts w:hint="eastAsia" w:ascii="宋体" w:hAnsi="宋体" w:eastAsia="宋体" w:cs="宋体"/>
                <w:sz w:val="24"/>
                <w:szCs w:val="24"/>
                <w:highlight w:val="none"/>
              </w:rPr>
              <w:t>招标代理项目</w:t>
            </w:r>
            <w:r>
              <w:rPr>
                <w:rFonts w:hint="eastAsia" w:ascii="宋体" w:hAnsi="宋体" w:eastAsia="宋体" w:cs="宋体"/>
                <w:sz w:val="24"/>
                <w:szCs w:val="24"/>
                <w:highlight w:val="none"/>
                <w:lang w:val="en-US" w:eastAsia="zh-Hans"/>
              </w:rPr>
              <w:t>业绩</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项业绩</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p>
            <w:pPr>
              <w:pStyle w:val="17"/>
              <w:keepNext w:val="0"/>
              <w:keepLines w:val="0"/>
              <w:pageBreakBefore w:val="0"/>
              <w:widowControl w:val="0"/>
              <w:numPr>
                <w:ilvl w:val="0"/>
                <w:numId w:val="0"/>
              </w:numPr>
              <w:kinsoku/>
              <w:wordWrap/>
              <w:overflowPunct/>
              <w:topLinePunct w:val="0"/>
              <w:bidi w:val="0"/>
              <w:spacing w:line="38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如一个招标项目中分多个标段进行招标的，仅按一项计算。时间以</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招标代理合同签订时间为准，须提供</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招标代理合同关键页</w:t>
            </w:r>
            <w:r>
              <w:rPr>
                <w:rFonts w:hint="eastAsia" w:ascii="宋体" w:hAnsi="宋体" w:cs="宋体"/>
                <w:sz w:val="24"/>
                <w:szCs w:val="24"/>
                <w:highlight w:val="none"/>
                <w:lang w:val="en-US" w:eastAsia="zh-CN"/>
              </w:rPr>
              <w:t>、项目中标（成交）通知书复印件</w:t>
            </w:r>
            <w:r>
              <w:rPr>
                <w:rFonts w:hint="eastAsia" w:ascii="宋体" w:hAnsi="宋体" w:eastAsia="宋体" w:cs="宋体"/>
                <w:sz w:val="24"/>
                <w:szCs w:val="24"/>
                <w:highlight w:val="none"/>
                <w:lang w:val="en-US" w:eastAsia="zh-CN"/>
              </w:rPr>
              <w:t>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公章，不提供不得分。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r>
    </w:tbl>
    <w:p>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说明：1.</w:t>
      </w:r>
      <w:r>
        <w:rPr>
          <w:rFonts w:ascii="宋体" w:hAnsi="宋体" w:eastAsia="宋体" w:cs="宋体"/>
          <w:color w:val="auto"/>
          <w:spacing w:val="-12"/>
          <w:sz w:val="24"/>
          <w:szCs w:val="24"/>
          <w:highlight w:val="none"/>
        </w:rPr>
        <w:t>评分分值计算保留小数点后两位，小数点后第三位“四舍五入”</w:t>
      </w:r>
      <w:r>
        <w:rPr>
          <w:rFonts w:hint="eastAsia" w:ascii="宋体" w:hAnsi="宋体" w:eastAsia="宋体" w:cs="宋体"/>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80" w:lineRule="exact"/>
        <w:ind w:firstLine="960" w:firstLineChars="4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val="zh-CN" w:eastAsia="zh-CN"/>
        </w:rPr>
        <w:t>得分为</w:t>
      </w:r>
      <w:r>
        <w:rPr>
          <w:rFonts w:hint="eastAsia" w:ascii="宋体" w:hAnsi="宋体" w:eastAsia="宋体" w:cs="宋体"/>
          <w:color w:val="auto"/>
          <w:spacing w:val="-1"/>
          <w:sz w:val="24"/>
          <w:szCs w:val="24"/>
          <w:highlight w:val="none"/>
          <w:lang w:val="en-US" w:eastAsia="zh-CN"/>
        </w:rPr>
        <w:t>所有</w:t>
      </w:r>
      <w:r>
        <w:rPr>
          <w:rFonts w:hint="eastAsia" w:ascii="宋体" w:hAnsi="宋体" w:eastAsia="宋体" w:cs="宋体"/>
          <w:sz w:val="24"/>
          <w:szCs w:val="24"/>
          <w:highlight w:val="none"/>
          <w:lang w:val="en-US" w:eastAsia="zh-CN"/>
        </w:rPr>
        <w:t>评审小组成员</w:t>
      </w:r>
      <w:r>
        <w:rPr>
          <w:rFonts w:hint="eastAsia" w:ascii="宋体" w:hAnsi="宋体" w:eastAsia="宋体" w:cs="宋体"/>
          <w:color w:val="auto"/>
          <w:spacing w:val="-1"/>
          <w:sz w:val="24"/>
          <w:szCs w:val="24"/>
          <w:highlight w:val="none"/>
          <w:lang w:val="zh-CN" w:eastAsia="zh-CN"/>
        </w:rPr>
        <w:t>的评分去掉最高分与最低分的算术平均数（</w:t>
      </w:r>
      <w:r>
        <w:rPr>
          <w:rFonts w:ascii="宋体" w:hAnsi="宋体" w:eastAsia="宋体" w:cs="宋体"/>
          <w:color w:val="auto"/>
          <w:spacing w:val="-12"/>
          <w:sz w:val="24"/>
          <w:szCs w:val="24"/>
          <w:highlight w:val="none"/>
        </w:rPr>
        <w:t>分值计算保留小数点后两位，小数点后第三位“四舍五入</w:t>
      </w:r>
      <w:r>
        <w:rPr>
          <w:rFonts w:hint="eastAsia" w:ascii="宋体" w:hAnsi="宋体" w:eastAsia="宋体" w:cs="宋体"/>
          <w:color w:val="auto"/>
          <w:spacing w:val="-1"/>
          <w:sz w:val="24"/>
          <w:szCs w:val="24"/>
          <w:highlight w:val="none"/>
          <w:lang w:val="zh-CN" w:eastAsia="zh-CN"/>
        </w:rPr>
        <w:t>）。</w:t>
      </w:r>
      <w:bookmarkStart w:id="99" w:name="_GoBack"/>
      <w:bookmarkEnd w:id="99"/>
    </w:p>
    <w:p>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sz w:val="21"/>
          <w:highlight w:val="none"/>
        </w:rPr>
      </w:pPr>
      <w:bookmarkStart w:id="87" w:name="_Toc24622"/>
      <w:bookmarkStart w:id="88" w:name="_Toc60"/>
      <w:r>
        <w:rPr>
          <w:rFonts w:hint="eastAsia" w:ascii="宋体" w:hAnsi="宋体" w:eastAsia="宋体" w:cs="宋体"/>
          <w:b/>
          <w:highlight w:val="none"/>
        </w:rPr>
        <w:t>5.7</w:t>
      </w:r>
      <w:r>
        <w:rPr>
          <w:rFonts w:hint="eastAsia" w:ascii="宋体" w:hAnsi="宋体" w:eastAsia="宋体" w:cs="宋体"/>
          <w:b/>
          <w:highlight w:val="none"/>
          <w:lang w:val="en-US" w:eastAsia="zh-CN"/>
        </w:rPr>
        <w:t>.</w:t>
      </w:r>
      <w:r>
        <w:rPr>
          <w:rFonts w:hint="eastAsia" w:ascii="宋体" w:hAnsi="宋体" w:eastAsia="宋体" w:cs="宋体"/>
          <w:b/>
          <w:highlight w:val="none"/>
        </w:rPr>
        <w:t>废标</w:t>
      </w:r>
      <w:bookmarkEnd w:id="87"/>
      <w:bookmarkEnd w:id="88"/>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本次采购活动中，出现下列</w:t>
      </w:r>
      <w:r>
        <w:rPr>
          <w:rFonts w:hint="eastAsia" w:ascii="宋体" w:hAnsi="宋体" w:eastAsia="宋体" w:cs="宋体"/>
          <w:spacing w:val="1"/>
          <w:sz w:val="24"/>
          <w:szCs w:val="24"/>
          <w:highlight w:val="none"/>
        </w:rPr>
        <w:t>情形之一的，予以废标：</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一、对采购文</w:t>
      </w:r>
      <w:r>
        <w:rPr>
          <w:rFonts w:hint="eastAsia" w:ascii="宋体" w:hAnsi="宋体" w:eastAsia="宋体" w:cs="宋体"/>
          <w:spacing w:val="1"/>
          <w:sz w:val="24"/>
          <w:szCs w:val="24"/>
          <w:highlight w:val="none"/>
        </w:rPr>
        <w:t>件作实质响应的供应商不足</w:t>
      </w:r>
      <w:r>
        <w:rPr>
          <w:rFonts w:hint="eastAsia" w:ascii="宋体" w:hAnsi="宋体" w:eastAsia="宋体" w:cs="宋体"/>
          <w:spacing w:val="1"/>
          <w:sz w:val="24"/>
          <w:szCs w:val="24"/>
          <w:highlight w:val="none"/>
          <w:lang w:val="en-US" w:eastAsia="zh-CN"/>
        </w:rPr>
        <w:t>10</w:t>
      </w:r>
      <w:r>
        <w:rPr>
          <w:rFonts w:hint="eastAsia" w:ascii="宋体" w:hAnsi="宋体" w:eastAsia="宋体" w:cs="宋体"/>
          <w:spacing w:val="1"/>
          <w:sz w:val="24"/>
          <w:szCs w:val="24"/>
          <w:highlight w:val="none"/>
        </w:rPr>
        <w:t>家的；</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二、出现影响</w:t>
      </w:r>
      <w:r>
        <w:rPr>
          <w:rFonts w:hint="eastAsia" w:ascii="宋体" w:hAnsi="宋体" w:eastAsia="宋体" w:cs="宋体"/>
          <w:spacing w:val="1"/>
          <w:position w:val="1"/>
          <w:sz w:val="24"/>
          <w:szCs w:val="24"/>
          <w:highlight w:val="none"/>
        </w:rPr>
        <w:t>采购公正的违法、违规行为的；</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三、因重大</w:t>
      </w:r>
      <w:r>
        <w:rPr>
          <w:rFonts w:hint="eastAsia" w:ascii="宋体" w:hAnsi="宋体" w:eastAsia="宋体" w:cs="宋体"/>
          <w:spacing w:val="1"/>
          <w:sz w:val="24"/>
          <w:szCs w:val="24"/>
          <w:highlight w:val="none"/>
        </w:rPr>
        <w:t>变故，采购任务取消的；</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1"/>
          <w:sz w:val="24"/>
          <w:szCs w:val="24"/>
          <w:highlight w:val="none"/>
        </w:rPr>
      </w:pPr>
      <w:r>
        <w:rPr>
          <w:rFonts w:hint="eastAsia" w:ascii="宋体" w:hAnsi="宋体" w:eastAsia="宋体" w:cs="宋体"/>
          <w:spacing w:val="2"/>
          <w:position w:val="1"/>
          <w:sz w:val="24"/>
          <w:szCs w:val="24"/>
          <w:highlight w:val="none"/>
        </w:rPr>
        <w:t>废标后，</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人将在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pacing w:val="2"/>
          <w:position w:val="1"/>
          <w:sz w:val="24"/>
          <w:szCs w:val="24"/>
          <w:highlight w:val="none"/>
        </w:rPr>
        <w:t>发布公告。对于评审过程中废标的</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项目，</w:t>
      </w:r>
      <w:r>
        <w:rPr>
          <w:rFonts w:hint="eastAsia" w:ascii="宋体" w:hAnsi="宋体" w:eastAsia="宋体" w:cs="宋体"/>
          <w:spacing w:val="2"/>
          <w:position w:val="1"/>
          <w:sz w:val="24"/>
          <w:szCs w:val="24"/>
          <w:highlight w:val="none"/>
          <w:lang w:eastAsia="zh-CN"/>
        </w:rPr>
        <w:t>评审小组</w:t>
      </w:r>
      <w:r>
        <w:rPr>
          <w:rFonts w:hint="eastAsia" w:ascii="宋体" w:hAnsi="宋体" w:eastAsia="宋体" w:cs="宋体"/>
          <w:spacing w:val="2"/>
          <w:position w:val="1"/>
          <w:sz w:val="24"/>
          <w:szCs w:val="24"/>
          <w:highlight w:val="none"/>
        </w:rPr>
        <w:t>应当对</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文件是否存在倾向性和歧视性、是否存在不合理条款进行论证，并出具书面论证意见。</w:t>
      </w:r>
    </w:p>
    <w:p>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89" w:name="_Toc30754"/>
      <w:bookmarkStart w:id="90" w:name="_Toc29412"/>
      <w:r>
        <w:rPr>
          <w:rFonts w:hint="eastAsia" w:ascii="宋体" w:hAnsi="宋体" w:eastAsia="宋体" w:cs="宋体"/>
          <w:b/>
          <w:highlight w:val="none"/>
        </w:rPr>
        <w:t>5.8</w:t>
      </w:r>
      <w:r>
        <w:rPr>
          <w:rFonts w:hint="eastAsia" w:ascii="宋体" w:hAnsi="宋体" w:eastAsia="宋体" w:cs="宋体"/>
          <w:b/>
          <w:highlight w:val="none"/>
          <w:lang w:val="en-US" w:eastAsia="zh-CN"/>
        </w:rPr>
        <w:t>.</w:t>
      </w:r>
      <w:r>
        <w:rPr>
          <w:rFonts w:hint="eastAsia" w:ascii="宋体" w:hAnsi="宋体" w:eastAsia="宋体" w:cs="宋体"/>
          <w:b/>
          <w:highlight w:val="none"/>
        </w:rPr>
        <w:t>确认入围供应商名单及结果</w:t>
      </w:r>
      <w:bookmarkEnd w:id="89"/>
      <w:bookmarkEnd w:id="90"/>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编制评审情况，生成评审报告。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人在收到评审报告后5个工作日内，确认入围供应商名单。逾期未确认的，又不能说明合法理由的，视同确认评审报告中入围供应商名单。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三、根据确定的入围供应商结果，</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发布入围结果公告，同时向入围供应商发出入围通知书。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人不解释入围或未入围原因，不退回响应文件和其他响应资料。</w:t>
      </w:r>
    </w:p>
    <w:p>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1" w:name="_Toc20513"/>
      <w:bookmarkStart w:id="92" w:name="_Toc29375"/>
      <w:r>
        <w:rPr>
          <w:rFonts w:hint="eastAsia" w:ascii="宋体" w:hAnsi="宋体" w:eastAsia="宋体" w:cs="宋体"/>
          <w:b/>
          <w:highlight w:val="none"/>
        </w:rPr>
        <w:t>5.9</w:t>
      </w:r>
      <w:r>
        <w:rPr>
          <w:rFonts w:hint="eastAsia" w:ascii="宋体" w:hAnsi="宋体" w:eastAsia="宋体" w:cs="宋体"/>
          <w:b/>
          <w:highlight w:val="none"/>
          <w:lang w:val="en-US" w:eastAsia="zh-CN"/>
        </w:rPr>
        <w:t>.</w:t>
      </w:r>
      <w:r>
        <w:rPr>
          <w:rFonts w:hint="eastAsia" w:ascii="宋体" w:hAnsi="宋体" w:eastAsia="宋体" w:cs="宋体"/>
          <w:b/>
          <w:highlight w:val="none"/>
        </w:rPr>
        <w:t>评审专家在采购活动中承担以下义务</w:t>
      </w:r>
      <w:bookmarkEnd w:id="91"/>
      <w:bookmarkEnd w:id="92"/>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一、遵守评审工作纪律；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二、按照客观、公正、审慎的原则，根据</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文件规定的评审程序、评审方法和评审标准进行独立评审；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三、不得泄露评审文件、评审情况和在评审过程中获悉的商业秘密；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部门报告评审过程中发现的</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人向评审专家做倾向性、误导性的解释或者说明，以及供应商行贿、提供虚假材料或者串通等违法行为；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文件内容违反国家有关强制性规定或者</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文件存在歧义、重大缺陷导致评审工作无法进行时，停止评审并向</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人书面说明情况；</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熟悉和理解</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文件以及评审过程中，发现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文件有下列情形之一的，应当停止评审：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文件的规定存在歧义、重大缺陷的；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文件明显以不合理条件对供应商实行差别待遇或者歧视待遇的；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(三)采购项目属于国家规定的优先、强制采购范围，但是</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文件未依法体现优先、强制采购相关规定的；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(四)采购项目属于政府采购促进中小企业发展的范围，但是</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文件未依法体现促进中小企业发展相关规定的；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文件规定的评审方法是价格优先法或质量优先法之外的评审方法，或者虽然名称为价格优先法、质量优先法，但实际上不符合规定；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文件将供应商的资格条件列为评分因素的；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文件有违反国家其他有关强制性规定的情形。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出现本条规定应当停止评审情形的，</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应当编制评审专家停止评审说明并发送给</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人，并在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发布公告。停止评审说明中应说明停止评审的情形和具体理由。</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1"/>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部门举报在评审过程中受到非法干预的情况；</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七、配合答复处理供应商的询问、质疑和投诉等事项；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八、法律、法规和规章规定的其他义务。</w:t>
      </w:r>
    </w:p>
    <w:p>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3" w:name="_Toc23208"/>
      <w:bookmarkStart w:id="94" w:name="_Toc25408"/>
      <w:r>
        <w:rPr>
          <w:rFonts w:hint="eastAsia" w:ascii="宋体" w:hAnsi="宋体" w:eastAsia="宋体" w:cs="宋体"/>
          <w:b/>
          <w:highlight w:val="none"/>
        </w:rPr>
        <w:t>5.10</w:t>
      </w:r>
      <w:r>
        <w:rPr>
          <w:rFonts w:hint="eastAsia" w:ascii="宋体" w:hAnsi="宋体" w:eastAsia="宋体" w:cs="宋体"/>
          <w:b/>
          <w:highlight w:val="none"/>
          <w:lang w:val="en-US" w:eastAsia="zh-CN"/>
        </w:rPr>
        <w:t>.</w:t>
      </w:r>
      <w:r>
        <w:rPr>
          <w:rFonts w:hint="eastAsia" w:ascii="宋体" w:hAnsi="宋体" w:eastAsia="宋体" w:cs="宋体"/>
          <w:b/>
          <w:highlight w:val="none"/>
        </w:rPr>
        <w:t>评审专家在采购活动中应当遵守以下工作纪律</w:t>
      </w:r>
      <w:bookmarkEnd w:id="93"/>
      <w:bookmarkEnd w:id="94"/>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一、遵行《中华人民共和国政府采购法》第十二条、《中华人民共和国政府采购法实施条例》第九条和《政府</w:t>
      </w:r>
      <w:r>
        <w:rPr>
          <w:rFonts w:hint="eastAsia" w:ascii="宋体" w:hAnsi="宋体" w:eastAsia="宋体" w:cs="宋体"/>
          <w:sz w:val="24"/>
          <w:szCs w:val="24"/>
          <w:highlight w:val="none"/>
        </w:rPr>
        <w:t>采购评审专</w:t>
      </w:r>
      <w:r>
        <w:rPr>
          <w:rFonts w:hint="eastAsia" w:ascii="宋体" w:hAnsi="宋体" w:eastAsia="宋体" w:cs="宋体"/>
          <w:spacing w:val="2"/>
          <w:sz w:val="24"/>
          <w:szCs w:val="24"/>
          <w:highlight w:val="none"/>
        </w:rPr>
        <w:t>家管理办法》第十六条</w:t>
      </w:r>
      <w:r>
        <w:rPr>
          <w:rFonts w:hint="eastAsia" w:ascii="宋体" w:hAnsi="宋体" w:eastAsia="宋体" w:cs="宋体"/>
          <w:spacing w:val="1"/>
          <w:sz w:val="24"/>
          <w:szCs w:val="24"/>
          <w:highlight w:val="none"/>
        </w:rPr>
        <w:t>及财政部关于回避的规定。</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二、评审前，应当将通讯工具或者相关电子设备</w:t>
      </w:r>
      <w:r>
        <w:rPr>
          <w:rFonts w:hint="eastAsia" w:ascii="宋体" w:hAnsi="宋体" w:eastAsia="宋体" w:cs="宋体"/>
          <w:spacing w:val="1"/>
          <w:position w:val="1"/>
          <w:sz w:val="24"/>
          <w:szCs w:val="24"/>
          <w:highlight w:val="none"/>
        </w:rPr>
        <w:t>交由采购组织单位统一保管。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三、评审过程中，不得与外界联系，因发生不可预见情况，确实需要与外界联系的，</w:t>
      </w:r>
      <w:r>
        <w:rPr>
          <w:rFonts w:hint="eastAsia" w:ascii="宋体" w:hAnsi="宋体" w:eastAsia="宋体" w:cs="宋体"/>
          <w:sz w:val="24"/>
          <w:szCs w:val="24"/>
          <w:highlight w:val="none"/>
        </w:rPr>
        <w:t>应当在工作人员监督之下办理。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四、评审过</w:t>
      </w:r>
      <w:r>
        <w:rPr>
          <w:rFonts w:hint="eastAsia" w:ascii="宋体" w:hAnsi="宋体" w:eastAsia="宋体" w:cs="宋体"/>
          <w:spacing w:val="-1"/>
          <w:sz w:val="24"/>
          <w:szCs w:val="24"/>
          <w:highlight w:val="none"/>
        </w:rPr>
        <w:t>程中，不得干预或者影响正常评审工作，不得发表倾向性、引导性意见，不得修改或细化采购文件确定的评</w:t>
      </w:r>
      <w:r>
        <w:rPr>
          <w:rFonts w:hint="eastAsia" w:ascii="宋体" w:hAnsi="宋体" w:eastAsia="宋体" w:cs="宋体"/>
          <w:spacing w:val="2"/>
          <w:sz w:val="24"/>
          <w:szCs w:val="24"/>
          <w:highlight w:val="none"/>
        </w:rPr>
        <w:t>审程序、评审方法、评审因素和评审标准，不得接受供应商主动提出的澄清和解释，不得</w:t>
      </w:r>
      <w:r>
        <w:rPr>
          <w:rFonts w:hint="eastAsia" w:ascii="宋体" w:hAnsi="宋体" w:eastAsia="宋体" w:cs="宋体"/>
          <w:spacing w:val="1"/>
          <w:sz w:val="24"/>
          <w:szCs w:val="24"/>
          <w:highlight w:val="none"/>
        </w:rPr>
        <w:t>征询</w:t>
      </w:r>
      <w:r>
        <w:rPr>
          <w:rFonts w:hint="eastAsia" w:ascii="宋体" w:hAnsi="宋体" w:eastAsia="宋体" w:cs="宋体"/>
          <w:spacing w:val="-1"/>
          <w:sz w:val="24"/>
          <w:szCs w:val="24"/>
          <w:highlight w:val="none"/>
        </w:rPr>
        <w:t>采购</w:t>
      </w:r>
      <w:r>
        <w:rPr>
          <w:rFonts w:hint="eastAsia" w:ascii="宋体" w:hAnsi="宋体" w:eastAsia="宋体" w:cs="宋体"/>
          <w:spacing w:val="1"/>
          <w:sz w:val="24"/>
          <w:szCs w:val="24"/>
          <w:highlight w:val="none"/>
        </w:rPr>
        <w:t>人代表的意见，不得协商评</w:t>
      </w:r>
      <w:r>
        <w:rPr>
          <w:rFonts w:hint="eastAsia" w:ascii="宋体" w:hAnsi="宋体" w:eastAsia="宋体" w:cs="宋体"/>
          <w:spacing w:val="2"/>
          <w:sz w:val="24"/>
          <w:szCs w:val="24"/>
          <w:highlight w:val="none"/>
        </w:rPr>
        <w:t>审，不得违反规定的评审格式评分和撰写评审意</w:t>
      </w:r>
      <w:r>
        <w:rPr>
          <w:rFonts w:hint="eastAsia" w:ascii="宋体" w:hAnsi="宋体" w:eastAsia="宋体" w:cs="宋体"/>
          <w:spacing w:val="1"/>
          <w:sz w:val="24"/>
          <w:szCs w:val="24"/>
          <w:highlight w:val="none"/>
        </w:rPr>
        <w:t>见，不得拒绝对自己的评审意见签字确认。</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五、在评审过程中和评审结束后，不得记录、复制或带走任何评审资料，</w:t>
      </w:r>
      <w:r>
        <w:rPr>
          <w:rFonts w:hint="eastAsia" w:ascii="宋体" w:hAnsi="宋体" w:eastAsia="宋体" w:cs="宋体"/>
          <w:spacing w:val="1"/>
          <w:sz w:val="24"/>
          <w:szCs w:val="24"/>
          <w:highlight w:val="none"/>
        </w:rPr>
        <w:t>不得向外界透露评审内容。</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六、遵守有关廉洁自律规定，不得私下接触供应商，不得收受供应商及有关业务单位和个人的财物或好处，不得</w:t>
      </w:r>
      <w:r>
        <w:rPr>
          <w:rFonts w:hint="eastAsia" w:ascii="宋体" w:hAnsi="宋体" w:eastAsia="宋体" w:cs="宋体"/>
          <w:sz w:val="24"/>
          <w:szCs w:val="24"/>
          <w:highlight w:val="none"/>
        </w:rPr>
        <w:t>接受采购</w:t>
      </w:r>
      <w:r>
        <w:rPr>
          <w:rFonts w:hint="eastAsia" w:ascii="宋体" w:hAnsi="宋体" w:eastAsia="宋体" w:cs="宋体"/>
          <w:spacing w:val="1"/>
          <w:sz w:val="24"/>
          <w:szCs w:val="24"/>
          <w:highlight w:val="none"/>
        </w:rPr>
        <w:t>组织单</w:t>
      </w:r>
      <w:r>
        <w:rPr>
          <w:rFonts w:hint="eastAsia" w:ascii="宋体" w:hAnsi="宋体" w:eastAsia="宋体" w:cs="宋体"/>
          <w:sz w:val="24"/>
          <w:szCs w:val="24"/>
          <w:highlight w:val="none"/>
        </w:rPr>
        <w:t>位的请托。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sectPr>
          <w:headerReference r:id="rId7" w:type="default"/>
          <w:footerReference r:id="rId8"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pPr>
        <w:pStyle w:val="2"/>
        <w:bidi w:val="0"/>
        <w:rPr>
          <w:rFonts w:hint="eastAsia" w:ascii="宋体" w:hAnsi="宋体" w:eastAsia="宋体" w:cs="宋体"/>
          <w:sz w:val="21"/>
          <w:highlight w:val="none"/>
        </w:rPr>
      </w:pPr>
      <w:bookmarkStart w:id="95" w:name="_Toc2555"/>
      <w:bookmarkStart w:id="96" w:name="_Toc32305"/>
      <w:r>
        <w:rPr>
          <w:rFonts w:hint="eastAsia" w:ascii="宋体" w:hAnsi="宋体" w:eastAsia="宋体" w:cs="宋体"/>
          <w:b/>
          <w:highlight w:val="none"/>
        </w:rPr>
        <w:t xml:space="preserve">第六章 </w:t>
      </w:r>
      <w:r>
        <w:rPr>
          <w:rFonts w:hint="eastAsia" w:ascii="宋体" w:hAnsi="宋体" w:eastAsia="宋体" w:cs="宋体"/>
          <w:b/>
          <w:highlight w:val="none"/>
          <w:lang w:val="en-US" w:eastAsia="zh-CN"/>
        </w:rPr>
        <w:t>批量采购</w:t>
      </w:r>
      <w:r>
        <w:rPr>
          <w:rFonts w:hint="eastAsia" w:ascii="宋体" w:hAnsi="宋体" w:eastAsia="宋体" w:cs="宋体"/>
          <w:b/>
          <w:highlight w:val="none"/>
        </w:rPr>
        <w:t>协议、合同文本</w:t>
      </w:r>
      <w:bookmarkEnd w:id="95"/>
      <w:bookmarkEnd w:id="96"/>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{单位名称}{项目名称}</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pacing w:val="1"/>
          <w:sz w:val="24"/>
          <w:szCs w:val="24"/>
          <w:highlight w:val="none"/>
        </w:rPr>
        <w:t>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协议编号：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一、协议方基础信息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人(甲方)：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入围供应商(乙方)：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二、采购项目信息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采购项目编号：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三、采购需求和最高限价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1.标的名称：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2.服务内容：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3.服务要求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(1)服务交付或者实施的地域范围：</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(2)服务期限：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(3)考核(验收)标准和方法：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(4)违约责任：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四、入围服务内容、服务标准，协议价格</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(一)入围服务内容：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(二)入围服务标准：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(三)协议价格：</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五、第二阶段</w:t>
      </w:r>
      <w:r>
        <w:rPr>
          <w:rFonts w:hint="eastAsia" w:ascii="宋体" w:hAnsi="宋体" w:eastAsia="宋体" w:cs="宋体"/>
          <w:sz w:val="24"/>
          <w:szCs w:val="24"/>
          <w:highlight w:val="none"/>
          <w:lang w:eastAsia="zh-CN"/>
        </w:rPr>
        <w:t>入围供应商</w:t>
      </w:r>
      <w:r>
        <w:rPr>
          <w:rFonts w:hint="eastAsia" w:ascii="宋体" w:hAnsi="宋体" w:eastAsia="宋体" w:cs="宋体"/>
          <w:sz w:val="24"/>
          <w:szCs w:val="24"/>
          <w:highlight w:val="none"/>
        </w:rPr>
        <w:t>的方式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次竞价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六、适用</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协议的采购人，以及履行合同的地域范围</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1.适用</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协议的采购人：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2.本</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协议适用于以下行政区域的采购人：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3.履行合同的地域范围描述：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七、资金支付方式、时间和条件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1.支付方式：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2.支付时间和条件：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八、采购合同文本</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根据第二阶段成交方式展示合同文本</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协议期限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本协议有效期为自</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协议签订之日起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月/年。</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十、入围供应商清退和补充规则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1.入围供应商清退规则：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入围供应商有下列情形之一，尚未签订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协议的，取消其入围资格；已经签订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协议的，解除与其签订的</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1)恶意串通谋取入围或者合同成交的；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2)提供虚假材料谋取入围或者合同成交的；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3)无正当理由拒不接受合同授予的；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4)不履行合同义务或者履行合同义务不符合约定，经采购人请求履行后仍不履行或者仍未按约定履行的；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协议有效期内，被禁止或限制参加政府采购活动的；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协议约定的其他情形；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被取消入围资格或者被解除</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协议的供应商不得参加同一</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协议补充征。</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2.入围供应商补充规则：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是否允许补充供应商：是/否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协议有效期内，当剩余入围供应商不足入围供应商总数70%且影响</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协议执行时，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人将启动补充供应商。补充的条件、程序、评审方法和淘汰比例与初次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相同。有效期遵守原</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协议的有效期。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十一、协议方的权利和义务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人的权利和义务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1.为本协议第二阶段合同授予提供工作便利；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2.对本协议第二阶段最高限价和需求标准执行情况进行管理；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3.对本协议第二阶段确定</w:t>
      </w:r>
      <w:r>
        <w:rPr>
          <w:rFonts w:hint="eastAsia" w:ascii="宋体" w:hAnsi="宋体" w:eastAsia="宋体" w:cs="宋体"/>
          <w:sz w:val="24"/>
          <w:szCs w:val="24"/>
          <w:highlight w:val="none"/>
          <w:lang w:eastAsia="zh-CN"/>
        </w:rPr>
        <w:t>入围供应商</w:t>
      </w:r>
      <w:r>
        <w:rPr>
          <w:rFonts w:hint="eastAsia" w:ascii="宋体" w:hAnsi="宋体" w:eastAsia="宋体" w:cs="宋体"/>
          <w:sz w:val="24"/>
          <w:szCs w:val="24"/>
          <w:highlight w:val="none"/>
        </w:rPr>
        <w:t>情况进行管理；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4.接受服务对象对入围供应商履行</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协议和采购合同情况的反馈与评价，并将服务对象的反馈和评价情况公开，作为第二阶段直接选定</w:t>
      </w:r>
      <w:r>
        <w:rPr>
          <w:rFonts w:hint="eastAsia" w:ascii="宋体" w:hAnsi="宋体" w:eastAsia="宋体" w:cs="宋体"/>
          <w:sz w:val="24"/>
          <w:szCs w:val="24"/>
          <w:highlight w:val="none"/>
          <w:lang w:eastAsia="zh-CN"/>
        </w:rPr>
        <w:t>入围供应商</w:t>
      </w:r>
      <w:r>
        <w:rPr>
          <w:rFonts w:hint="eastAsia" w:ascii="宋体" w:hAnsi="宋体" w:eastAsia="宋体" w:cs="宋体"/>
          <w:sz w:val="24"/>
          <w:szCs w:val="24"/>
          <w:highlight w:val="none"/>
        </w:rPr>
        <w:t>的参考；</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5.公开本协议的第二阶段成交结果；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6.办理入围供应商清退和补充相关事宜；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有权监督、检查、考核委托事项的处理情况，有权向乙方提出合理化建议；对于乙方违反法律、法规、规章或本协议约定的行为，有权要求乙方予以纠正；乙方及其主要负责人等存在因执业行为、违反法律法规受到处理处罚或套取、骗取购买代理记账服务费用等行为的，甲方将及时取消代理记账服务资格，并依法依规追究法律责任；乙方考核不合格的，取消购买代理记账服务资格；</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人只承担按本协议规定及时足额地支付乙方政府购买代理记账服务费用，相对应的法律及连带责任均由入围供应商与服务对象约定。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(二)入围供应商的权利与义务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1.在本协议有效期内，按照本协议约定的入围服务和协议价格向服务对象提供服务；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2.对本协议履行情况和采购合同情况向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人进行反馈与评价；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3.负责服务对象的所有对接工作，对服务对象提交的申请材料进行甄别审核，对审核通过的服务对象名单进行公示，签订《代理记账服务协议书》,服务对象有其他服务需求的，双方自行约定；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4.严格保守服务单位的财务秘密；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5.乙方应当按照本项目第二阶段合同规定向服务对象提供服务，相对应的法律及连带责任均由乙方与服务对象约定；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6.由于乙方自身原因导致出现服务违约违规、合同终止等情况给服务对象造成的不良影响或损失的，由乙方承担相应责任，甲方不承担任何法律责任；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7.积极配合工作，自觉接受甲方对乙方代理记账服务情况的监督、检查和考评；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8.指定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作为业务联系人，办理与甲方相关事宜。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十二、争议解决</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因本协议履行发生争议，双方可协商解决。协商不能一致的，提交甲方住所地人民法院诉讼裁决。</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十三、生效条款</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自双方签字盖章后发生法律效力。</w:t>
      </w:r>
    </w:p>
    <w:p>
      <w:pPr>
        <w:pStyle w:val="5"/>
        <w:rPr>
          <w:rFonts w:hint="eastAsia" w:ascii="宋体" w:hAnsi="宋体" w:eastAsia="宋体" w:cs="宋体"/>
          <w:sz w:val="24"/>
          <w:szCs w:val="24"/>
          <w:highlight w:val="none"/>
        </w:rPr>
      </w:pPr>
    </w:p>
    <w:p>
      <w:pPr>
        <w:pStyle w:val="5"/>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甲方(公章)：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甲方代表：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甲方联系人：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单位地址：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协议签订日期：    年  月  日</w:t>
      </w:r>
    </w:p>
    <w:p>
      <w:pPr>
        <w:pStyle w:val="5"/>
        <w:rPr>
          <w:rFonts w:hint="eastAsia" w:ascii="宋体" w:hAnsi="宋体" w:eastAsia="宋体" w:cs="宋体"/>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乙方(公章)：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乙方代表：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乙方联系人：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单位地址：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协议签订日期：    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sectPr>
          <w:footerReference r:id="rId9"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pPr>
        <w:pStyle w:val="2"/>
        <w:bidi w:val="0"/>
        <w:rPr>
          <w:rFonts w:hint="eastAsia" w:ascii="宋体" w:hAnsi="宋体" w:eastAsia="宋体" w:cs="宋体"/>
          <w:sz w:val="21"/>
          <w:highlight w:val="none"/>
        </w:rPr>
      </w:pPr>
      <w:bookmarkStart w:id="97" w:name="_Toc3253"/>
      <w:bookmarkStart w:id="98" w:name="_Toc8502"/>
      <w:r>
        <w:rPr>
          <w:rFonts w:hint="eastAsia" w:ascii="宋体" w:hAnsi="宋体" w:eastAsia="宋体" w:cs="宋体"/>
          <w:highlight w:val="none"/>
        </w:rPr>
        <w:t>第七章 响应文件格式</w:t>
      </w:r>
      <w:bookmarkEnd w:id="97"/>
      <w:bookmarkEnd w:id="98"/>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详见附件：封面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本项目资格审查要求证明文件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法定代表人证明书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法定代表人授权书（如有）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val="en-US" w:eastAsia="zh-CN"/>
        </w:rPr>
        <w:t>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服务方案内容（格式自拟）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企业信誉承诺（格式自拟）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附件5：企业人员配置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业绩情况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供应商认为需提供的其他资料</w:t>
      </w:r>
    </w:p>
    <w:p>
      <w:pPr>
        <w:pStyle w:val="7"/>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ascii="宋体" w:hAnsi="宋体" w:eastAsia="宋体" w:cs="宋体"/>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rPr>
          <w:rFonts w:hint="eastAsia"/>
          <w:highlight w:val="none"/>
        </w:rPr>
      </w:pP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附件：封面</w:t>
      </w:r>
    </w:p>
    <w:p>
      <w:pPr>
        <w:ind w:left="0" w:leftChars="0" w:firstLine="0" w:firstLineChars="0"/>
        <w:rPr>
          <w:rFonts w:hint="eastAsia" w:ascii="宋体" w:hAnsi="宋体" w:eastAsia="宋体" w:cs="宋体"/>
          <w:bCs/>
          <w:sz w:val="24"/>
          <w:szCs w:val="24"/>
          <w:highlight w:val="none"/>
          <w:lang w:eastAsia="zh-CN"/>
        </w:rPr>
      </w:pPr>
    </w:p>
    <w:p>
      <w:pPr>
        <w:ind w:left="0" w:leftChars="0" w:firstLine="0" w:firstLineChars="0"/>
        <w:jc w:val="center"/>
        <w:rPr>
          <w:rFonts w:hint="eastAsia" w:ascii="宋体" w:hAnsi="宋体" w:eastAsia="宋体" w:cs="宋体"/>
          <w:b/>
          <w:sz w:val="48"/>
          <w:highlight w:val="none"/>
        </w:rPr>
      </w:pPr>
      <w:r>
        <w:rPr>
          <w:rFonts w:hint="eastAsia" w:ascii="宋体" w:hAnsi="宋体" w:eastAsia="宋体" w:cs="宋体"/>
          <w:b/>
          <w:sz w:val="48"/>
          <w:highlight w:val="none"/>
        </w:rPr>
        <w:t>响应性投标文件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sz w:val="21"/>
          <w:szCs w:val="10"/>
          <w:highlight w:val="none"/>
        </w:rPr>
      </w:pPr>
    </w:p>
    <w:p>
      <w:pPr>
        <w:ind w:left="0" w:leftChars="0" w:firstLine="0" w:firstLineChars="0"/>
        <w:jc w:val="center"/>
        <w:rPr>
          <w:rFonts w:hint="eastAsia" w:ascii="宋体" w:hAnsi="宋体" w:eastAsia="宋体" w:cs="宋体"/>
          <w:b/>
          <w:sz w:val="44"/>
          <w:szCs w:val="21"/>
          <w:highlight w:val="none"/>
        </w:rPr>
      </w:pPr>
      <w:r>
        <w:rPr>
          <w:rFonts w:hint="eastAsia" w:ascii="宋体" w:hAnsi="宋体" w:eastAsia="宋体" w:cs="宋体"/>
          <w:b/>
          <w:sz w:val="44"/>
          <w:szCs w:val="21"/>
          <w:highlight w:val="none"/>
        </w:rPr>
        <w:t>（项目名称）</w:t>
      </w:r>
    </w:p>
    <w:p>
      <w:pPr>
        <w:ind w:left="0" w:leftChars="0" w:firstLine="0" w:firstLineChars="0"/>
        <w:jc w:val="center"/>
        <w:rPr>
          <w:rFonts w:hint="eastAsia" w:ascii="宋体" w:hAnsi="宋体" w:eastAsia="宋体" w:cs="宋体"/>
          <w:b/>
          <w:sz w:val="48"/>
          <w:szCs w:val="22"/>
          <w:highlight w:val="none"/>
        </w:rPr>
      </w:pPr>
    </w:p>
    <w:p>
      <w:pPr>
        <w:ind w:left="0" w:leftChars="0" w:firstLine="0" w:firstLineChars="0"/>
        <w:jc w:val="center"/>
        <w:rPr>
          <w:rFonts w:hint="eastAsia" w:ascii="宋体" w:hAnsi="宋体" w:eastAsia="宋体" w:cs="宋体"/>
          <w:sz w:val="32"/>
          <w:szCs w:val="24"/>
          <w:highlight w:val="none"/>
        </w:rPr>
      </w:pPr>
      <w:r>
        <w:rPr>
          <w:rFonts w:hint="eastAsia" w:ascii="宋体" w:hAnsi="宋体" w:eastAsia="宋体" w:cs="宋体"/>
          <w:b/>
          <w:sz w:val="28"/>
          <w:szCs w:val="24"/>
          <w:highlight w:val="none"/>
        </w:rPr>
        <w:t>（正本/副本）</w:t>
      </w:r>
    </w:p>
    <w:p>
      <w:pPr>
        <w:jc w:val="center"/>
        <w:rPr>
          <w:rFonts w:hint="eastAsia" w:ascii="宋体" w:hAnsi="宋体" w:eastAsia="宋体" w:cs="宋体"/>
          <w:sz w:val="40"/>
          <w:szCs w:val="32"/>
          <w:highlight w:val="none"/>
        </w:rPr>
      </w:pPr>
    </w:p>
    <w:p>
      <w:pPr>
        <w:ind w:left="0" w:leftChars="0" w:firstLine="0" w:firstLineChars="0"/>
        <w:jc w:val="center"/>
        <w:rPr>
          <w:rFonts w:hint="eastAsia" w:ascii="宋体" w:hAnsi="宋体" w:eastAsia="宋体" w:cs="宋体"/>
          <w:sz w:val="40"/>
          <w:szCs w:val="32"/>
          <w:highlight w:val="none"/>
        </w:rPr>
      </w:pPr>
    </w:p>
    <w:p>
      <w:pPr>
        <w:ind w:left="0" w:leftChars="0" w:firstLine="0" w:firstLineChars="0"/>
        <w:jc w:val="both"/>
        <w:rPr>
          <w:rFonts w:hint="eastAsia" w:ascii="宋体" w:hAnsi="宋体" w:eastAsia="宋体" w:cs="宋体"/>
          <w:sz w:val="40"/>
          <w:szCs w:val="32"/>
          <w:highlight w:val="none"/>
        </w:rPr>
      </w:pPr>
    </w:p>
    <w:p>
      <w:pPr>
        <w:jc w:val="center"/>
        <w:rPr>
          <w:rFonts w:hint="eastAsia" w:ascii="宋体" w:hAnsi="宋体" w:eastAsia="宋体" w:cs="宋体"/>
          <w:sz w:val="40"/>
          <w:szCs w:val="32"/>
          <w:highlight w:val="none"/>
          <w:lang w:eastAsia="zh-CN"/>
        </w:rPr>
      </w:pPr>
    </w:p>
    <w:p>
      <w:pPr>
        <w:jc w:val="center"/>
        <w:rPr>
          <w:rFonts w:hint="eastAsia" w:ascii="宋体" w:hAnsi="宋体" w:eastAsia="宋体" w:cs="宋体"/>
          <w:sz w:val="40"/>
          <w:szCs w:val="32"/>
          <w:highlight w:val="none"/>
        </w:rPr>
      </w:pPr>
    </w:p>
    <w:p>
      <w:pPr>
        <w:jc w:val="center"/>
        <w:rPr>
          <w:rFonts w:hint="eastAsia" w:ascii="宋体" w:hAnsi="宋体" w:eastAsia="宋体" w:cs="宋体"/>
          <w:sz w:val="40"/>
          <w:szCs w:val="32"/>
          <w:highlight w:val="none"/>
        </w:rPr>
      </w:pPr>
    </w:p>
    <w:p>
      <w:pPr>
        <w:ind w:left="0" w:leftChars="0" w:firstLine="0" w:firstLineChars="0"/>
        <w:jc w:val="both"/>
        <w:rPr>
          <w:rFonts w:hint="eastAsia" w:ascii="宋体" w:hAnsi="宋体" w:eastAsia="宋体" w:cs="宋体"/>
          <w:sz w:val="40"/>
          <w:szCs w:val="32"/>
          <w:highlight w:val="none"/>
        </w:rPr>
      </w:pPr>
    </w:p>
    <w:p>
      <w:pPr>
        <w:ind w:left="0" w:leftChars="0" w:firstLine="0" w:firstLineChars="0"/>
        <w:jc w:val="both"/>
        <w:rPr>
          <w:rFonts w:hint="eastAsia" w:ascii="宋体" w:hAnsi="宋体" w:eastAsia="宋体" w:cs="宋体"/>
          <w:sz w:val="40"/>
          <w:szCs w:val="32"/>
          <w:highlight w:val="none"/>
        </w:rPr>
      </w:pPr>
    </w:p>
    <w:p>
      <w:pPr>
        <w:ind w:left="0" w:leftChars="0" w:firstLine="0" w:firstLineChars="0"/>
        <w:jc w:val="center"/>
        <w:rPr>
          <w:rFonts w:hint="eastAsia" w:ascii="宋体" w:hAnsi="宋体" w:eastAsia="宋体" w:cs="宋体"/>
          <w:sz w:val="36"/>
          <w:szCs w:val="28"/>
          <w:highlight w:val="none"/>
        </w:rPr>
      </w:pPr>
      <w:r>
        <w:rPr>
          <w:rFonts w:hint="eastAsia" w:ascii="宋体" w:hAnsi="宋体" w:eastAsia="宋体" w:cs="宋体"/>
          <w:b/>
          <w:sz w:val="32"/>
          <w:szCs w:val="28"/>
          <w:highlight w:val="none"/>
        </w:rPr>
        <w:t>（供应商名称）</w:t>
      </w:r>
    </w:p>
    <w:p>
      <w:pPr>
        <w:ind w:left="0" w:leftChars="0" w:firstLine="0" w:firstLineChars="0"/>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 xml:space="preserve">年 </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月</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 xml:space="preserve"> 日</w:t>
      </w:r>
    </w:p>
    <w:p>
      <w:pPr>
        <w:rPr>
          <w:rFonts w:hint="eastAsia" w:ascii="宋体" w:hAnsi="宋体" w:eastAsia="宋体" w:cs="宋体"/>
          <w:b/>
          <w:sz w:val="32"/>
          <w:szCs w:val="28"/>
          <w:highlight w:val="none"/>
        </w:rPr>
      </w:pPr>
      <w:r>
        <w:rPr>
          <w:rFonts w:hint="eastAsia" w:ascii="宋体" w:hAnsi="宋体" w:eastAsia="宋体" w:cs="宋体"/>
          <w:b/>
          <w:sz w:val="32"/>
          <w:szCs w:val="28"/>
          <w:highlight w:val="none"/>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1</w:t>
      </w:r>
      <w:r>
        <w:rPr>
          <w:rFonts w:hint="eastAsia" w:ascii="宋体" w:hAnsi="宋体" w:eastAsia="宋体" w:cs="宋体"/>
          <w:b/>
          <w:bCs w:val="0"/>
          <w:sz w:val="28"/>
          <w:szCs w:val="28"/>
          <w:highlight w:val="none"/>
          <w:lang w:val="en-US" w:eastAsia="zh-CN"/>
        </w:rPr>
        <w:t>：响应函</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280" w:firstLineChars="1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致：</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CN"/>
        </w:rPr>
        <w:t>人名称</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我单位作为</w:t>
      </w:r>
      <w:r>
        <w:rPr>
          <w:rFonts w:hint="eastAsia" w:ascii="宋体" w:hAnsi="宋体" w:eastAsia="宋体" w:cs="宋体"/>
          <w:bCs/>
          <w:sz w:val="28"/>
          <w:szCs w:val="28"/>
          <w:highlight w:val="none"/>
          <w:u w:val="single"/>
          <w:lang w:eastAsia="zh-CN"/>
        </w:rPr>
        <w:t>{</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Hans"/>
        </w:rPr>
        <w:t>项目名称</w:t>
      </w:r>
      <w:r>
        <w:rPr>
          <w:rFonts w:hint="eastAsia" w:ascii="宋体" w:hAnsi="宋体" w:eastAsia="宋体" w:cs="宋体"/>
          <w:bCs/>
          <w:sz w:val="28"/>
          <w:szCs w:val="28"/>
          <w:highlight w:val="none"/>
          <w:u w:val="single"/>
          <w:lang w:eastAsia="zh-CN"/>
        </w:rPr>
        <w:t>}</w:t>
      </w:r>
      <w:r>
        <w:rPr>
          <w:rFonts w:hint="eastAsia" w:ascii="宋体" w:hAnsi="宋体" w:eastAsia="宋体" w:cs="宋体"/>
          <w:bCs/>
          <w:sz w:val="28"/>
          <w:szCs w:val="28"/>
          <w:highlight w:val="none"/>
          <w:lang w:eastAsia="zh-CN"/>
        </w:rPr>
        <w:t>的响应供应商，自愿参与本项目</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，充分理解</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公告的要求，在此郑重声明</w:t>
      </w:r>
      <w:r>
        <w:rPr>
          <w:rFonts w:hint="eastAsia" w:ascii="宋体" w:hAnsi="宋体" w:eastAsia="宋体" w:cs="宋体"/>
          <w:bCs/>
          <w:sz w:val="28"/>
          <w:szCs w:val="28"/>
          <w:highlight w:val="none"/>
          <w:lang w:eastAsia="zh-Hans"/>
        </w:rPr>
        <w:t>及承诺</w:t>
      </w:r>
      <w:r>
        <w:rPr>
          <w:rFonts w:hint="eastAsia" w:ascii="宋体" w:hAnsi="宋体" w:eastAsia="宋体" w:cs="宋体"/>
          <w:bCs/>
          <w:sz w:val="28"/>
          <w:szCs w:val="28"/>
          <w:highlight w:val="none"/>
          <w:lang w:eastAsia="zh-CN"/>
        </w:rPr>
        <w:t>：</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我单位具有独立承担民事责任的能力；</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我单位具有良好的商业信誉和健全的财务会计制度；</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我单位具有履行合同所必需的设备和专业技术能力；</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我单位具有依法缴纳税收和社会保障资金的良好记录；</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我单位参加采购活动前三年内，在经营活动中没有重大违法记录；</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我单位符合法律、行政法规规定的其他条件。</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我单位不存在与单位负责人为同一人或者存在直接控股、管理关系的其他供应商参与同一合同项下的采购活动的行为。</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我单位不属于为本采购项目提供整体设计、规范编制或者项目管理、监理、检测等服务的供应商。</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采购人享有本项目实施过程中产生的知识成果及知识产权。如我单位在项目实施过程中采用自有知识成果，我单位承诺提供开发接口和开发手册等技术文档，并提供无限期技术支持，采购人享有永久使用权（含采购人委托第三方在该项目后续开发的使用权）。如我单位在项目实施过程中采用非自有的知识产权，则在报价中已包括合法获取该知识产权的相关费用。</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我单位承诺，响应有效期为提交响应文件截止之日起</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天。</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我单位自愿按照</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公告规定的各项要求向采购人提供所需货物及相应服务。</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我单位完全接受和理解本项目</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公告规定的实质性要求。</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我单位一旦入围，将在约定期限内签订</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协议，并严格履行</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协议规定的责任和义务。</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本响应函发出后，即对我单位产生约束力，我单位保证严格遵守本响应函的各项承诺。如违反上述承诺和国家法律法规和地方规章造成损失，概由我单位承担全部责任。</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我单位对本次提交的响应文件全部内容真实性负责。如经查实上述承诺的内容事项存在虚假，我单位愿意接受以提供虚假材料谋取入围、成交的法律责任。</w:t>
      </w:r>
    </w:p>
    <w:p>
      <w:pPr>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盖</w:t>
      </w:r>
      <w:r>
        <w:rPr>
          <w:rFonts w:hint="eastAsia" w:ascii="宋体" w:hAnsi="宋体" w:eastAsia="宋体" w:cs="宋体"/>
          <w:sz w:val="28"/>
          <w:szCs w:val="28"/>
          <w:highlight w:val="none"/>
        </w:rPr>
        <w:t>章）</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Style w:val="7"/>
        <w:ind w:firstLine="0" w:firstLineChars="0"/>
        <w:rPr>
          <w:rFonts w:hint="eastAsia" w:ascii="宋体" w:hAnsi="宋体" w:eastAsia="宋体" w:cs="宋体"/>
          <w:sz w:val="28"/>
          <w:szCs w:val="28"/>
          <w:highlight w:val="none"/>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w:t>
      </w:r>
      <w:r>
        <w:rPr>
          <w:rFonts w:hint="eastAsia" w:ascii="宋体" w:hAnsi="宋体" w:eastAsia="宋体" w:cs="宋体"/>
          <w:b/>
          <w:bCs w:val="0"/>
          <w:sz w:val="28"/>
          <w:szCs w:val="28"/>
          <w:highlight w:val="none"/>
          <w:lang w:val="en-US" w:eastAsia="zh-CN"/>
        </w:rPr>
        <w:t>：本项目资格</w:t>
      </w:r>
      <w:r>
        <w:rPr>
          <w:rFonts w:hint="eastAsia" w:ascii="宋体" w:hAnsi="宋体" w:cs="宋体"/>
          <w:b/>
          <w:bCs w:val="0"/>
          <w:sz w:val="28"/>
          <w:szCs w:val="28"/>
          <w:highlight w:val="none"/>
          <w:lang w:val="en-US" w:eastAsia="zh-CN"/>
        </w:rPr>
        <w:t>审查</w:t>
      </w:r>
      <w:r>
        <w:rPr>
          <w:rFonts w:hint="eastAsia" w:ascii="宋体" w:hAnsi="宋体" w:eastAsia="宋体" w:cs="宋体"/>
          <w:b/>
          <w:bCs w:val="0"/>
          <w:sz w:val="28"/>
          <w:szCs w:val="28"/>
          <w:highlight w:val="none"/>
          <w:lang w:val="en-US" w:eastAsia="zh-CN"/>
        </w:rPr>
        <w:t>要求证明文件</w:t>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2-1</w:t>
      </w:r>
      <w:r>
        <w:rPr>
          <w:rFonts w:hint="eastAsia" w:ascii="宋体" w:hAnsi="宋体" w:eastAsia="宋体" w:cs="宋体"/>
          <w:b/>
          <w:bCs w:val="0"/>
          <w:sz w:val="28"/>
          <w:szCs w:val="28"/>
          <w:highlight w:val="none"/>
          <w:lang w:val="en-US" w:eastAsia="zh-CN"/>
        </w:rPr>
        <w:t>：法定代表人证明书</w:t>
      </w:r>
    </w:p>
    <w:p>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法定代表人证明书</w:t>
      </w:r>
    </w:p>
    <w:p>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_______现任我单位______职务，为法定代表人，特此证明。</w:t>
      </w:r>
    </w:p>
    <w:p>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有效期限：_____________</w:t>
      </w:r>
    </w:p>
    <w:p>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附：代表人性别：____年龄：_____身份证号码：____________</w:t>
      </w:r>
    </w:p>
    <w:p>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注册号码：____________企业类型：_____________________</w:t>
      </w:r>
    </w:p>
    <w:p>
      <w:pPr>
        <w:ind w:firstLine="48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经营范围：_____________________________________</w:t>
      </w:r>
    </w:p>
    <w:p>
      <w:pPr>
        <w:ind w:firstLine="480"/>
        <w:rPr>
          <w:rFonts w:hint="eastAsia" w:ascii="宋体" w:hAnsi="宋体" w:eastAsia="宋体" w:cs="宋体"/>
          <w:sz w:val="28"/>
          <w:szCs w:val="28"/>
          <w:highlight w:val="none"/>
        </w:rPr>
      </w:pPr>
    </w:p>
    <w:p>
      <w:pPr>
        <w:ind w:firstLine="480"/>
        <w:rPr>
          <w:rFonts w:hint="eastAsia" w:ascii="宋体" w:hAnsi="宋体" w:eastAsia="宋体" w:cs="宋体"/>
          <w:sz w:val="28"/>
          <w:szCs w:val="28"/>
          <w:highlight w:val="none"/>
        </w:rPr>
      </w:pPr>
    </w:p>
    <w:p>
      <w:pPr>
        <w:ind w:left="0" w:leftChars="0" w:firstLine="0" w:firstLineChars="0"/>
        <w:rPr>
          <w:rFonts w:hint="eastAsia" w:ascii="宋体" w:hAnsi="宋体" w:eastAsia="宋体" w:cs="宋体"/>
          <w:sz w:val="28"/>
          <w:szCs w:val="28"/>
          <w:highlight w:val="none"/>
        </w:rPr>
      </w:pP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地  址：__________________</w:t>
      </w: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w:t>
      </w:r>
      <w:r>
        <w:rPr>
          <w:rFonts w:hint="eastAsia" w:ascii="宋体" w:hAnsi="宋体" w:eastAsia="宋体" w:cs="宋体"/>
          <w:sz w:val="28"/>
          <w:szCs w:val="28"/>
          <w:highlight w:val="none"/>
          <w:lang w:val="en-US" w:eastAsia="zh-CN"/>
        </w:rPr>
        <w:t>私</w:t>
      </w:r>
      <w:r>
        <w:rPr>
          <w:rFonts w:hint="eastAsia" w:ascii="宋体" w:hAnsi="宋体" w:eastAsia="宋体" w:cs="宋体"/>
          <w:sz w:val="28"/>
          <w:szCs w:val="28"/>
          <w:highlight w:val="none"/>
        </w:rPr>
        <w:t>章）：__________________</w:t>
      </w: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pPr>
        <w:ind w:firstLine="480"/>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2-2</w:t>
      </w:r>
      <w:r>
        <w:rPr>
          <w:rFonts w:hint="eastAsia" w:ascii="宋体" w:hAnsi="宋体" w:eastAsia="宋体" w:cs="宋体"/>
          <w:b/>
          <w:bCs w:val="0"/>
          <w:sz w:val="28"/>
          <w:szCs w:val="28"/>
          <w:highlight w:val="none"/>
          <w:lang w:val="en-US" w:eastAsia="zh-CN"/>
        </w:rPr>
        <w:t>：法定代表人授权书</w:t>
      </w:r>
      <w:r>
        <w:rPr>
          <w:rFonts w:hint="eastAsia" w:ascii="宋体" w:hAnsi="宋体" w:cs="宋体"/>
          <w:b/>
          <w:bCs w:val="0"/>
          <w:sz w:val="28"/>
          <w:szCs w:val="28"/>
          <w:highlight w:val="none"/>
          <w:lang w:val="en-US" w:eastAsia="zh-CN"/>
        </w:rPr>
        <w:t>（如有）</w:t>
      </w:r>
    </w:p>
    <w:p>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p>
    <w:p>
      <w:pPr>
        <w:ind w:firstLine="48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本授权书声明：________是注册于</w:t>
      </w:r>
      <w:r>
        <w:rPr>
          <w:rFonts w:hint="eastAsia" w:ascii="宋体" w:hAnsi="宋体" w:eastAsia="宋体" w:cs="宋体"/>
          <w:sz w:val="28"/>
          <w:szCs w:val="28"/>
          <w:highlight w:val="none"/>
          <w:u w:val="single"/>
        </w:rPr>
        <w:t>（国家或地区）</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（供应商名称）</w:t>
      </w:r>
      <w:r>
        <w:rPr>
          <w:rFonts w:hint="eastAsia" w:ascii="宋体" w:hAnsi="宋体" w:eastAsia="宋体" w:cs="宋体"/>
          <w:sz w:val="28"/>
          <w:szCs w:val="28"/>
          <w:highlight w:val="none"/>
        </w:rPr>
        <w:t>的法定代表人，现任________职务，有效证件号码：________________。现授权</w:t>
      </w:r>
      <w:r>
        <w:rPr>
          <w:rFonts w:hint="eastAsia" w:ascii="宋体" w:hAnsi="宋体" w:eastAsia="宋体" w:cs="宋体"/>
          <w:sz w:val="28"/>
          <w:szCs w:val="28"/>
          <w:highlight w:val="none"/>
          <w:u w:val="single"/>
        </w:rPr>
        <w:t>（姓名、职务）</w:t>
      </w:r>
      <w:r>
        <w:rPr>
          <w:rFonts w:hint="eastAsia" w:ascii="宋体" w:hAnsi="宋体" w:eastAsia="宋体" w:cs="宋体"/>
          <w:sz w:val="28"/>
          <w:szCs w:val="28"/>
          <w:highlight w:val="none"/>
        </w:rPr>
        <w:t>作为我公司的全权代理人，就</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项目名称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的响应和合同执行，以我方的名义处理一切与之有关的事宜。</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本授权书于_____年___月____日签字生效，特此声明。</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被授权人（签字）：__________________</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pPr>
        <w:pStyle w:val="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cs="宋体"/>
          <w:b/>
          <w:bCs w:val="0"/>
          <w:sz w:val="28"/>
          <w:szCs w:val="28"/>
          <w:highlight w:val="none"/>
          <w:lang w:val="en-US" w:eastAsia="zh-CN"/>
        </w:rPr>
        <w:t>2</w:t>
      </w:r>
      <w:r>
        <w:rPr>
          <w:rFonts w:hint="eastAsia" w:ascii="宋体" w:hAnsi="宋体" w:cs="宋体"/>
          <w:b/>
          <w:bCs w:val="0"/>
          <w:sz w:val="28"/>
          <w:szCs w:val="28"/>
          <w:highlight w:val="none"/>
          <w:lang w:val="en-US" w:eastAsia="zh-CN"/>
        </w:rPr>
        <w:t>-</w:t>
      </w:r>
      <w:r>
        <w:rPr>
          <w:rFonts w:hint="eastAsia" w:cs="宋体"/>
          <w:b/>
          <w:bCs w:val="0"/>
          <w:sz w:val="28"/>
          <w:szCs w:val="28"/>
          <w:highlight w:val="none"/>
          <w:lang w:val="en-US" w:eastAsia="zh-CN"/>
        </w:rPr>
        <w:t>3</w:t>
      </w:r>
      <w:r>
        <w:rPr>
          <w:rFonts w:hint="eastAsia" w:ascii="宋体" w:hAnsi="宋体" w:eastAsia="宋体" w:cs="宋体"/>
          <w:b/>
          <w:bCs w:val="0"/>
          <w:sz w:val="28"/>
          <w:szCs w:val="28"/>
          <w:highlight w:val="none"/>
          <w:lang w:val="en-US" w:eastAsia="zh-CN"/>
        </w:rPr>
        <w:t>：</w:t>
      </w:r>
      <w:r>
        <w:rPr>
          <w:rFonts w:hint="eastAsia" w:ascii="宋体" w:hAnsi="宋体" w:eastAsia="宋体" w:cs="宋体"/>
          <w:b/>
          <w:bCs w:val="0"/>
          <w:sz w:val="28"/>
          <w:szCs w:val="28"/>
          <w:highlight w:val="none"/>
        </w:rPr>
        <w:t>具有独立承担民事责任的能力</w:t>
      </w:r>
      <w:r>
        <w:rPr>
          <w:rFonts w:hint="eastAsia" w:cs="宋体"/>
          <w:b/>
          <w:bCs w:val="0"/>
          <w:sz w:val="28"/>
          <w:szCs w:val="28"/>
          <w:highlight w:val="none"/>
          <w:lang w:val="en-US" w:eastAsia="zh-CN"/>
        </w:rPr>
        <w:t>证明文件</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3</w:t>
      </w:r>
      <w:r>
        <w:rPr>
          <w:rFonts w:hint="eastAsia" w:ascii="宋体" w:hAnsi="宋体" w:eastAsia="宋体" w:cs="宋体"/>
          <w:b/>
          <w:bCs w:val="0"/>
          <w:sz w:val="28"/>
          <w:szCs w:val="28"/>
          <w:highlight w:val="none"/>
          <w:lang w:val="en-US" w:eastAsia="zh-CN"/>
        </w:rPr>
        <w:t>：服务方案内容（格式自拟）</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4</w:t>
      </w:r>
      <w:r>
        <w:rPr>
          <w:rFonts w:hint="eastAsia" w:ascii="宋体" w:hAnsi="宋体" w:eastAsia="宋体" w:cs="宋体"/>
          <w:b/>
          <w:bCs w:val="0"/>
          <w:sz w:val="28"/>
          <w:szCs w:val="28"/>
          <w:highlight w:val="none"/>
          <w:lang w:val="en-US" w:eastAsia="zh-CN"/>
        </w:rPr>
        <w:t>：</w:t>
      </w:r>
      <w:r>
        <w:rPr>
          <w:rFonts w:hint="eastAsia" w:ascii="宋体" w:hAnsi="宋体" w:cs="宋体"/>
          <w:b/>
          <w:bCs w:val="0"/>
          <w:sz w:val="28"/>
          <w:szCs w:val="28"/>
          <w:highlight w:val="none"/>
          <w:lang w:val="en-US" w:eastAsia="zh-CN"/>
        </w:rPr>
        <w:t>企业信誉承诺</w:t>
      </w:r>
      <w:r>
        <w:rPr>
          <w:rFonts w:hint="eastAsia" w:ascii="宋体" w:hAnsi="宋体" w:eastAsia="宋体" w:cs="宋体"/>
          <w:b/>
          <w:bCs w:val="0"/>
          <w:sz w:val="28"/>
          <w:szCs w:val="28"/>
          <w:highlight w:val="none"/>
          <w:lang w:val="en-US" w:eastAsia="zh-CN"/>
        </w:rPr>
        <w:t>（格式自拟）</w:t>
      </w:r>
    </w:p>
    <w:p>
      <w:pP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p>
    <w:p>
      <w:pPr>
        <w:pStyle w:val="7"/>
        <w:ind w:firstLine="0" w:firstLineChars="0"/>
        <w:rPr>
          <w:rFonts w:hint="eastAsia" w:ascii="宋体" w:hAnsi="宋体" w:eastAsia="宋体" w:cs="宋体"/>
          <w:b/>
          <w:bCs/>
          <w:sz w:val="28"/>
          <w:szCs w:val="28"/>
          <w:highlight w:val="none"/>
          <w:lang w:val="en-US" w:eastAsia="zh-CN"/>
        </w:rPr>
      </w:pPr>
      <w:r>
        <w:rPr>
          <w:rFonts w:hint="eastAsia"/>
          <w:b/>
          <w:bCs/>
          <w:sz w:val="28"/>
          <w:szCs w:val="28"/>
          <w:highlight w:val="none"/>
          <w:lang w:val="en-US" w:eastAsia="zh-CN"/>
        </w:rPr>
        <w:t>附件5：企业</w:t>
      </w:r>
      <w:r>
        <w:rPr>
          <w:rFonts w:hint="eastAsia" w:ascii="宋体" w:hAnsi="宋体" w:eastAsia="宋体" w:cs="宋体"/>
          <w:b/>
          <w:bCs/>
          <w:sz w:val="28"/>
          <w:szCs w:val="28"/>
          <w:highlight w:val="none"/>
          <w:lang w:val="en-US" w:eastAsia="zh-CN"/>
        </w:rPr>
        <w:t>人员配置</w:t>
      </w:r>
    </w:p>
    <w:tbl>
      <w:tblPr>
        <w:tblStyle w:val="13"/>
        <w:tblW w:w="1116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3"/>
        <w:gridCol w:w="1361"/>
        <w:gridCol w:w="1545"/>
        <w:gridCol w:w="1875"/>
        <w:gridCol w:w="1358"/>
        <w:gridCol w:w="1355"/>
        <w:gridCol w:w="1517"/>
        <w:gridCol w:w="11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Merge w:val="restart"/>
            <w:vAlign w:val="center"/>
          </w:tcPr>
          <w:p>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1361" w:type="dxa"/>
            <w:vMerge w:val="restart"/>
            <w:vAlign w:val="center"/>
          </w:tcPr>
          <w:p>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545" w:type="dxa"/>
            <w:vMerge w:val="restart"/>
            <w:vAlign w:val="center"/>
          </w:tcPr>
          <w:p>
            <w:pPr>
              <w:bidi w:val="0"/>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职称</w:t>
            </w:r>
          </w:p>
        </w:tc>
        <w:tc>
          <w:tcPr>
            <w:tcW w:w="6105" w:type="dxa"/>
            <w:gridSpan w:val="4"/>
            <w:vAlign w:val="center"/>
          </w:tcPr>
          <w:p>
            <w:pPr>
              <w:bidi w:val="0"/>
              <w:ind w:left="0" w:leftChars="0" w:firstLine="0" w:firstLineChars="0"/>
              <w:jc w:val="center"/>
              <w:rPr>
                <w:rFonts w:hint="eastAsia" w:ascii="宋体" w:hAnsi="宋体" w:eastAsia="宋体" w:cs="宋体"/>
                <w:sz w:val="28"/>
                <w:szCs w:val="28"/>
                <w:highlight w:val="none"/>
              </w:rPr>
            </w:pPr>
            <w:r>
              <w:rPr>
                <w:rFonts w:hint="eastAsia" w:cs="宋体"/>
                <w:sz w:val="28"/>
                <w:szCs w:val="28"/>
                <w:highlight w:val="none"/>
                <w:lang w:val="en-US" w:eastAsia="zh-CN"/>
              </w:rPr>
              <w:t>执业或职业资格证明</w:t>
            </w:r>
          </w:p>
        </w:tc>
        <w:tc>
          <w:tcPr>
            <w:tcW w:w="1173" w:type="dxa"/>
            <w:vMerge w:val="restart"/>
            <w:vAlign w:val="center"/>
          </w:tcPr>
          <w:p>
            <w:pPr>
              <w:bidi w:val="0"/>
              <w:ind w:left="0" w:leftChars="0" w:firstLine="0" w:firstLineChars="0"/>
              <w:jc w:val="center"/>
              <w:rPr>
                <w:rFonts w:hint="eastAsia" w:ascii="宋体" w:hAnsi="宋体" w:eastAsia="宋体" w:cs="宋体"/>
                <w:sz w:val="28"/>
                <w:szCs w:val="28"/>
                <w:highlight w:val="none"/>
                <w:lang w:eastAsia="zh-CN"/>
              </w:rPr>
            </w:pPr>
            <w:r>
              <w:rPr>
                <w:rFonts w:hint="eastAsia" w:cs="宋体"/>
                <w:sz w:val="28"/>
                <w:szCs w:val="28"/>
                <w:highlight w:val="none"/>
                <w:lang w:val="en-US" w:eastAsia="zh-CN"/>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jc w:val="center"/>
        </w:trPr>
        <w:tc>
          <w:tcPr>
            <w:tcW w:w="983" w:type="dxa"/>
            <w:vMerge w:val="continue"/>
            <w:vAlign w:val="center"/>
          </w:tcPr>
          <w:p>
            <w:pPr>
              <w:jc w:val="center"/>
              <w:rPr>
                <w:rFonts w:hint="eastAsia" w:ascii="宋体" w:hAnsi="宋体" w:eastAsia="宋体" w:cs="宋体"/>
                <w:sz w:val="28"/>
                <w:szCs w:val="28"/>
                <w:highlight w:val="none"/>
              </w:rPr>
            </w:pPr>
          </w:p>
        </w:tc>
        <w:tc>
          <w:tcPr>
            <w:tcW w:w="1361" w:type="dxa"/>
            <w:vMerge w:val="continue"/>
            <w:vAlign w:val="center"/>
          </w:tcPr>
          <w:p>
            <w:pPr>
              <w:jc w:val="center"/>
              <w:rPr>
                <w:rFonts w:hint="eastAsia" w:ascii="宋体" w:hAnsi="宋体" w:eastAsia="宋体" w:cs="宋体"/>
                <w:sz w:val="28"/>
                <w:szCs w:val="28"/>
                <w:highlight w:val="none"/>
              </w:rPr>
            </w:pPr>
          </w:p>
        </w:tc>
        <w:tc>
          <w:tcPr>
            <w:tcW w:w="1545" w:type="dxa"/>
            <w:vMerge w:val="continue"/>
            <w:vAlign w:val="center"/>
          </w:tcPr>
          <w:p>
            <w:pPr>
              <w:jc w:val="center"/>
              <w:rPr>
                <w:rFonts w:hint="eastAsia" w:ascii="宋体" w:hAnsi="宋体" w:eastAsia="宋体" w:cs="宋体"/>
                <w:sz w:val="28"/>
                <w:szCs w:val="28"/>
                <w:highlight w:val="none"/>
              </w:rPr>
            </w:pPr>
          </w:p>
        </w:tc>
        <w:tc>
          <w:tcPr>
            <w:tcW w:w="1875" w:type="dxa"/>
            <w:vAlign w:val="center"/>
          </w:tcPr>
          <w:p>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证书名称</w:t>
            </w:r>
          </w:p>
        </w:tc>
        <w:tc>
          <w:tcPr>
            <w:tcW w:w="1358" w:type="dxa"/>
            <w:vAlign w:val="center"/>
          </w:tcPr>
          <w:p>
            <w:pPr>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级别</w:t>
            </w:r>
          </w:p>
        </w:tc>
        <w:tc>
          <w:tcPr>
            <w:tcW w:w="1355" w:type="dxa"/>
            <w:vAlign w:val="center"/>
          </w:tcPr>
          <w:p>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证号</w:t>
            </w:r>
          </w:p>
        </w:tc>
        <w:tc>
          <w:tcPr>
            <w:tcW w:w="1517" w:type="dxa"/>
            <w:vAlign w:val="center"/>
          </w:tcPr>
          <w:p>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专业</w:t>
            </w:r>
          </w:p>
        </w:tc>
        <w:tc>
          <w:tcPr>
            <w:tcW w:w="1173" w:type="dxa"/>
            <w:vMerge w:val="continue"/>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pPr>
              <w:jc w:val="center"/>
              <w:rPr>
                <w:rFonts w:hint="eastAsia" w:ascii="宋体" w:hAnsi="宋体" w:eastAsia="宋体" w:cs="宋体"/>
                <w:sz w:val="28"/>
                <w:szCs w:val="28"/>
                <w:highlight w:val="none"/>
              </w:rPr>
            </w:pPr>
          </w:p>
        </w:tc>
        <w:tc>
          <w:tcPr>
            <w:tcW w:w="1361" w:type="dxa"/>
            <w:vAlign w:val="center"/>
          </w:tcPr>
          <w:p>
            <w:pPr>
              <w:jc w:val="center"/>
              <w:rPr>
                <w:rFonts w:hint="eastAsia" w:ascii="宋体" w:hAnsi="宋体" w:eastAsia="宋体" w:cs="宋体"/>
                <w:sz w:val="28"/>
                <w:szCs w:val="28"/>
                <w:highlight w:val="none"/>
              </w:rPr>
            </w:pPr>
          </w:p>
        </w:tc>
        <w:tc>
          <w:tcPr>
            <w:tcW w:w="1545" w:type="dxa"/>
            <w:vAlign w:val="center"/>
          </w:tcPr>
          <w:p>
            <w:pPr>
              <w:jc w:val="center"/>
              <w:rPr>
                <w:rFonts w:hint="eastAsia" w:ascii="宋体" w:hAnsi="宋体" w:eastAsia="宋体" w:cs="宋体"/>
                <w:sz w:val="28"/>
                <w:szCs w:val="28"/>
                <w:highlight w:val="none"/>
              </w:rPr>
            </w:pPr>
          </w:p>
        </w:tc>
        <w:tc>
          <w:tcPr>
            <w:tcW w:w="1875" w:type="dxa"/>
            <w:vAlign w:val="center"/>
          </w:tcPr>
          <w:p>
            <w:pPr>
              <w:jc w:val="center"/>
              <w:rPr>
                <w:rFonts w:hint="eastAsia" w:ascii="宋体" w:hAnsi="宋体" w:eastAsia="宋体" w:cs="宋体"/>
                <w:sz w:val="28"/>
                <w:szCs w:val="28"/>
                <w:highlight w:val="none"/>
              </w:rPr>
            </w:pPr>
          </w:p>
        </w:tc>
        <w:tc>
          <w:tcPr>
            <w:tcW w:w="1358" w:type="dxa"/>
            <w:vAlign w:val="center"/>
          </w:tcPr>
          <w:p>
            <w:pPr>
              <w:jc w:val="center"/>
              <w:rPr>
                <w:rFonts w:hint="eastAsia" w:ascii="宋体" w:hAnsi="宋体" w:eastAsia="宋体" w:cs="宋体"/>
                <w:sz w:val="28"/>
                <w:szCs w:val="28"/>
                <w:highlight w:val="none"/>
              </w:rPr>
            </w:pPr>
          </w:p>
        </w:tc>
        <w:tc>
          <w:tcPr>
            <w:tcW w:w="1355" w:type="dxa"/>
            <w:vAlign w:val="center"/>
          </w:tcPr>
          <w:p>
            <w:pPr>
              <w:jc w:val="center"/>
              <w:rPr>
                <w:rFonts w:hint="eastAsia" w:ascii="宋体" w:hAnsi="宋体" w:eastAsia="宋体" w:cs="宋体"/>
                <w:sz w:val="28"/>
                <w:szCs w:val="28"/>
                <w:highlight w:val="none"/>
              </w:rPr>
            </w:pPr>
          </w:p>
        </w:tc>
        <w:tc>
          <w:tcPr>
            <w:tcW w:w="1517" w:type="dxa"/>
            <w:vAlign w:val="center"/>
          </w:tcPr>
          <w:p>
            <w:pPr>
              <w:jc w:val="center"/>
              <w:rPr>
                <w:rFonts w:hint="eastAsia" w:ascii="宋体" w:hAnsi="宋体" w:eastAsia="宋体" w:cs="宋体"/>
                <w:sz w:val="28"/>
                <w:szCs w:val="28"/>
                <w:highlight w:val="none"/>
              </w:rPr>
            </w:pPr>
          </w:p>
        </w:tc>
        <w:tc>
          <w:tcPr>
            <w:tcW w:w="1173"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pPr>
              <w:jc w:val="center"/>
              <w:rPr>
                <w:rFonts w:hint="eastAsia" w:ascii="宋体" w:hAnsi="宋体" w:eastAsia="宋体" w:cs="宋体"/>
                <w:sz w:val="28"/>
                <w:szCs w:val="28"/>
                <w:highlight w:val="none"/>
              </w:rPr>
            </w:pPr>
          </w:p>
        </w:tc>
        <w:tc>
          <w:tcPr>
            <w:tcW w:w="1361" w:type="dxa"/>
            <w:vAlign w:val="center"/>
          </w:tcPr>
          <w:p>
            <w:pPr>
              <w:jc w:val="center"/>
              <w:rPr>
                <w:rFonts w:hint="eastAsia" w:ascii="宋体" w:hAnsi="宋体" w:eastAsia="宋体" w:cs="宋体"/>
                <w:sz w:val="28"/>
                <w:szCs w:val="28"/>
                <w:highlight w:val="none"/>
              </w:rPr>
            </w:pPr>
          </w:p>
        </w:tc>
        <w:tc>
          <w:tcPr>
            <w:tcW w:w="1545" w:type="dxa"/>
            <w:vAlign w:val="center"/>
          </w:tcPr>
          <w:p>
            <w:pPr>
              <w:jc w:val="center"/>
              <w:rPr>
                <w:rFonts w:hint="eastAsia" w:ascii="宋体" w:hAnsi="宋体" w:eastAsia="宋体" w:cs="宋体"/>
                <w:sz w:val="28"/>
                <w:szCs w:val="28"/>
                <w:highlight w:val="none"/>
              </w:rPr>
            </w:pPr>
          </w:p>
        </w:tc>
        <w:tc>
          <w:tcPr>
            <w:tcW w:w="1875" w:type="dxa"/>
            <w:vAlign w:val="center"/>
          </w:tcPr>
          <w:p>
            <w:pPr>
              <w:jc w:val="center"/>
              <w:rPr>
                <w:rFonts w:hint="eastAsia" w:ascii="宋体" w:hAnsi="宋体" w:eastAsia="宋体" w:cs="宋体"/>
                <w:sz w:val="28"/>
                <w:szCs w:val="28"/>
                <w:highlight w:val="none"/>
              </w:rPr>
            </w:pPr>
          </w:p>
        </w:tc>
        <w:tc>
          <w:tcPr>
            <w:tcW w:w="1358" w:type="dxa"/>
            <w:vAlign w:val="center"/>
          </w:tcPr>
          <w:p>
            <w:pPr>
              <w:jc w:val="center"/>
              <w:rPr>
                <w:rFonts w:hint="eastAsia" w:ascii="宋体" w:hAnsi="宋体" w:eastAsia="宋体" w:cs="宋体"/>
                <w:sz w:val="28"/>
                <w:szCs w:val="28"/>
                <w:highlight w:val="none"/>
              </w:rPr>
            </w:pPr>
          </w:p>
        </w:tc>
        <w:tc>
          <w:tcPr>
            <w:tcW w:w="1355" w:type="dxa"/>
            <w:vAlign w:val="center"/>
          </w:tcPr>
          <w:p>
            <w:pPr>
              <w:jc w:val="center"/>
              <w:rPr>
                <w:rFonts w:hint="eastAsia" w:ascii="宋体" w:hAnsi="宋体" w:eastAsia="宋体" w:cs="宋体"/>
                <w:sz w:val="28"/>
                <w:szCs w:val="28"/>
                <w:highlight w:val="none"/>
              </w:rPr>
            </w:pPr>
          </w:p>
        </w:tc>
        <w:tc>
          <w:tcPr>
            <w:tcW w:w="1517" w:type="dxa"/>
            <w:vAlign w:val="center"/>
          </w:tcPr>
          <w:p>
            <w:pPr>
              <w:jc w:val="center"/>
              <w:rPr>
                <w:rFonts w:hint="eastAsia" w:ascii="宋体" w:hAnsi="宋体" w:eastAsia="宋体" w:cs="宋体"/>
                <w:sz w:val="28"/>
                <w:szCs w:val="28"/>
                <w:highlight w:val="none"/>
              </w:rPr>
            </w:pPr>
          </w:p>
        </w:tc>
        <w:tc>
          <w:tcPr>
            <w:tcW w:w="1173"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pPr>
              <w:jc w:val="center"/>
              <w:rPr>
                <w:rFonts w:hint="eastAsia" w:ascii="宋体" w:hAnsi="宋体" w:eastAsia="宋体" w:cs="宋体"/>
                <w:sz w:val="28"/>
                <w:szCs w:val="28"/>
                <w:highlight w:val="none"/>
              </w:rPr>
            </w:pPr>
          </w:p>
        </w:tc>
        <w:tc>
          <w:tcPr>
            <w:tcW w:w="1361" w:type="dxa"/>
            <w:vAlign w:val="center"/>
          </w:tcPr>
          <w:p>
            <w:pPr>
              <w:jc w:val="center"/>
              <w:rPr>
                <w:rFonts w:hint="eastAsia" w:ascii="宋体" w:hAnsi="宋体" w:eastAsia="宋体" w:cs="宋体"/>
                <w:sz w:val="28"/>
                <w:szCs w:val="28"/>
                <w:highlight w:val="none"/>
              </w:rPr>
            </w:pPr>
          </w:p>
        </w:tc>
        <w:tc>
          <w:tcPr>
            <w:tcW w:w="1545" w:type="dxa"/>
            <w:vAlign w:val="center"/>
          </w:tcPr>
          <w:p>
            <w:pPr>
              <w:jc w:val="center"/>
              <w:rPr>
                <w:rFonts w:hint="eastAsia" w:ascii="宋体" w:hAnsi="宋体" w:eastAsia="宋体" w:cs="宋体"/>
                <w:sz w:val="28"/>
                <w:szCs w:val="28"/>
                <w:highlight w:val="none"/>
              </w:rPr>
            </w:pPr>
          </w:p>
        </w:tc>
        <w:tc>
          <w:tcPr>
            <w:tcW w:w="1875" w:type="dxa"/>
            <w:vAlign w:val="center"/>
          </w:tcPr>
          <w:p>
            <w:pPr>
              <w:jc w:val="center"/>
              <w:rPr>
                <w:rFonts w:hint="eastAsia" w:ascii="宋体" w:hAnsi="宋体" w:eastAsia="宋体" w:cs="宋体"/>
                <w:sz w:val="28"/>
                <w:szCs w:val="28"/>
                <w:highlight w:val="none"/>
              </w:rPr>
            </w:pPr>
          </w:p>
        </w:tc>
        <w:tc>
          <w:tcPr>
            <w:tcW w:w="1358" w:type="dxa"/>
            <w:vAlign w:val="center"/>
          </w:tcPr>
          <w:p>
            <w:pPr>
              <w:jc w:val="center"/>
              <w:rPr>
                <w:rFonts w:hint="eastAsia" w:ascii="宋体" w:hAnsi="宋体" w:eastAsia="宋体" w:cs="宋体"/>
                <w:sz w:val="28"/>
                <w:szCs w:val="28"/>
                <w:highlight w:val="none"/>
              </w:rPr>
            </w:pPr>
          </w:p>
        </w:tc>
        <w:tc>
          <w:tcPr>
            <w:tcW w:w="1355" w:type="dxa"/>
            <w:vAlign w:val="center"/>
          </w:tcPr>
          <w:p>
            <w:pPr>
              <w:jc w:val="center"/>
              <w:rPr>
                <w:rFonts w:hint="eastAsia" w:ascii="宋体" w:hAnsi="宋体" w:eastAsia="宋体" w:cs="宋体"/>
                <w:sz w:val="28"/>
                <w:szCs w:val="28"/>
                <w:highlight w:val="none"/>
              </w:rPr>
            </w:pPr>
          </w:p>
        </w:tc>
        <w:tc>
          <w:tcPr>
            <w:tcW w:w="1517" w:type="dxa"/>
            <w:vAlign w:val="center"/>
          </w:tcPr>
          <w:p>
            <w:pPr>
              <w:jc w:val="center"/>
              <w:rPr>
                <w:rFonts w:hint="eastAsia" w:ascii="宋体" w:hAnsi="宋体" w:eastAsia="宋体" w:cs="宋体"/>
                <w:sz w:val="28"/>
                <w:szCs w:val="28"/>
                <w:highlight w:val="none"/>
              </w:rPr>
            </w:pPr>
          </w:p>
        </w:tc>
        <w:tc>
          <w:tcPr>
            <w:tcW w:w="1173"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pPr>
              <w:jc w:val="center"/>
              <w:rPr>
                <w:rFonts w:hint="eastAsia" w:ascii="宋体" w:hAnsi="宋体" w:eastAsia="宋体" w:cs="宋体"/>
                <w:sz w:val="28"/>
                <w:szCs w:val="28"/>
                <w:highlight w:val="none"/>
              </w:rPr>
            </w:pPr>
          </w:p>
        </w:tc>
        <w:tc>
          <w:tcPr>
            <w:tcW w:w="1361" w:type="dxa"/>
            <w:vAlign w:val="center"/>
          </w:tcPr>
          <w:p>
            <w:pPr>
              <w:jc w:val="center"/>
              <w:rPr>
                <w:rFonts w:hint="eastAsia" w:ascii="宋体" w:hAnsi="宋体" w:eastAsia="宋体" w:cs="宋体"/>
                <w:sz w:val="28"/>
                <w:szCs w:val="28"/>
                <w:highlight w:val="none"/>
              </w:rPr>
            </w:pPr>
          </w:p>
        </w:tc>
        <w:tc>
          <w:tcPr>
            <w:tcW w:w="1545" w:type="dxa"/>
            <w:vAlign w:val="center"/>
          </w:tcPr>
          <w:p>
            <w:pPr>
              <w:jc w:val="center"/>
              <w:rPr>
                <w:rFonts w:hint="eastAsia" w:ascii="宋体" w:hAnsi="宋体" w:eastAsia="宋体" w:cs="宋体"/>
                <w:sz w:val="28"/>
                <w:szCs w:val="28"/>
                <w:highlight w:val="none"/>
              </w:rPr>
            </w:pPr>
          </w:p>
        </w:tc>
        <w:tc>
          <w:tcPr>
            <w:tcW w:w="1875" w:type="dxa"/>
            <w:vAlign w:val="center"/>
          </w:tcPr>
          <w:p>
            <w:pPr>
              <w:jc w:val="center"/>
              <w:rPr>
                <w:rFonts w:hint="eastAsia" w:ascii="宋体" w:hAnsi="宋体" w:eastAsia="宋体" w:cs="宋体"/>
                <w:sz w:val="28"/>
                <w:szCs w:val="28"/>
                <w:highlight w:val="none"/>
              </w:rPr>
            </w:pPr>
          </w:p>
        </w:tc>
        <w:tc>
          <w:tcPr>
            <w:tcW w:w="1358" w:type="dxa"/>
            <w:vAlign w:val="center"/>
          </w:tcPr>
          <w:p>
            <w:pPr>
              <w:jc w:val="center"/>
              <w:rPr>
                <w:rFonts w:hint="eastAsia" w:ascii="宋体" w:hAnsi="宋体" w:eastAsia="宋体" w:cs="宋体"/>
                <w:sz w:val="28"/>
                <w:szCs w:val="28"/>
                <w:highlight w:val="none"/>
              </w:rPr>
            </w:pPr>
          </w:p>
        </w:tc>
        <w:tc>
          <w:tcPr>
            <w:tcW w:w="1355" w:type="dxa"/>
            <w:vAlign w:val="center"/>
          </w:tcPr>
          <w:p>
            <w:pPr>
              <w:jc w:val="center"/>
              <w:rPr>
                <w:rFonts w:hint="eastAsia" w:ascii="宋体" w:hAnsi="宋体" w:eastAsia="宋体" w:cs="宋体"/>
                <w:sz w:val="28"/>
                <w:szCs w:val="28"/>
                <w:highlight w:val="none"/>
              </w:rPr>
            </w:pPr>
          </w:p>
        </w:tc>
        <w:tc>
          <w:tcPr>
            <w:tcW w:w="1517" w:type="dxa"/>
            <w:vAlign w:val="center"/>
          </w:tcPr>
          <w:p>
            <w:pPr>
              <w:jc w:val="center"/>
              <w:rPr>
                <w:rFonts w:hint="eastAsia" w:ascii="宋体" w:hAnsi="宋体" w:eastAsia="宋体" w:cs="宋体"/>
                <w:sz w:val="28"/>
                <w:szCs w:val="28"/>
                <w:highlight w:val="none"/>
              </w:rPr>
            </w:pPr>
          </w:p>
        </w:tc>
        <w:tc>
          <w:tcPr>
            <w:tcW w:w="1173" w:type="dxa"/>
            <w:vAlign w:val="center"/>
          </w:tcPr>
          <w:p>
            <w:pPr>
              <w:jc w:val="center"/>
              <w:rPr>
                <w:rFonts w:hint="eastAsia" w:ascii="宋体" w:hAnsi="宋体" w:eastAsia="宋体" w:cs="宋体"/>
                <w:sz w:val="28"/>
                <w:szCs w:val="28"/>
                <w:highlight w:val="none"/>
              </w:rPr>
            </w:pPr>
          </w:p>
        </w:tc>
      </w:tr>
    </w:tbl>
    <w:p>
      <w:pPr>
        <w:ind w:left="0" w:leftChars="0" w:firstLine="0" w:firstLineChars="0"/>
        <w:rPr>
          <w:rFonts w:hint="eastAsia"/>
          <w:sz w:val="28"/>
          <w:szCs w:val="28"/>
          <w:highlight w:val="none"/>
          <w:lang w:val="en-US" w:eastAsia="zh-CN"/>
        </w:rPr>
      </w:pPr>
    </w:p>
    <w:p>
      <w:pPr>
        <w:ind w:left="0" w:leftChars="0" w:firstLine="0" w:firstLineChars="0"/>
        <w:rPr>
          <w:rFonts w:hint="default"/>
          <w:sz w:val="28"/>
          <w:szCs w:val="28"/>
          <w:highlight w:val="none"/>
          <w:lang w:val="en-US" w:eastAsia="zh-CN"/>
        </w:rPr>
      </w:pPr>
      <w:r>
        <w:rPr>
          <w:rFonts w:hint="eastAsia"/>
          <w:sz w:val="28"/>
          <w:szCs w:val="28"/>
          <w:highlight w:val="none"/>
          <w:lang w:val="en-US" w:eastAsia="zh-CN"/>
        </w:rPr>
        <w:t>注：表后需附上述人员相关</w:t>
      </w:r>
      <w:r>
        <w:rPr>
          <w:rFonts w:hint="eastAsia" w:cs="宋体"/>
          <w:sz w:val="28"/>
          <w:szCs w:val="28"/>
          <w:highlight w:val="none"/>
          <w:lang w:val="en-US" w:eastAsia="zh-CN"/>
        </w:rPr>
        <w:t>执业或职业资格证明文件复印件加盖公章，并提供</w:t>
      </w:r>
      <w:r>
        <w:rPr>
          <w:rFonts w:hint="eastAsia"/>
          <w:sz w:val="28"/>
          <w:szCs w:val="28"/>
          <w:highlight w:val="none"/>
          <w:lang w:val="en-US" w:eastAsia="zh-CN"/>
        </w:rPr>
        <w:t>上述</w:t>
      </w:r>
      <w:r>
        <w:rPr>
          <w:rFonts w:hint="eastAsia" w:cs="宋体"/>
          <w:sz w:val="28"/>
          <w:szCs w:val="28"/>
          <w:highlight w:val="none"/>
          <w:lang w:val="en-US" w:eastAsia="zh-CN"/>
        </w:rPr>
        <w:t>人员近6个月内任意1个月的社会保险参保证明复印件加盖公章。</w:t>
      </w:r>
    </w:p>
    <w:p>
      <w:pPr>
        <w:rPr>
          <w:rFonts w:hint="default"/>
          <w:sz w:val="28"/>
          <w:szCs w:val="28"/>
          <w:highlight w:val="none"/>
          <w:lang w:val="en-US" w:eastAsia="zh-CN"/>
        </w:rPr>
      </w:pPr>
      <w:r>
        <w:rPr>
          <w:rFonts w:hint="default"/>
          <w:sz w:val="28"/>
          <w:szCs w:val="28"/>
          <w:highlight w:val="none"/>
          <w:lang w:val="en-US" w:eastAsia="zh-CN"/>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6</w:t>
      </w:r>
      <w:r>
        <w:rPr>
          <w:rFonts w:hint="eastAsia" w:ascii="宋体" w:hAnsi="宋体" w:eastAsia="宋体" w:cs="宋体"/>
          <w:b/>
          <w:bCs w:val="0"/>
          <w:sz w:val="28"/>
          <w:szCs w:val="28"/>
          <w:highlight w:val="none"/>
          <w:lang w:val="en-US" w:eastAsia="zh-CN"/>
        </w:rPr>
        <w:t>：业绩情况</w:t>
      </w:r>
    </w:p>
    <w:tbl>
      <w:tblPr>
        <w:tblStyle w:val="13"/>
        <w:tblW w:w="935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1"/>
        <w:gridCol w:w="2145"/>
        <w:gridCol w:w="2775"/>
        <w:gridCol w:w="2025"/>
        <w:gridCol w:w="147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145"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客户名称</w:t>
            </w:r>
          </w:p>
        </w:tc>
        <w:tc>
          <w:tcPr>
            <w:tcW w:w="2775"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项目名称及合同金额（万元）</w:t>
            </w:r>
          </w:p>
        </w:tc>
        <w:tc>
          <w:tcPr>
            <w:tcW w:w="2025"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签订</w:t>
            </w:r>
            <w:r>
              <w:rPr>
                <w:rFonts w:hint="eastAsia" w:cs="宋体"/>
                <w:sz w:val="28"/>
                <w:szCs w:val="28"/>
                <w:highlight w:val="none"/>
                <w:lang w:val="en-US" w:eastAsia="zh-CN"/>
              </w:rPr>
              <w:t>招标代理</w:t>
            </w:r>
            <w:r>
              <w:rPr>
                <w:rFonts w:hint="eastAsia" w:ascii="宋体" w:hAnsi="宋体" w:eastAsia="宋体" w:cs="宋体"/>
                <w:sz w:val="28"/>
                <w:szCs w:val="28"/>
                <w:highlight w:val="none"/>
              </w:rPr>
              <w:t>合同时间</w:t>
            </w:r>
          </w:p>
        </w:tc>
        <w:tc>
          <w:tcPr>
            <w:tcW w:w="1478"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联系人及</w:t>
            </w:r>
          </w:p>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145" w:type="dxa"/>
            <w:vAlign w:val="center"/>
          </w:tcPr>
          <w:p>
            <w:pPr>
              <w:jc w:val="center"/>
              <w:rPr>
                <w:rFonts w:hint="eastAsia" w:ascii="宋体" w:hAnsi="宋体" w:eastAsia="宋体" w:cs="宋体"/>
                <w:sz w:val="28"/>
                <w:szCs w:val="28"/>
                <w:highlight w:val="none"/>
              </w:rPr>
            </w:pPr>
          </w:p>
        </w:tc>
        <w:tc>
          <w:tcPr>
            <w:tcW w:w="2775" w:type="dxa"/>
            <w:vAlign w:val="center"/>
          </w:tcPr>
          <w:p>
            <w:pPr>
              <w:jc w:val="center"/>
              <w:rPr>
                <w:rFonts w:hint="eastAsia" w:ascii="宋体" w:hAnsi="宋体" w:eastAsia="宋体" w:cs="宋体"/>
                <w:sz w:val="28"/>
                <w:szCs w:val="28"/>
                <w:highlight w:val="none"/>
              </w:rPr>
            </w:pPr>
          </w:p>
        </w:tc>
        <w:tc>
          <w:tcPr>
            <w:tcW w:w="2025" w:type="dxa"/>
            <w:vAlign w:val="center"/>
          </w:tcPr>
          <w:p>
            <w:pPr>
              <w:jc w:val="center"/>
              <w:rPr>
                <w:rFonts w:hint="default" w:ascii="宋体" w:hAnsi="宋体" w:eastAsia="宋体" w:cs="宋体"/>
                <w:sz w:val="28"/>
                <w:szCs w:val="28"/>
                <w:highlight w:val="none"/>
                <w:lang w:val="en-US" w:eastAsia="zh-CN"/>
              </w:rPr>
            </w:pPr>
          </w:p>
        </w:tc>
        <w:tc>
          <w:tcPr>
            <w:tcW w:w="1478"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145" w:type="dxa"/>
            <w:vAlign w:val="center"/>
          </w:tcPr>
          <w:p>
            <w:pPr>
              <w:jc w:val="center"/>
              <w:rPr>
                <w:rFonts w:hint="eastAsia" w:ascii="宋体" w:hAnsi="宋体" w:eastAsia="宋体" w:cs="宋体"/>
                <w:sz w:val="28"/>
                <w:szCs w:val="28"/>
                <w:highlight w:val="none"/>
              </w:rPr>
            </w:pPr>
          </w:p>
        </w:tc>
        <w:tc>
          <w:tcPr>
            <w:tcW w:w="2775" w:type="dxa"/>
            <w:vAlign w:val="center"/>
          </w:tcPr>
          <w:p>
            <w:pPr>
              <w:jc w:val="center"/>
              <w:rPr>
                <w:rFonts w:hint="eastAsia" w:ascii="宋体" w:hAnsi="宋体" w:eastAsia="宋体" w:cs="宋体"/>
                <w:sz w:val="28"/>
                <w:szCs w:val="28"/>
                <w:highlight w:val="none"/>
              </w:rPr>
            </w:pPr>
          </w:p>
        </w:tc>
        <w:tc>
          <w:tcPr>
            <w:tcW w:w="2025" w:type="dxa"/>
            <w:vAlign w:val="center"/>
          </w:tcPr>
          <w:p>
            <w:pPr>
              <w:jc w:val="center"/>
              <w:rPr>
                <w:rFonts w:hint="eastAsia" w:ascii="宋体" w:hAnsi="宋体" w:eastAsia="宋体" w:cs="宋体"/>
                <w:sz w:val="28"/>
                <w:szCs w:val="28"/>
                <w:highlight w:val="none"/>
              </w:rPr>
            </w:pPr>
          </w:p>
        </w:tc>
        <w:tc>
          <w:tcPr>
            <w:tcW w:w="1478"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145" w:type="dxa"/>
            <w:vAlign w:val="center"/>
          </w:tcPr>
          <w:p>
            <w:pPr>
              <w:jc w:val="center"/>
              <w:rPr>
                <w:rFonts w:hint="eastAsia" w:ascii="宋体" w:hAnsi="宋体" w:eastAsia="宋体" w:cs="宋体"/>
                <w:sz w:val="28"/>
                <w:szCs w:val="28"/>
                <w:highlight w:val="none"/>
              </w:rPr>
            </w:pPr>
          </w:p>
        </w:tc>
        <w:tc>
          <w:tcPr>
            <w:tcW w:w="2775" w:type="dxa"/>
            <w:vAlign w:val="center"/>
          </w:tcPr>
          <w:p>
            <w:pPr>
              <w:jc w:val="center"/>
              <w:rPr>
                <w:rFonts w:hint="eastAsia" w:ascii="宋体" w:hAnsi="宋体" w:eastAsia="宋体" w:cs="宋体"/>
                <w:sz w:val="28"/>
                <w:szCs w:val="28"/>
                <w:highlight w:val="none"/>
              </w:rPr>
            </w:pPr>
          </w:p>
        </w:tc>
        <w:tc>
          <w:tcPr>
            <w:tcW w:w="2025" w:type="dxa"/>
            <w:vAlign w:val="center"/>
          </w:tcPr>
          <w:p>
            <w:pPr>
              <w:jc w:val="center"/>
              <w:rPr>
                <w:rFonts w:hint="eastAsia" w:ascii="宋体" w:hAnsi="宋体" w:eastAsia="宋体" w:cs="宋体"/>
                <w:sz w:val="28"/>
                <w:szCs w:val="28"/>
                <w:highlight w:val="none"/>
              </w:rPr>
            </w:pPr>
          </w:p>
        </w:tc>
        <w:tc>
          <w:tcPr>
            <w:tcW w:w="1478"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2145" w:type="dxa"/>
            <w:vAlign w:val="center"/>
          </w:tcPr>
          <w:p>
            <w:pPr>
              <w:jc w:val="center"/>
              <w:rPr>
                <w:rFonts w:hint="eastAsia" w:ascii="宋体" w:hAnsi="宋体" w:eastAsia="宋体" w:cs="宋体"/>
                <w:sz w:val="28"/>
                <w:szCs w:val="28"/>
                <w:highlight w:val="none"/>
              </w:rPr>
            </w:pPr>
          </w:p>
        </w:tc>
        <w:tc>
          <w:tcPr>
            <w:tcW w:w="2775" w:type="dxa"/>
            <w:vAlign w:val="center"/>
          </w:tcPr>
          <w:p>
            <w:pPr>
              <w:jc w:val="center"/>
              <w:rPr>
                <w:rFonts w:hint="eastAsia" w:ascii="宋体" w:hAnsi="宋体" w:eastAsia="宋体" w:cs="宋体"/>
                <w:sz w:val="28"/>
                <w:szCs w:val="28"/>
                <w:highlight w:val="none"/>
              </w:rPr>
            </w:pPr>
          </w:p>
        </w:tc>
        <w:tc>
          <w:tcPr>
            <w:tcW w:w="2025" w:type="dxa"/>
            <w:vAlign w:val="center"/>
          </w:tcPr>
          <w:p>
            <w:pPr>
              <w:jc w:val="center"/>
              <w:rPr>
                <w:rFonts w:hint="eastAsia" w:ascii="宋体" w:hAnsi="宋体" w:eastAsia="宋体" w:cs="宋体"/>
                <w:sz w:val="28"/>
                <w:szCs w:val="28"/>
                <w:highlight w:val="none"/>
              </w:rPr>
            </w:pPr>
          </w:p>
        </w:tc>
        <w:tc>
          <w:tcPr>
            <w:tcW w:w="1478"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145" w:type="dxa"/>
            <w:vAlign w:val="center"/>
          </w:tcPr>
          <w:p>
            <w:pPr>
              <w:jc w:val="center"/>
              <w:rPr>
                <w:rFonts w:hint="eastAsia" w:ascii="宋体" w:hAnsi="宋体" w:eastAsia="宋体" w:cs="宋体"/>
                <w:sz w:val="28"/>
                <w:szCs w:val="28"/>
                <w:highlight w:val="none"/>
              </w:rPr>
            </w:pPr>
          </w:p>
        </w:tc>
        <w:tc>
          <w:tcPr>
            <w:tcW w:w="2775" w:type="dxa"/>
            <w:vAlign w:val="center"/>
          </w:tcPr>
          <w:p>
            <w:pPr>
              <w:jc w:val="center"/>
              <w:rPr>
                <w:rFonts w:hint="eastAsia" w:ascii="宋体" w:hAnsi="宋体" w:eastAsia="宋体" w:cs="宋体"/>
                <w:sz w:val="28"/>
                <w:szCs w:val="28"/>
                <w:highlight w:val="none"/>
              </w:rPr>
            </w:pPr>
          </w:p>
        </w:tc>
        <w:tc>
          <w:tcPr>
            <w:tcW w:w="2025" w:type="dxa"/>
            <w:vAlign w:val="center"/>
          </w:tcPr>
          <w:p>
            <w:pPr>
              <w:jc w:val="center"/>
              <w:rPr>
                <w:rFonts w:hint="eastAsia" w:ascii="宋体" w:hAnsi="宋体" w:eastAsia="宋体" w:cs="宋体"/>
                <w:sz w:val="28"/>
                <w:szCs w:val="28"/>
                <w:highlight w:val="none"/>
              </w:rPr>
            </w:pPr>
          </w:p>
        </w:tc>
        <w:tc>
          <w:tcPr>
            <w:tcW w:w="1478" w:type="dxa"/>
            <w:vAlign w:val="center"/>
          </w:tcPr>
          <w:p>
            <w:pPr>
              <w:jc w:val="center"/>
              <w:rPr>
                <w:rFonts w:hint="eastAsia" w:ascii="宋体" w:hAnsi="宋体" w:eastAsia="宋体" w:cs="宋体"/>
                <w:sz w:val="28"/>
                <w:szCs w:val="28"/>
                <w:highlight w:val="none"/>
              </w:rPr>
            </w:pPr>
          </w:p>
        </w:tc>
      </w:tr>
    </w:tbl>
    <w:p>
      <w:pPr>
        <w:ind w:left="0" w:leftChars="0" w:firstLine="0" w:firstLineChars="0"/>
        <w:rPr>
          <w:rFonts w:hint="eastAsia" w:cs="宋体"/>
          <w:sz w:val="28"/>
          <w:szCs w:val="28"/>
          <w:highlight w:val="none"/>
          <w:lang w:val="en-US" w:eastAsia="zh-CN"/>
        </w:rPr>
      </w:pPr>
    </w:p>
    <w:p>
      <w:pPr>
        <w:ind w:left="0" w:leftChars="0" w:firstLine="0" w:firstLineChars="0"/>
        <w:rPr>
          <w:rFonts w:hint="default"/>
          <w:sz w:val="28"/>
          <w:szCs w:val="28"/>
          <w:highlight w:val="none"/>
          <w:lang w:val="en-US" w:eastAsia="zh-CN"/>
        </w:rPr>
      </w:pPr>
      <w:r>
        <w:rPr>
          <w:rFonts w:hint="eastAsia" w:cs="宋体"/>
          <w:sz w:val="28"/>
          <w:szCs w:val="28"/>
          <w:highlight w:val="none"/>
          <w:lang w:val="en-US" w:eastAsia="zh-CN"/>
        </w:rPr>
        <w:t>注：</w:t>
      </w:r>
      <w:r>
        <w:rPr>
          <w:rFonts w:hint="eastAsia"/>
          <w:sz w:val="28"/>
          <w:szCs w:val="28"/>
          <w:highlight w:val="none"/>
          <w:lang w:val="en-US" w:eastAsia="zh-CN"/>
        </w:rPr>
        <w:t>表后需附上述业绩的</w:t>
      </w:r>
      <w:r>
        <w:rPr>
          <w:rFonts w:hint="eastAsia" w:ascii="宋体" w:hAnsi="宋体" w:eastAsia="宋体" w:cs="宋体"/>
          <w:sz w:val="28"/>
          <w:szCs w:val="28"/>
          <w:highlight w:val="none"/>
          <w:lang w:val="en-US" w:eastAsia="zh-Hans"/>
        </w:rPr>
        <w:t>项目</w:t>
      </w:r>
      <w:r>
        <w:rPr>
          <w:rFonts w:hint="eastAsia" w:ascii="宋体" w:hAnsi="宋体" w:eastAsia="宋体" w:cs="宋体"/>
          <w:sz w:val="28"/>
          <w:szCs w:val="28"/>
          <w:highlight w:val="none"/>
          <w:lang w:val="en-US" w:eastAsia="zh-CN"/>
        </w:rPr>
        <w:t>招标代理合同关键页</w:t>
      </w:r>
      <w:r>
        <w:rPr>
          <w:rFonts w:hint="eastAsia" w:ascii="宋体" w:hAnsi="宋体" w:cs="宋体"/>
          <w:sz w:val="28"/>
          <w:szCs w:val="28"/>
          <w:highlight w:val="none"/>
          <w:lang w:val="en-US" w:eastAsia="zh-CN"/>
        </w:rPr>
        <w:t>、项目中标（成交）通知书复印件</w:t>
      </w:r>
      <w:r>
        <w:rPr>
          <w:rFonts w:hint="eastAsia" w:ascii="宋体" w:hAnsi="宋体" w:eastAsia="宋体" w:cs="宋体"/>
          <w:sz w:val="28"/>
          <w:szCs w:val="28"/>
          <w:highlight w:val="none"/>
          <w:lang w:val="en-US" w:eastAsia="zh-CN"/>
        </w:rPr>
        <w:t>加盖公章</w:t>
      </w:r>
      <w:r>
        <w:rPr>
          <w:rFonts w:hint="eastAsia" w:cs="宋体"/>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7</w:t>
      </w:r>
      <w:r>
        <w:rPr>
          <w:rFonts w:hint="eastAsia" w:ascii="宋体" w:hAnsi="宋体" w:eastAsia="宋体" w:cs="宋体"/>
          <w:b/>
          <w:bCs w:val="0"/>
          <w:sz w:val="28"/>
          <w:szCs w:val="28"/>
          <w:highlight w:val="none"/>
          <w:lang w:val="en-US" w:eastAsia="zh-CN"/>
        </w:rPr>
        <w:t>：供应商认为需提供的其他资料</w:t>
      </w:r>
    </w:p>
    <w:p>
      <w:pPr>
        <w:pStyle w:val="5"/>
        <w:rPr>
          <w:rFonts w:hint="eastAsia" w:ascii="宋体" w:hAnsi="宋体" w:eastAsia="宋体" w:cs="宋体"/>
          <w:sz w:val="28"/>
          <w:szCs w:val="28"/>
          <w:highlight w:val="none"/>
        </w:rPr>
      </w:pPr>
    </w:p>
    <w:p>
      <w:pPr>
        <w:pStyle w:val="4"/>
        <w:rPr>
          <w:rFonts w:hint="eastAsia"/>
          <w:sz w:val="28"/>
          <w:szCs w:val="28"/>
          <w:highlight w:val="none"/>
        </w:rPr>
      </w:pPr>
    </w:p>
    <w:p>
      <w:pPr>
        <w:rPr>
          <w:rFonts w:hint="eastAsia" w:ascii="宋体" w:hAnsi="宋体" w:eastAsia="宋体" w:cs="宋体"/>
        </w:rPr>
      </w:pPr>
    </w:p>
    <w:sectPr>
      <w:footerReference r:id="rId10"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rPr>
        <w:rFonts w:ascii="Lucida Sans Unicode" w:hAnsi="Lucida Sans Unicode" w:eastAsia="Lucida Sans Unicode" w:cs="Lucida Sans Unicode"/>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8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408"/>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posOffset>3017520</wp:posOffset>
              </wp:positionH>
              <wp:positionV relativeFrom="paragraph">
                <wp:posOffset>-224790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7.6pt;margin-top:-17.7pt;height:144pt;width:144pt;mso-position-horizontal-relative:margin;mso-wrap-style:none;z-index:251662336;mso-width-relative:page;mso-height-relative:page;" filled="f" stroked="f" coordsize="21600,21600" o:gfxdata="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WjBt2QAAAAsBAAAPAAAAAAAAAAEAIAAAACIAAABkcnMvZG93bnJldi54&#10;bWxQSwECFAAUAAAACACHTuJAf46tETICAABhBAAADgAAAAAAAAABACAAAAAo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20CC0"/>
    <w:multiLevelType w:val="singleLevel"/>
    <w:tmpl w:val="8C520CC0"/>
    <w:lvl w:ilvl="0" w:tentative="0">
      <w:start w:val="1"/>
      <w:numFmt w:val="chineseCounting"/>
      <w:suff w:val="nothing"/>
      <w:lvlText w:val="（%1）"/>
      <w:lvlJc w:val="left"/>
      <w:pPr>
        <w:ind w:left="0" w:firstLine="420"/>
      </w:pPr>
      <w:rPr>
        <w:rFonts w:hint="eastAsia"/>
      </w:rPr>
    </w:lvl>
  </w:abstractNum>
  <w:abstractNum w:abstractNumId="1">
    <w:nsid w:val="B006DC6F"/>
    <w:multiLevelType w:val="singleLevel"/>
    <w:tmpl w:val="B006DC6F"/>
    <w:lvl w:ilvl="0" w:tentative="0">
      <w:start w:val="1"/>
      <w:numFmt w:val="decimal"/>
      <w:suff w:val="nothing"/>
      <w:lvlText w:val="%1．"/>
      <w:lvlJc w:val="left"/>
      <w:pPr>
        <w:ind w:left="0" w:firstLine="400"/>
      </w:pPr>
      <w:rPr>
        <w:rFonts w:hint="default"/>
      </w:rPr>
    </w:lvl>
  </w:abstractNum>
  <w:abstractNum w:abstractNumId="2">
    <w:nsid w:val="D1AD4CD7"/>
    <w:multiLevelType w:val="singleLevel"/>
    <w:tmpl w:val="D1AD4CD7"/>
    <w:lvl w:ilvl="0" w:tentative="0">
      <w:start w:val="1"/>
      <w:numFmt w:val="decimal"/>
      <w:lvlText w:val="(%1)"/>
      <w:lvlJc w:val="left"/>
      <w:pPr>
        <w:ind w:left="425" w:hanging="425"/>
      </w:pPr>
      <w:rPr>
        <w:rFonts w:hint="default"/>
      </w:rPr>
    </w:lvl>
  </w:abstractNum>
  <w:abstractNum w:abstractNumId="3">
    <w:nsid w:val="D2EC1ADA"/>
    <w:multiLevelType w:val="singleLevel"/>
    <w:tmpl w:val="D2EC1ADA"/>
    <w:lvl w:ilvl="0" w:tentative="0">
      <w:start w:val="1"/>
      <w:numFmt w:val="decimal"/>
      <w:suff w:val="nothing"/>
      <w:lvlText w:val="%1．"/>
      <w:lvlJc w:val="left"/>
      <w:pPr>
        <w:ind w:left="0" w:firstLine="400"/>
      </w:pPr>
      <w:rPr>
        <w:rFonts w:hint="default"/>
      </w:rPr>
    </w:lvl>
  </w:abstractNum>
  <w:abstractNum w:abstractNumId="4">
    <w:nsid w:val="D5D9823E"/>
    <w:multiLevelType w:val="singleLevel"/>
    <w:tmpl w:val="D5D9823E"/>
    <w:lvl w:ilvl="0" w:tentative="0">
      <w:start w:val="1"/>
      <w:numFmt w:val="chineseCounting"/>
      <w:suff w:val="space"/>
      <w:lvlText w:val="第%1章"/>
      <w:lvlJc w:val="left"/>
      <w:rPr>
        <w:rFonts w:hint="eastAsia"/>
      </w:rPr>
    </w:lvl>
  </w:abstractNum>
  <w:abstractNum w:abstractNumId="5">
    <w:nsid w:val="DC2EBAAC"/>
    <w:multiLevelType w:val="singleLevel"/>
    <w:tmpl w:val="DC2EBAAC"/>
    <w:lvl w:ilvl="0" w:tentative="0">
      <w:start w:val="1"/>
      <w:numFmt w:val="decimal"/>
      <w:suff w:val="nothing"/>
      <w:lvlText w:val="%1．"/>
      <w:lvlJc w:val="left"/>
      <w:pPr>
        <w:ind w:left="0" w:firstLine="400"/>
      </w:pPr>
      <w:rPr>
        <w:rFonts w:hint="default"/>
      </w:rPr>
    </w:lvl>
  </w:abstractNum>
  <w:abstractNum w:abstractNumId="6">
    <w:nsid w:val="DE14A309"/>
    <w:multiLevelType w:val="singleLevel"/>
    <w:tmpl w:val="DE14A309"/>
    <w:lvl w:ilvl="0" w:tentative="0">
      <w:start w:val="1"/>
      <w:numFmt w:val="decimal"/>
      <w:suff w:val="nothing"/>
      <w:lvlText w:val="%1．"/>
      <w:lvlJc w:val="left"/>
      <w:pPr>
        <w:ind w:left="0" w:firstLine="400"/>
      </w:pPr>
      <w:rPr>
        <w:rFonts w:hint="default"/>
      </w:rPr>
    </w:lvl>
  </w:abstractNum>
  <w:abstractNum w:abstractNumId="7">
    <w:nsid w:val="F596B41B"/>
    <w:multiLevelType w:val="singleLevel"/>
    <w:tmpl w:val="F596B41B"/>
    <w:lvl w:ilvl="0" w:tentative="0">
      <w:start w:val="1"/>
      <w:numFmt w:val="decimal"/>
      <w:suff w:val="nothing"/>
      <w:lvlText w:val="%1、"/>
      <w:lvlJc w:val="left"/>
    </w:lvl>
  </w:abstractNum>
  <w:abstractNum w:abstractNumId="8">
    <w:nsid w:val="FA5EBE3E"/>
    <w:multiLevelType w:val="singleLevel"/>
    <w:tmpl w:val="FA5EBE3E"/>
    <w:lvl w:ilvl="0" w:tentative="0">
      <w:start w:val="1"/>
      <w:numFmt w:val="decimal"/>
      <w:suff w:val="nothing"/>
      <w:lvlText w:val="%1．"/>
      <w:lvlJc w:val="left"/>
      <w:pPr>
        <w:ind w:left="0" w:firstLine="400"/>
      </w:pPr>
      <w:rPr>
        <w:rFonts w:hint="default"/>
      </w:rPr>
    </w:lvl>
  </w:abstractNum>
  <w:abstractNum w:abstractNumId="9">
    <w:nsid w:val="FC135F13"/>
    <w:multiLevelType w:val="singleLevel"/>
    <w:tmpl w:val="FC135F13"/>
    <w:lvl w:ilvl="0" w:tentative="0">
      <w:start w:val="1"/>
      <w:numFmt w:val="chineseCounting"/>
      <w:suff w:val="nothing"/>
      <w:lvlText w:val="（%1）"/>
      <w:lvlJc w:val="left"/>
      <w:pPr>
        <w:ind w:left="0" w:firstLine="420"/>
      </w:pPr>
      <w:rPr>
        <w:rFonts w:hint="eastAsia"/>
      </w:rPr>
    </w:lvl>
  </w:abstractNum>
  <w:abstractNum w:abstractNumId="10">
    <w:nsid w:val="3C7813AA"/>
    <w:multiLevelType w:val="singleLevel"/>
    <w:tmpl w:val="3C7813AA"/>
    <w:lvl w:ilvl="0" w:tentative="0">
      <w:start w:val="1"/>
      <w:numFmt w:val="decimal"/>
      <w:suff w:val="nothing"/>
      <w:lvlText w:val="%1．"/>
      <w:lvlJc w:val="left"/>
    </w:lvl>
  </w:abstractNum>
  <w:abstractNum w:abstractNumId="11">
    <w:nsid w:val="51103398"/>
    <w:multiLevelType w:val="singleLevel"/>
    <w:tmpl w:val="51103398"/>
    <w:lvl w:ilvl="0" w:tentative="0">
      <w:start w:val="1"/>
      <w:numFmt w:val="decimal"/>
      <w:suff w:val="nothing"/>
      <w:lvlText w:val="%1、"/>
      <w:lvlJc w:val="left"/>
    </w:lvl>
  </w:abstractNum>
  <w:num w:numId="1">
    <w:abstractNumId w:val="4"/>
  </w:num>
  <w:num w:numId="2">
    <w:abstractNumId w:val="9"/>
  </w:num>
  <w:num w:numId="3">
    <w:abstractNumId w:val="5"/>
  </w:num>
  <w:num w:numId="4">
    <w:abstractNumId w:val="1"/>
  </w:num>
  <w:num w:numId="5">
    <w:abstractNumId w:val="2"/>
  </w:num>
  <w:num w:numId="6">
    <w:abstractNumId w:val="6"/>
  </w:num>
  <w:num w:numId="7">
    <w:abstractNumId w:val="0"/>
  </w:num>
  <w:num w:numId="8">
    <w:abstractNumId w:val="10"/>
  </w:num>
  <w:num w:numId="9">
    <w:abstractNumId w:val="8"/>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M0MjM0N2ZiMDdiOTVlNGIwYTY0NzA2ODdiOWIyZjMifQ=="/>
  </w:docVars>
  <w:rsids>
    <w:rsidRoot w:val="00000000"/>
    <w:rsid w:val="004559E4"/>
    <w:rsid w:val="006360BD"/>
    <w:rsid w:val="006B31C3"/>
    <w:rsid w:val="008E7DEC"/>
    <w:rsid w:val="00C77BB5"/>
    <w:rsid w:val="011B0745"/>
    <w:rsid w:val="012B4701"/>
    <w:rsid w:val="01BF5575"/>
    <w:rsid w:val="02906F11"/>
    <w:rsid w:val="0297204E"/>
    <w:rsid w:val="02BA3AFD"/>
    <w:rsid w:val="02DA6E91"/>
    <w:rsid w:val="03055BB7"/>
    <w:rsid w:val="039052F0"/>
    <w:rsid w:val="04510922"/>
    <w:rsid w:val="045713A0"/>
    <w:rsid w:val="048A7628"/>
    <w:rsid w:val="04C17856"/>
    <w:rsid w:val="04E90B5B"/>
    <w:rsid w:val="051F61D4"/>
    <w:rsid w:val="05403761"/>
    <w:rsid w:val="056326BB"/>
    <w:rsid w:val="06230D18"/>
    <w:rsid w:val="067508F8"/>
    <w:rsid w:val="06940FF5"/>
    <w:rsid w:val="06C158EB"/>
    <w:rsid w:val="06C278B5"/>
    <w:rsid w:val="0781507A"/>
    <w:rsid w:val="07AA3587"/>
    <w:rsid w:val="07C17B6D"/>
    <w:rsid w:val="07C311F8"/>
    <w:rsid w:val="07DA5F42"/>
    <w:rsid w:val="07E137FD"/>
    <w:rsid w:val="07FE66CB"/>
    <w:rsid w:val="08183C31"/>
    <w:rsid w:val="08DD09D6"/>
    <w:rsid w:val="08E626CE"/>
    <w:rsid w:val="09322AD0"/>
    <w:rsid w:val="095347F5"/>
    <w:rsid w:val="099C23DA"/>
    <w:rsid w:val="09A40A28"/>
    <w:rsid w:val="09B90AFC"/>
    <w:rsid w:val="09DB3168"/>
    <w:rsid w:val="09E532EA"/>
    <w:rsid w:val="09FB1114"/>
    <w:rsid w:val="0A0A57FB"/>
    <w:rsid w:val="0A232419"/>
    <w:rsid w:val="0A2438E3"/>
    <w:rsid w:val="0A552FFF"/>
    <w:rsid w:val="0A6749FB"/>
    <w:rsid w:val="0A73514E"/>
    <w:rsid w:val="0A9652E1"/>
    <w:rsid w:val="0AE272E2"/>
    <w:rsid w:val="0B642D6A"/>
    <w:rsid w:val="0BA463D6"/>
    <w:rsid w:val="0BB05F2E"/>
    <w:rsid w:val="0C525237"/>
    <w:rsid w:val="0C640EA6"/>
    <w:rsid w:val="0C992E66"/>
    <w:rsid w:val="0CB13F67"/>
    <w:rsid w:val="0D146F66"/>
    <w:rsid w:val="0D7779BA"/>
    <w:rsid w:val="0E730AF3"/>
    <w:rsid w:val="0EBE0962"/>
    <w:rsid w:val="0EE91E83"/>
    <w:rsid w:val="0EEB2FAD"/>
    <w:rsid w:val="0F3D21CF"/>
    <w:rsid w:val="0FBD0C1A"/>
    <w:rsid w:val="0FC65D20"/>
    <w:rsid w:val="0FEB612A"/>
    <w:rsid w:val="10635C65"/>
    <w:rsid w:val="10CA1840"/>
    <w:rsid w:val="11644A05"/>
    <w:rsid w:val="11865B31"/>
    <w:rsid w:val="119307BF"/>
    <w:rsid w:val="11E70450"/>
    <w:rsid w:val="11FD79F3"/>
    <w:rsid w:val="12015736"/>
    <w:rsid w:val="122907E8"/>
    <w:rsid w:val="1237703D"/>
    <w:rsid w:val="13070B2A"/>
    <w:rsid w:val="130B4B50"/>
    <w:rsid w:val="1467595F"/>
    <w:rsid w:val="14A625C4"/>
    <w:rsid w:val="151A266A"/>
    <w:rsid w:val="15451DDD"/>
    <w:rsid w:val="154B6339"/>
    <w:rsid w:val="15653784"/>
    <w:rsid w:val="157961AD"/>
    <w:rsid w:val="15AF44C3"/>
    <w:rsid w:val="15DF5D8E"/>
    <w:rsid w:val="15FB34ED"/>
    <w:rsid w:val="16242E4A"/>
    <w:rsid w:val="168D00C4"/>
    <w:rsid w:val="172577D0"/>
    <w:rsid w:val="17394465"/>
    <w:rsid w:val="17C034AD"/>
    <w:rsid w:val="17DD62FD"/>
    <w:rsid w:val="17EC7880"/>
    <w:rsid w:val="18037C01"/>
    <w:rsid w:val="185A5BA0"/>
    <w:rsid w:val="18B352B0"/>
    <w:rsid w:val="196E0C16"/>
    <w:rsid w:val="1977452F"/>
    <w:rsid w:val="19A35324"/>
    <w:rsid w:val="19BF6678"/>
    <w:rsid w:val="19C474E6"/>
    <w:rsid w:val="1A340CCE"/>
    <w:rsid w:val="1B0B7661"/>
    <w:rsid w:val="1B245FF1"/>
    <w:rsid w:val="1B3C158C"/>
    <w:rsid w:val="1B530478"/>
    <w:rsid w:val="1B9C5018"/>
    <w:rsid w:val="1BAC16B8"/>
    <w:rsid w:val="1C7E4525"/>
    <w:rsid w:val="1CA51364"/>
    <w:rsid w:val="1CAC5703"/>
    <w:rsid w:val="1CB1776A"/>
    <w:rsid w:val="1CD51C99"/>
    <w:rsid w:val="1CEF165E"/>
    <w:rsid w:val="1D315193"/>
    <w:rsid w:val="1D5C1A72"/>
    <w:rsid w:val="1D644DCB"/>
    <w:rsid w:val="1D7A45EE"/>
    <w:rsid w:val="1D857180"/>
    <w:rsid w:val="1DAD68E6"/>
    <w:rsid w:val="1DB00010"/>
    <w:rsid w:val="1DDC2BB3"/>
    <w:rsid w:val="1E0F2F88"/>
    <w:rsid w:val="1E6B1A67"/>
    <w:rsid w:val="1E70133C"/>
    <w:rsid w:val="1E894AE9"/>
    <w:rsid w:val="1E8C45D9"/>
    <w:rsid w:val="1EB83620"/>
    <w:rsid w:val="1EBE0DD1"/>
    <w:rsid w:val="1ED86965"/>
    <w:rsid w:val="1F5829E7"/>
    <w:rsid w:val="1F7722AB"/>
    <w:rsid w:val="1F941779"/>
    <w:rsid w:val="1FEB04B0"/>
    <w:rsid w:val="202F5F7B"/>
    <w:rsid w:val="204653B3"/>
    <w:rsid w:val="21472A39"/>
    <w:rsid w:val="216830DB"/>
    <w:rsid w:val="216C6FEF"/>
    <w:rsid w:val="217952E8"/>
    <w:rsid w:val="218D2B42"/>
    <w:rsid w:val="21D02A2F"/>
    <w:rsid w:val="21D85363"/>
    <w:rsid w:val="225C3A5E"/>
    <w:rsid w:val="2268469D"/>
    <w:rsid w:val="22995516"/>
    <w:rsid w:val="23B1063E"/>
    <w:rsid w:val="23B24AE2"/>
    <w:rsid w:val="246D0A09"/>
    <w:rsid w:val="24D467CB"/>
    <w:rsid w:val="24D82326"/>
    <w:rsid w:val="256A098B"/>
    <w:rsid w:val="25D6438C"/>
    <w:rsid w:val="25D845A8"/>
    <w:rsid w:val="261C26E6"/>
    <w:rsid w:val="264F6618"/>
    <w:rsid w:val="26507EDA"/>
    <w:rsid w:val="266D2F42"/>
    <w:rsid w:val="26BB3CAD"/>
    <w:rsid w:val="26C02E84"/>
    <w:rsid w:val="26C863CA"/>
    <w:rsid w:val="271909D4"/>
    <w:rsid w:val="27217E47"/>
    <w:rsid w:val="2723458A"/>
    <w:rsid w:val="276F4A98"/>
    <w:rsid w:val="27EC3B9E"/>
    <w:rsid w:val="28E74C36"/>
    <w:rsid w:val="290467D4"/>
    <w:rsid w:val="2942661E"/>
    <w:rsid w:val="298962E5"/>
    <w:rsid w:val="299E6333"/>
    <w:rsid w:val="2A0E0B36"/>
    <w:rsid w:val="2A1B4A63"/>
    <w:rsid w:val="2A585CB7"/>
    <w:rsid w:val="2AC10AF4"/>
    <w:rsid w:val="2ADA512F"/>
    <w:rsid w:val="2AFC1519"/>
    <w:rsid w:val="2AFC49AF"/>
    <w:rsid w:val="2B5621F6"/>
    <w:rsid w:val="2B577D1D"/>
    <w:rsid w:val="2B834DC3"/>
    <w:rsid w:val="2BA96BA3"/>
    <w:rsid w:val="2BCF1FA9"/>
    <w:rsid w:val="2BEE0681"/>
    <w:rsid w:val="2C0C6D59"/>
    <w:rsid w:val="2C50679B"/>
    <w:rsid w:val="2C622E5C"/>
    <w:rsid w:val="2C704A6C"/>
    <w:rsid w:val="2C7670C6"/>
    <w:rsid w:val="2C956D4E"/>
    <w:rsid w:val="2D55028C"/>
    <w:rsid w:val="2DC60356"/>
    <w:rsid w:val="2DCF003E"/>
    <w:rsid w:val="2E00644A"/>
    <w:rsid w:val="2E2F683D"/>
    <w:rsid w:val="2EA71BFD"/>
    <w:rsid w:val="2EA9088F"/>
    <w:rsid w:val="2F146650"/>
    <w:rsid w:val="2F7767C7"/>
    <w:rsid w:val="2FA84FEB"/>
    <w:rsid w:val="2FE37DD1"/>
    <w:rsid w:val="2FF26266"/>
    <w:rsid w:val="2FFF8D4E"/>
    <w:rsid w:val="30221FB4"/>
    <w:rsid w:val="3025663B"/>
    <w:rsid w:val="30517430"/>
    <w:rsid w:val="308B46F0"/>
    <w:rsid w:val="30E12562"/>
    <w:rsid w:val="311A5A74"/>
    <w:rsid w:val="3121658B"/>
    <w:rsid w:val="312B28BA"/>
    <w:rsid w:val="315439F5"/>
    <w:rsid w:val="31771119"/>
    <w:rsid w:val="31DB3CB2"/>
    <w:rsid w:val="32087FC3"/>
    <w:rsid w:val="32146967"/>
    <w:rsid w:val="325A6A70"/>
    <w:rsid w:val="3264344B"/>
    <w:rsid w:val="32AC4DF2"/>
    <w:rsid w:val="32C055C3"/>
    <w:rsid w:val="33062754"/>
    <w:rsid w:val="337A0A4C"/>
    <w:rsid w:val="339C09C3"/>
    <w:rsid w:val="33AA1331"/>
    <w:rsid w:val="33D71E67"/>
    <w:rsid w:val="34142C4F"/>
    <w:rsid w:val="34493FD1"/>
    <w:rsid w:val="34964F16"/>
    <w:rsid w:val="34A51AF9"/>
    <w:rsid w:val="34C2013F"/>
    <w:rsid w:val="34C814AA"/>
    <w:rsid w:val="34D50630"/>
    <w:rsid w:val="35123632"/>
    <w:rsid w:val="35343F8E"/>
    <w:rsid w:val="35510B0A"/>
    <w:rsid w:val="35527ED3"/>
    <w:rsid w:val="358B0CEF"/>
    <w:rsid w:val="35B9585C"/>
    <w:rsid w:val="35EC053A"/>
    <w:rsid w:val="366F23BE"/>
    <w:rsid w:val="36B129D7"/>
    <w:rsid w:val="36B37E4F"/>
    <w:rsid w:val="36CC15BF"/>
    <w:rsid w:val="36D05553"/>
    <w:rsid w:val="3706047E"/>
    <w:rsid w:val="37262F09"/>
    <w:rsid w:val="372D1C56"/>
    <w:rsid w:val="37922808"/>
    <w:rsid w:val="3793309E"/>
    <w:rsid w:val="37A91C61"/>
    <w:rsid w:val="383438BF"/>
    <w:rsid w:val="383B4C4E"/>
    <w:rsid w:val="38557378"/>
    <w:rsid w:val="38F605A0"/>
    <w:rsid w:val="393B1CEB"/>
    <w:rsid w:val="39704507"/>
    <w:rsid w:val="39DA0497"/>
    <w:rsid w:val="3A080B60"/>
    <w:rsid w:val="3A7B2781"/>
    <w:rsid w:val="3AB94081"/>
    <w:rsid w:val="3B1559DC"/>
    <w:rsid w:val="3B6250F8"/>
    <w:rsid w:val="3B7874EE"/>
    <w:rsid w:val="3BB520E4"/>
    <w:rsid w:val="3C0A42EF"/>
    <w:rsid w:val="3D14181E"/>
    <w:rsid w:val="3DFF0186"/>
    <w:rsid w:val="3E246C74"/>
    <w:rsid w:val="3F004E42"/>
    <w:rsid w:val="3F116709"/>
    <w:rsid w:val="3F446ADE"/>
    <w:rsid w:val="3F732F1F"/>
    <w:rsid w:val="3FDF4713"/>
    <w:rsid w:val="3FEE1D4E"/>
    <w:rsid w:val="3FFD010D"/>
    <w:rsid w:val="40414DCB"/>
    <w:rsid w:val="404E344B"/>
    <w:rsid w:val="40537F9E"/>
    <w:rsid w:val="40792819"/>
    <w:rsid w:val="4093139F"/>
    <w:rsid w:val="40C17909"/>
    <w:rsid w:val="40DB5220"/>
    <w:rsid w:val="40E83499"/>
    <w:rsid w:val="41016309"/>
    <w:rsid w:val="417A1215"/>
    <w:rsid w:val="417B45BB"/>
    <w:rsid w:val="41812501"/>
    <w:rsid w:val="41A35FA4"/>
    <w:rsid w:val="41AF3FB7"/>
    <w:rsid w:val="41D61543"/>
    <w:rsid w:val="422150B6"/>
    <w:rsid w:val="422C1AAB"/>
    <w:rsid w:val="428B4A24"/>
    <w:rsid w:val="42BB0511"/>
    <w:rsid w:val="42DF2DEB"/>
    <w:rsid w:val="42E163F2"/>
    <w:rsid w:val="42F04887"/>
    <w:rsid w:val="42F73E67"/>
    <w:rsid w:val="43452E25"/>
    <w:rsid w:val="437F45A1"/>
    <w:rsid w:val="43AD172F"/>
    <w:rsid w:val="442B201A"/>
    <w:rsid w:val="44CB7A0A"/>
    <w:rsid w:val="44CE6E4A"/>
    <w:rsid w:val="44D426B2"/>
    <w:rsid w:val="45070EFD"/>
    <w:rsid w:val="45773D62"/>
    <w:rsid w:val="46252A99"/>
    <w:rsid w:val="468715E7"/>
    <w:rsid w:val="46C319F3"/>
    <w:rsid w:val="4712772E"/>
    <w:rsid w:val="476615BC"/>
    <w:rsid w:val="477E6905"/>
    <w:rsid w:val="47A3636C"/>
    <w:rsid w:val="47BB36B5"/>
    <w:rsid w:val="47FC782A"/>
    <w:rsid w:val="483115A6"/>
    <w:rsid w:val="48671147"/>
    <w:rsid w:val="48757D08"/>
    <w:rsid w:val="48FC3F85"/>
    <w:rsid w:val="491C63D6"/>
    <w:rsid w:val="496861BB"/>
    <w:rsid w:val="498F4DFA"/>
    <w:rsid w:val="4A2D63C1"/>
    <w:rsid w:val="4A6A3171"/>
    <w:rsid w:val="4B020109"/>
    <w:rsid w:val="4B1F03FF"/>
    <w:rsid w:val="4B7A29DA"/>
    <w:rsid w:val="4BB74194"/>
    <w:rsid w:val="4BEB02E1"/>
    <w:rsid w:val="4C4C6FD2"/>
    <w:rsid w:val="4C855C40"/>
    <w:rsid w:val="4CB359E1"/>
    <w:rsid w:val="4CF03E01"/>
    <w:rsid w:val="4D113D78"/>
    <w:rsid w:val="4D4203D5"/>
    <w:rsid w:val="4DBF1229"/>
    <w:rsid w:val="4DD3102D"/>
    <w:rsid w:val="4E0B4C6B"/>
    <w:rsid w:val="4E15526D"/>
    <w:rsid w:val="4E8A5B90"/>
    <w:rsid w:val="4F3F2E1E"/>
    <w:rsid w:val="50263E67"/>
    <w:rsid w:val="50490F51"/>
    <w:rsid w:val="505F0E17"/>
    <w:rsid w:val="509D01D0"/>
    <w:rsid w:val="51087240"/>
    <w:rsid w:val="51090130"/>
    <w:rsid w:val="513261EA"/>
    <w:rsid w:val="51782617"/>
    <w:rsid w:val="522845F8"/>
    <w:rsid w:val="52450697"/>
    <w:rsid w:val="53591057"/>
    <w:rsid w:val="53F84AA7"/>
    <w:rsid w:val="545155B0"/>
    <w:rsid w:val="54907C78"/>
    <w:rsid w:val="54D04518"/>
    <w:rsid w:val="55264138"/>
    <w:rsid w:val="553A4B4F"/>
    <w:rsid w:val="553E1482"/>
    <w:rsid w:val="55422E25"/>
    <w:rsid w:val="55F3226C"/>
    <w:rsid w:val="563F1955"/>
    <w:rsid w:val="567B1001"/>
    <w:rsid w:val="568850AA"/>
    <w:rsid w:val="56D24578"/>
    <w:rsid w:val="570F2316"/>
    <w:rsid w:val="573B1383"/>
    <w:rsid w:val="575D5D39"/>
    <w:rsid w:val="57835B27"/>
    <w:rsid w:val="578B34D5"/>
    <w:rsid w:val="57D85BBE"/>
    <w:rsid w:val="582901C7"/>
    <w:rsid w:val="58443253"/>
    <w:rsid w:val="589E2AD0"/>
    <w:rsid w:val="590B5B1F"/>
    <w:rsid w:val="597B2E85"/>
    <w:rsid w:val="59CA1091"/>
    <w:rsid w:val="5A132EDD"/>
    <w:rsid w:val="5A184FF2"/>
    <w:rsid w:val="5A3D3D89"/>
    <w:rsid w:val="5A851901"/>
    <w:rsid w:val="5A8B229B"/>
    <w:rsid w:val="5A946975"/>
    <w:rsid w:val="5AAD1584"/>
    <w:rsid w:val="5AAE70AA"/>
    <w:rsid w:val="5AB02E22"/>
    <w:rsid w:val="5B5312AF"/>
    <w:rsid w:val="5B9E2C7A"/>
    <w:rsid w:val="5BA06CC8"/>
    <w:rsid w:val="5BE32D83"/>
    <w:rsid w:val="5BF63A6F"/>
    <w:rsid w:val="5C14359D"/>
    <w:rsid w:val="5C50666A"/>
    <w:rsid w:val="5CA803DD"/>
    <w:rsid w:val="5CD03FBA"/>
    <w:rsid w:val="5D8506D6"/>
    <w:rsid w:val="5E32185E"/>
    <w:rsid w:val="5E653F23"/>
    <w:rsid w:val="5E6EF55F"/>
    <w:rsid w:val="5E8F2D4E"/>
    <w:rsid w:val="5EB01642"/>
    <w:rsid w:val="5EBF1B31"/>
    <w:rsid w:val="5EE33EB8"/>
    <w:rsid w:val="5F2A342A"/>
    <w:rsid w:val="5F6F05CB"/>
    <w:rsid w:val="5F9F9AAF"/>
    <w:rsid w:val="5FE07D05"/>
    <w:rsid w:val="608D114A"/>
    <w:rsid w:val="608F34D9"/>
    <w:rsid w:val="609C34DC"/>
    <w:rsid w:val="61377DF9"/>
    <w:rsid w:val="61532759"/>
    <w:rsid w:val="618E5A09"/>
    <w:rsid w:val="61A84853"/>
    <w:rsid w:val="61BB3EF2"/>
    <w:rsid w:val="6247406C"/>
    <w:rsid w:val="626D03FC"/>
    <w:rsid w:val="62C76F5B"/>
    <w:rsid w:val="630E4B89"/>
    <w:rsid w:val="632C3261"/>
    <w:rsid w:val="633B719E"/>
    <w:rsid w:val="633C485D"/>
    <w:rsid w:val="634467FD"/>
    <w:rsid w:val="63C811DC"/>
    <w:rsid w:val="64047D3A"/>
    <w:rsid w:val="641B635A"/>
    <w:rsid w:val="6477050C"/>
    <w:rsid w:val="64A160A4"/>
    <w:rsid w:val="64ED07CF"/>
    <w:rsid w:val="65182285"/>
    <w:rsid w:val="659F41BF"/>
    <w:rsid w:val="65BB2A67"/>
    <w:rsid w:val="65C854C3"/>
    <w:rsid w:val="65EB51FE"/>
    <w:rsid w:val="667D5C3E"/>
    <w:rsid w:val="670562A3"/>
    <w:rsid w:val="675B5EC3"/>
    <w:rsid w:val="677671A1"/>
    <w:rsid w:val="685017A0"/>
    <w:rsid w:val="68753AE4"/>
    <w:rsid w:val="68C9702B"/>
    <w:rsid w:val="69006D22"/>
    <w:rsid w:val="69372020"/>
    <w:rsid w:val="69473346"/>
    <w:rsid w:val="69EB79D2"/>
    <w:rsid w:val="69F50021"/>
    <w:rsid w:val="69F566F5"/>
    <w:rsid w:val="6A116D0D"/>
    <w:rsid w:val="6A1339F0"/>
    <w:rsid w:val="6A5C267E"/>
    <w:rsid w:val="6A89593D"/>
    <w:rsid w:val="6A98532D"/>
    <w:rsid w:val="6A990FFC"/>
    <w:rsid w:val="6AF24D91"/>
    <w:rsid w:val="6AFC5C0F"/>
    <w:rsid w:val="6B3E3B32"/>
    <w:rsid w:val="6B4A697B"/>
    <w:rsid w:val="6B53745D"/>
    <w:rsid w:val="6BC56001"/>
    <w:rsid w:val="6BF608B1"/>
    <w:rsid w:val="6C8639E2"/>
    <w:rsid w:val="6D765805"/>
    <w:rsid w:val="6DE54739"/>
    <w:rsid w:val="6E3C30EB"/>
    <w:rsid w:val="6EAB61CC"/>
    <w:rsid w:val="6EC26948"/>
    <w:rsid w:val="6F03756C"/>
    <w:rsid w:val="6F186900"/>
    <w:rsid w:val="6F5A79A1"/>
    <w:rsid w:val="6F9622F0"/>
    <w:rsid w:val="6FB76BAD"/>
    <w:rsid w:val="6FE7C754"/>
    <w:rsid w:val="6FEF189F"/>
    <w:rsid w:val="700F1F41"/>
    <w:rsid w:val="70114690"/>
    <w:rsid w:val="706758D9"/>
    <w:rsid w:val="70891CF3"/>
    <w:rsid w:val="709E66AA"/>
    <w:rsid w:val="71080E6A"/>
    <w:rsid w:val="711A0B9D"/>
    <w:rsid w:val="7189187F"/>
    <w:rsid w:val="729F135A"/>
    <w:rsid w:val="72A97BB3"/>
    <w:rsid w:val="72F35B4A"/>
    <w:rsid w:val="72F96CB0"/>
    <w:rsid w:val="730906A8"/>
    <w:rsid w:val="7349576A"/>
    <w:rsid w:val="735D2FC3"/>
    <w:rsid w:val="737C7C62"/>
    <w:rsid w:val="73B70925"/>
    <w:rsid w:val="74720B12"/>
    <w:rsid w:val="74D06143"/>
    <w:rsid w:val="74D53759"/>
    <w:rsid w:val="74DA2B1D"/>
    <w:rsid w:val="75137DDD"/>
    <w:rsid w:val="7598224C"/>
    <w:rsid w:val="75C612F4"/>
    <w:rsid w:val="75E05554"/>
    <w:rsid w:val="75E1612D"/>
    <w:rsid w:val="76A73226"/>
    <w:rsid w:val="7767F223"/>
    <w:rsid w:val="788A6608"/>
    <w:rsid w:val="79B25E17"/>
    <w:rsid w:val="7AAC7A9D"/>
    <w:rsid w:val="7ADD5115"/>
    <w:rsid w:val="7AF661D7"/>
    <w:rsid w:val="7B191EC6"/>
    <w:rsid w:val="7B32245F"/>
    <w:rsid w:val="7B3F5C18"/>
    <w:rsid w:val="7B471EA9"/>
    <w:rsid w:val="7B6A54D9"/>
    <w:rsid w:val="7B7F441F"/>
    <w:rsid w:val="7BFD3595"/>
    <w:rsid w:val="7C3F11F4"/>
    <w:rsid w:val="7C6158D2"/>
    <w:rsid w:val="7CFA64E3"/>
    <w:rsid w:val="7D3C258F"/>
    <w:rsid w:val="7D52346D"/>
    <w:rsid w:val="7D9BEB37"/>
    <w:rsid w:val="7DB6452C"/>
    <w:rsid w:val="7DEB7B49"/>
    <w:rsid w:val="7E9F5312"/>
    <w:rsid w:val="7EDCDB20"/>
    <w:rsid w:val="7EFD0F6E"/>
    <w:rsid w:val="7F65392B"/>
    <w:rsid w:val="7F6A2CF0"/>
    <w:rsid w:val="7F6F0306"/>
    <w:rsid w:val="7F9D2F50"/>
    <w:rsid w:val="7FAA57E2"/>
    <w:rsid w:val="7FE24F7C"/>
    <w:rsid w:val="7FE531F9"/>
    <w:rsid w:val="7FEE8958"/>
    <w:rsid w:val="7FFB603E"/>
    <w:rsid w:val="954C74B3"/>
    <w:rsid w:val="ACFE8B1F"/>
    <w:rsid w:val="BFDD5214"/>
    <w:rsid w:val="BFFB3168"/>
    <w:rsid w:val="DBFBBC0B"/>
    <w:rsid w:val="E2BF699C"/>
    <w:rsid w:val="EE9DA2D5"/>
    <w:rsid w:val="FA3724FF"/>
    <w:rsid w:val="FADEDB3A"/>
    <w:rsid w:val="FDF6E576"/>
    <w:rsid w:val="FE673E0C"/>
    <w:rsid w:val="FFE77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仿宋"/>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ind w:firstLine="420" w:firstLineChars="200"/>
      <w:outlineLvl w:val="1"/>
    </w:pPr>
    <w:rPr>
      <w:rFonts w:ascii="Arial" w:hAnsi="Arial" w:eastAsia="仿宋"/>
      <w:b/>
      <w:sz w:val="24"/>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jc w:val="left"/>
    </w:pPr>
    <w:rPr>
      <w:rFonts w:ascii="Times New Roman" w:hAnsi="Times New Roman"/>
      <w:szCs w:val="20"/>
      <w:lang w:eastAsia="zh-TW"/>
    </w:rPr>
  </w:style>
  <w:style w:type="paragraph" w:styleId="8">
    <w:name w:val="Body Text Indent 2"/>
    <w:basedOn w:val="1"/>
    <w:qFormat/>
    <w:uiPriority w:val="0"/>
    <w:pPr>
      <w:spacing w:after="120" w:line="480" w:lineRule="auto"/>
      <w:ind w:left="420"/>
    </w:pPr>
    <w:rPr>
      <w:rFonts w:ascii="Times New Roman" w:hAnsi="Times New Roman"/>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_Style 3"/>
    <w:qFormat/>
    <w:uiPriority w:val="99"/>
    <w:pPr>
      <w:widowControl w:val="0"/>
      <w:ind w:firstLine="420" w:firstLineChars="200"/>
      <w:jc w:val="both"/>
    </w:pPr>
    <w:rPr>
      <w:rFonts w:ascii="Calibri" w:hAnsi="Calibri" w:eastAsia="宋体" w:cs="Times New Roman"/>
      <w:kern w:val="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20439</Words>
  <Characters>21033</Characters>
  <TotalTime>0</TotalTime>
  <ScaleCrop>false</ScaleCrop>
  <LinksUpToDate>false</LinksUpToDate>
  <CharactersWithSpaces>21135</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2023-02-22T00:34:00Z</dcterms:created>
  <dc:creator>Yang</dc:creator>
  <cp:lastModifiedBy>德发</cp:lastModifiedBy>
  <cp:lastPrinted>2023-08-31T02:45:00Z</cp:lastPrinted>
  <dcterms:modified xsi:type="dcterms:W3CDTF">2023-10-27T08:22:49Z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2023-03-24T08:25:12Z</vt:filetime>
  </property>
  <property fmtid="{D5CDD505-2E9C-101B-9397-08002B2CF9AE}" pid="4" name="KSOProductBuildVer">
    <vt:lpwstr>2052-12.1.0.15712</vt:lpwstr>
  </property>
  <property fmtid="{D5CDD505-2E9C-101B-9397-08002B2CF9AE}" pid="5" name="ICV">
    <vt:lpwstr>3C33CC8FA387476B8134746176BAE330_13</vt:lpwstr>
  </property>
</Properties>
</file>