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4" w:rightChars="21"/>
        <w:jc w:val="center"/>
        <w:rPr>
          <w:rStyle w:val="14"/>
          <w:rFonts w:ascii="仿宋" w:hAnsi="仿宋" w:eastAsia="仿宋"/>
          <w:b/>
          <w:sz w:val="44"/>
          <w:szCs w:val="44"/>
          <w:highlight w:val="none"/>
        </w:rPr>
      </w:pPr>
    </w:p>
    <w:p>
      <w:pPr>
        <w:spacing w:line="360" w:lineRule="auto"/>
        <w:ind w:right="44" w:rightChars="21"/>
        <w:jc w:val="center"/>
        <w:rPr>
          <w:rStyle w:val="14"/>
          <w:rFonts w:ascii="仿宋" w:hAnsi="仿宋" w:eastAsia="仿宋"/>
          <w:bCs/>
          <w:sz w:val="44"/>
          <w:szCs w:val="44"/>
          <w:highlight w:val="none"/>
        </w:rPr>
      </w:pPr>
      <w:r>
        <w:rPr>
          <w:rStyle w:val="14"/>
          <w:rFonts w:ascii="仿宋" w:hAnsi="仿宋" w:eastAsia="仿宋"/>
          <w:bCs/>
          <w:sz w:val="44"/>
          <w:szCs w:val="44"/>
          <w:highlight w:val="none"/>
        </w:rPr>
        <w:t>汕尾市20</w:t>
      </w:r>
      <w:r>
        <w:rPr>
          <w:rStyle w:val="14"/>
          <w:rFonts w:hint="eastAsia" w:ascii="仿宋" w:hAnsi="仿宋" w:eastAsia="仿宋"/>
          <w:bCs/>
          <w:sz w:val="44"/>
          <w:szCs w:val="44"/>
          <w:highlight w:val="none"/>
          <w:lang w:val="en-US" w:eastAsia="zh-CN"/>
        </w:rPr>
        <w:t>22</w:t>
      </w:r>
      <w:r>
        <w:rPr>
          <w:rStyle w:val="14"/>
          <w:rFonts w:ascii="仿宋" w:hAnsi="仿宋" w:eastAsia="仿宋"/>
          <w:bCs/>
          <w:sz w:val="44"/>
          <w:szCs w:val="44"/>
          <w:highlight w:val="none"/>
        </w:rPr>
        <w:t>年度高标准农田建设项目</w:t>
      </w:r>
    </w:p>
    <w:p>
      <w:pPr>
        <w:spacing w:line="360" w:lineRule="auto"/>
        <w:jc w:val="center"/>
        <w:rPr>
          <w:rStyle w:val="14"/>
          <w:rFonts w:ascii="仿宋" w:hAnsi="仿宋" w:eastAsia="仿宋"/>
          <w:bCs/>
          <w:sz w:val="52"/>
          <w:szCs w:val="36"/>
          <w:highlight w:val="none"/>
        </w:rPr>
      </w:pP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验</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收</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工</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作</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方</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案</w:t>
      </w:r>
    </w:p>
    <w:p>
      <w:pPr>
        <w:spacing w:line="360" w:lineRule="auto"/>
        <w:jc w:val="center"/>
        <w:rPr>
          <w:rStyle w:val="14"/>
          <w:rFonts w:ascii="仿宋" w:hAnsi="仿宋" w:eastAsia="仿宋"/>
          <w:b/>
          <w:sz w:val="36"/>
          <w:szCs w:val="36"/>
          <w:highlight w:val="none"/>
        </w:rPr>
      </w:pPr>
    </w:p>
    <w:p>
      <w:pPr>
        <w:spacing w:line="360" w:lineRule="auto"/>
        <w:jc w:val="center"/>
        <w:rPr>
          <w:rStyle w:val="14"/>
          <w:rFonts w:ascii="仿宋" w:hAnsi="仿宋" w:eastAsia="仿宋"/>
          <w:b/>
          <w:sz w:val="36"/>
          <w:szCs w:val="36"/>
          <w:highlight w:val="none"/>
        </w:rPr>
      </w:pPr>
    </w:p>
    <w:p>
      <w:pPr>
        <w:pStyle w:val="20"/>
        <w:spacing w:before="0" w:after="0" w:line="360" w:lineRule="auto"/>
        <w:ind w:left="850" w:leftChars="405"/>
        <w:rPr>
          <w:rStyle w:val="14"/>
          <w:rFonts w:ascii="仿宋" w:hAnsi="仿宋" w:eastAsia="仿宋" w:cs="仿宋"/>
          <w:sz w:val="32"/>
          <w:szCs w:val="32"/>
          <w:highlight w:val="none"/>
        </w:rPr>
      </w:pPr>
      <w:r>
        <w:rPr>
          <w:rStyle w:val="14"/>
          <w:rFonts w:hint="eastAsia" w:ascii="仿宋" w:hAnsi="仿宋" w:eastAsia="仿宋" w:cs="仿宋"/>
          <w:spacing w:val="10"/>
          <w:kern w:val="0"/>
          <w:sz w:val="32"/>
          <w:szCs w:val="32"/>
          <w:highlight w:val="none"/>
          <w:fitText w:val="1600" w:id="-1936455167"/>
        </w:rPr>
        <w:t>主管部门</w:t>
      </w:r>
      <w:r>
        <w:rPr>
          <w:rStyle w:val="14"/>
          <w:rFonts w:ascii="仿宋" w:hAnsi="仿宋" w:eastAsia="仿宋" w:cs="仿宋"/>
          <w:spacing w:val="0"/>
          <w:kern w:val="0"/>
          <w:szCs w:val="21"/>
          <w:highlight w:val="none"/>
          <w:fitText w:val="1600" w:id="-1936455167"/>
        </w:rPr>
        <w:t>：</w:t>
      </w:r>
      <w:r>
        <w:rPr>
          <w:rStyle w:val="14"/>
          <w:rFonts w:ascii="仿宋" w:hAnsi="仿宋" w:eastAsia="仿宋" w:cs="仿宋"/>
          <w:spacing w:val="138"/>
          <w:kern w:val="0"/>
          <w:sz w:val="32"/>
          <w:szCs w:val="32"/>
          <w:highlight w:val="none"/>
          <w:fitText w:val="4494" w:id="-1936457212"/>
        </w:rPr>
        <w:t>汕尾市农业农村</w:t>
      </w:r>
      <w:r>
        <w:rPr>
          <w:rStyle w:val="14"/>
          <w:rFonts w:ascii="仿宋" w:hAnsi="仿宋" w:eastAsia="仿宋" w:cs="仿宋"/>
          <w:spacing w:val="1"/>
          <w:kern w:val="0"/>
          <w:sz w:val="32"/>
          <w:szCs w:val="32"/>
          <w:highlight w:val="none"/>
          <w:fitText w:val="4494" w:id="-1936457212"/>
        </w:rPr>
        <w:t>局</w:t>
      </w:r>
    </w:p>
    <w:p>
      <w:pPr>
        <w:pStyle w:val="20"/>
        <w:spacing w:before="0" w:after="0" w:line="360" w:lineRule="auto"/>
        <w:ind w:left="850" w:leftChars="405"/>
        <w:jc w:val="both"/>
        <w:rPr>
          <w:rStyle w:val="14"/>
          <w:rFonts w:hint="default" w:ascii="仿宋" w:hAnsi="仿宋" w:eastAsia="仿宋" w:cs="仿宋"/>
          <w:spacing w:val="22"/>
          <w:kern w:val="0"/>
          <w:sz w:val="32"/>
          <w:szCs w:val="32"/>
          <w:highlight w:val="none"/>
          <w:fitText w:val="4494" w:id="-1936457212"/>
          <w:lang w:val="en-US" w:eastAsia="zh-CN"/>
        </w:rPr>
      </w:pPr>
      <w:r>
        <w:rPr>
          <w:rStyle w:val="14"/>
          <w:rFonts w:hint="eastAsia" w:ascii="仿宋" w:hAnsi="仿宋" w:eastAsia="仿宋" w:cs="仿宋"/>
          <w:spacing w:val="5"/>
          <w:kern w:val="0"/>
          <w:sz w:val="32"/>
          <w:szCs w:val="32"/>
          <w:highlight w:val="none"/>
          <w:fitText w:val="1600" w:id="-1936455168"/>
        </w:rPr>
        <w:t>组织单位</w:t>
      </w:r>
      <w:r>
        <w:rPr>
          <w:rStyle w:val="14"/>
          <w:rFonts w:hint="eastAsia" w:ascii="仿宋" w:hAnsi="仿宋" w:eastAsia="仿宋" w:cs="仿宋"/>
          <w:spacing w:val="0"/>
          <w:kern w:val="0"/>
          <w:sz w:val="28"/>
          <w:szCs w:val="28"/>
          <w:highlight w:val="none"/>
          <w:fitText w:val="1600" w:id="-1936455168"/>
        </w:rPr>
        <w:t>：</w:t>
      </w:r>
      <w:r>
        <w:rPr>
          <w:rStyle w:val="14"/>
          <w:rFonts w:hint="eastAsia" w:ascii="仿宋" w:hAnsi="仿宋" w:eastAsia="仿宋" w:cs="仿宋"/>
          <w:spacing w:val="29"/>
          <w:kern w:val="0"/>
          <w:sz w:val="32"/>
          <w:szCs w:val="32"/>
          <w:highlight w:val="none"/>
          <w:fitText w:val="4494" w:id="-1936457212"/>
          <w:lang w:val="en-US" w:eastAsia="zh-CN"/>
        </w:rPr>
        <w:t>广东省建工设计院有限公</w:t>
      </w:r>
      <w:r>
        <w:rPr>
          <w:rStyle w:val="14"/>
          <w:rFonts w:hint="eastAsia" w:ascii="仿宋" w:hAnsi="仿宋" w:eastAsia="仿宋" w:cs="仿宋"/>
          <w:spacing w:val="8"/>
          <w:kern w:val="0"/>
          <w:sz w:val="32"/>
          <w:szCs w:val="32"/>
          <w:highlight w:val="none"/>
          <w:fitText w:val="4494" w:id="-1936457212"/>
          <w:lang w:val="en-US" w:eastAsia="zh-CN"/>
        </w:rPr>
        <w:t>司</w:t>
      </w:r>
    </w:p>
    <w:p>
      <w:pPr>
        <w:pStyle w:val="20"/>
        <w:spacing w:before="0" w:after="0" w:line="360" w:lineRule="auto"/>
        <w:ind w:left="850" w:leftChars="405"/>
        <w:rPr>
          <w:rStyle w:val="14"/>
          <w:rFonts w:ascii="仿宋" w:hAnsi="仿宋" w:eastAsia="仿宋"/>
          <w:sz w:val="36"/>
          <w:szCs w:val="36"/>
          <w:highlight w:val="none"/>
        </w:rPr>
      </w:pPr>
      <w:r>
        <w:rPr>
          <w:rStyle w:val="14"/>
          <w:rFonts w:ascii="仿宋" w:hAnsi="仿宋" w:eastAsia="仿宋" w:cs="仿宋"/>
          <w:spacing w:val="6"/>
          <w:kern w:val="0"/>
          <w:sz w:val="32"/>
          <w:szCs w:val="32"/>
          <w:highlight w:val="none"/>
          <w:fitText w:val="1600" w:id="-1936455166"/>
        </w:rPr>
        <w:t>日    期</w:t>
      </w:r>
      <w:r>
        <w:rPr>
          <w:rStyle w:val="14"/>
          <w:rFonts w:ascii="仿宋" w:hAnsi="仿宋" w:eastAsia="仿宋" w:cs="仿宋"/>
          <w:spacing w:val="4"/>
          <w:kern w:val="0"/>
          <w:szCs w:val="21"/>
          <w:highlight w:val="none"/>
          <w:fitText w:val="1600" w:id="-1936455166"/>
        </w:rPr>
        <w:t>：</w:t>
      </w:r>
      <w:r>
        <w:rPr>
          <w:rStyle w:val="14"/>
          <w:rFonts w:hint="eastAsia" w:ascii="仿宋" w:hAnsi="仿宋" w:eastAsia="仿宋" w:cs="仿宋"/>
          <w:spacing w:val="187"/>
          <w:kern w:val="0"/>
          <w:sz w:val="32"/>
          <w:szCs w:val="32"/>
          <w:highlight w:val="none"/>
          <w:fitText w:val="4494" w:id="-1936456960"/>
        </w:rPr>
        <w:t>二〇二</w:t>
      </w:r>
      <w:r>
        <w:rPr>
          <w:rStyle w:val="14"/>
          <w:rFonts w:hint="eastAsia" w:ascii="仿宋" w:hAnsi="仿宋" w:eastAsia="仿宋" w:cs="仿宋"/>
          <w:spacing w:val="187"/>
          <w:kern w:val="0"/>
          <w:sz w:val="32"/>
          <w:szCs w:val="32"/>
          <w:highlight w:val="none"/>
          <w:fitText w:val="4494" w:id="-1936456960"/>
          <w:lang w:val="en-US" w:eastAsia="zh-CN"/>
        </w:rPr>
        <w:t>三</w:t>
      </w:r>
      <w:r>
        <w:rPr>
          <w:rStyle w:val="14"/>
          <w:rFonts w:hint="eastAsia" w:ascii="仿宋" w:hAnsi="仿宋" w:eastAsia="仿宋" w:cs="仿宋"/>
          <w:spacing w:val="187"/>
          <w:kern w:val="0"/>
          <w:sz w:val="32"/>
          <w:szCs w:val="32"/>
          <w:highlight w:val="none"/>
          <w:fitText w:val="4494" w:id="-1936456960"/>
        </w:rPr>
        <w:t>年</w:t>
      </w:r>
      <w:r>
        <w:rPr>
          <w:rStyle w:val="14"/>
          <w:rFonts w:hint="eastAsia" w:ascii="仿宋" w:hAnsi="仿宋" w:eastAsia="仿宋" w:cs="仿宋"/>
          <w:spacing w:val="187"/>
          <w:kern w:val="0"/>
          <w:sz w:val="32"/>
          <w:szCs w:val="32"/>
          <w:highlight w:val="none"/>
          <w:fitText w:val="4494" w:id="-1936456960"/>
          <w:lang w:val="en-US" w:eastAsia="zh-CN"/>
        </w:rPr>
        <w:t>六</w:t>
      </w:r>
      <w:r>
        <w:rPr>
          <w:rStyle w:val="14"/>
          <w:rFonts w:hint="eastAsia" w:ascii="仿宋" w:hAnsi="仿宋" w:eastAsia="仿宋" w:cs="仿宋"/>
          <w:spacing w:val="5"/>
          <w:kern w:val="0"/>
          <w:sz w:val="32"/>
          <w:szCs w:val="32"/>
          <w:highlight w:val="none"/>
          <w:fitText w:val="4494" w:id="-1936456960"/>
        </w:rPr>
        <w:t>月</w:t>
      </w:r>
    </w:p>
    <w:p>
      <w:pPr>
        <w:widowControl/>
        <w:shd w:val="clear" w:color="auto" w:fill="FFFFFF"/>
        <w:ind w:firstLine="640"/>
        <w:rPr>
          <w:rStyle w:val="14"/>
          <w:rFonts w:ascii="仿宋" w:hAnsi="仿宋" w:eastAsia="仿宋"/>
          <w:sz w:val="28"/>
          <w:highlight w:val="none"/>
        </w:rPr>
      </w:pPr>
    </w:p>
    <w:p>
      <w:pPr>
        <w:widowControl/>
        <w:shd w:val="clear" w:color="auto" w:fill="FFFFFF"/>
        <w:ind w:firstLine="640"/>
        <w:rPr>
          <w:rStyle w:val="14"/>
          <w:rFonts w:ascii="仿宋" w:hAnsi="仿宋" w:eastAsia="仿宋"/>
          <w:sz w:val="28"/>
          <w:highlight w:val="none"/>
          <w:lang w:val="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Style w:val="14"/>
          <w:rFonts w:hint="eastAsia" w:ascii="仿宋_GB2312" w:hAnsi="仿宋_GB2312" w:eastAsia="仿宋_GB2312" w:cs="仿宋_GB2312"/>
          <w:sz w:val="32"/>
          <w:szCs w:val="32"/>
          <w:highlight w:val="none"/>
          <w:lang w:val="zh-CN"/>
        </w:rPr>
        <w:t>为</w:t>
      </w:r>
      <w:r>
        <w:rPr>
          <w:rStyle w:val="14"/>
          <w:rFonts w:hint="eastAsia" w:ascii="仿宋_GB2312" w:hAnsi="仿宋_GB2312" w:eastAsia="仿宋_GB2312" w:cs="仿宋_GB2312"/>
          <w:sz w:val="32"/>
          <w:szCs w:val="32"/>
          <w:highlight w:val="none"/>
        </w:rPr>
        <w:t>推进我市2</w:t>
      </w:r>
      <w:r>
        <w:rPr>
          <w:rStyle w:val="14"/>
          <w:rFonts w:hint="eastAsia" w:ascii="仿宋_GB2312" w:hAnsi="仿宋_GB2312" w:eastAsia="仿宋_GB2312" w:cs="仿宋_GB2312"/>
          <w:sz w:val="32"/>
          <w:szCs w:val="32"/>
          <w:highlight w:val="none"/>
          <w:lang w:val="en-US" w:eastAsia="zh-CN"/>
        </w:rPr>
        <w:t>022</w:t>
      </w:r>
      <w:r>
        <w:rPr>
          <w:rStyle w:val="14"/>
          <w:rFonts w:hint="eastAsia" w:ascii="仿宋_GB2312" w:hAnsi="仿宋_GB2312" w:eastAsia="仿宋_GB2312" w:cs="仿宋_GB2312"/>
          <w:sz w:val="32"/>
          <w:szCs w:val="32"/>
          <w:highlight w:val="none"/>
        </w:rPr>
        <w:t>年度高标准农田建设项目验收工作，按照时间节点完成任务，根据《农田建设项目管理办法》（农业农村部令2019年第4号）、《关于印发广东省农业农村厅农田建设项目管理实施办法的通知》（粤农农规〔2020〕4号）、《广东省农业农村厅关于明确农田建设项目竣工验收工作事项的通知》（粤农农函〔2020〕428号）等文件要求，特制订本工作方案：</w:t>
      </w:r>
    </w:p>
    <w:p>
      <w:pPr>
        <w:pStyle w:val="3"/>
        <w:keepNext/>
        <w:keepLines/>
        <w:pageBreakBefore w:val="0"/>
        <w:widowControl w:val="0"/>
        <w:numPr>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一、</w:t>
      </w:r>
      <w:r>
        <w:rPr>
          <w:rFonts w:hint="eastAsia" w:ascii="黑体" w:hAnsi="黑体" w:eastAsia="黑体" w:cs="黑体"/>
          <w:highlight w:val="none"/>
        </w:rPr>
        <w:t>总体思路及验收依据</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一</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总体思路。</w:t>
      </w:r>
    </w:p>
    <w:p>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Style w:val="14"/>
          <w:rFonts w:ascii="仿宋" w:hAnsi="仿宋" w:eastAsia="仿宋"/>
          <w:sz w:val="28"/>
          <w:highlight w:val="none"/>
        </w:rPr>
      </w:pPr>
      <w:r>
        <w:rPr>
          <w:rStyle w:val="14"/>
          <w:rFonts w:hint="eastAsia" w:ascii="仿宋_GB2312" w:hAnsi="仿宋_GB2312" w:eastAsia="仿宋_GB2312" w:cs="仿宋_GB2312"/>
          <w:sz w:val="32"/>
          <w:szCs w:val="32"/>
          <w:highlight w:val="none"/>
        </w:rPr>
        <w:t>项目验收实行符合性条件审核和量化评分制。一是拟订项目符合性条件审核表，在现场验收时先对符合性条件进行审核，不符合条件的项目不再进行量化评分；二是拟订现场验收量化验收指标表，对通过符合性条件审核的项目，逐项进行量化评分。最终形成项目合格或项目不合格的结论。</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二</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验收依据。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《农田建设项目管理办法》（农业农村部令2019年第4号）；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《关于印发广东省农业农村厅农田建设项目管理实施办法的通知》（粤农农规〔2020〕4号）；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《广东省农业农村厅关于明确农田建设项目竣工验收工作事项的通知》（粤农农函〔2020〕428号）</w:t>
      </w:r>
      <w:r>
        <w:rPr>
          <w:rStyle w:val="14"/>
          <w:rFonts w:hint="eastAsia" w:ascii="仿宋_GB2312" w:hAnsi="仿宋_GB2312" w:eastAsia="仿宋_GB2312" w:cs="仿宋_GB2312"/>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《广东省国土资源厅广东省农业厅关于印发广东省高标准基本农田建设项目验收规程（试行）的通知》粤国土资耕保发〔2012〕190号。</w:t>
      </w:r>
    </w:p>
    <w:p>
      <w:pPr>
        <w:pStyle w:val="3"/>
        <w:keepNext/>
        <w:keepLines/>
        <w:pageBreakBefore w:val="0"/>
        <w:widowControl w:val="0"/>
        <w:numPr>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二、</w:t>
      </w:r>
      <w:r>
        <w:rPr>
          <w:rFonts w:hint="eastAsia" w:ascii="黑体" w:hAnsi="黑体" w:eastAsia="黑体" w:cs="黑体"/>
          <w:highlight w:val="none"/>
        </w:rPr>
        <w:t>验收程序及日程安排</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（一）验收条件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完成批复的初步设计文件中各项建设内容；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技术文件材料分类立卷，技术档案和施工管理资料齐全、完整；包括：项目初步设计文件及其批复文件，年度实施计划批复文件，施工、监理文件，招投标、合同管理文件，财务档案（含账册、凭证、报表等），工程总结文件（含项目建设、施工、监理、设计工作报告等），单项工程验收合格文件，施工单位签署的工程保修证书，工程施工图、竣工图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主要设备及配套设施运行正常，达到项目设计目标；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各单项工程已完成验收；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编制竣工决算，并经有资质的第三方中介机构或由当地审计机关审计</w:t>
      </w:r>
      <w:r>
        <w:rPr>
          <w:rStyle w:val="14"/>
          <w:rFonts w:hint="eastAsia" w:ascii="仿宋_GB2312" w:hAnsi="仿宋_GB2312" w:eastAsia="仿宋_GB2312" w:cs="仿宋_GB2312"/>
          <w:sz w:val="32"/>
          <w:szCs w:val="32"/>
          <w:highlight w:val="none"/>
          <w:lang w:eastAsia="zh-CN"/>
        </w:rPr>
        <w:t>；</w:t>
      </w:r>
    </w:p>
    <w:p>
      <w:pPr>
        <w:pStyle w:val="2"/>
        <w:rPr>
          <w:rFonts w:hint="default" w:eastAsia="仿宋_GB2312"/>
          <w:highlight w:val="none"/>
          <w:lang w:val="en-US" w:eastAsia="zh-CN"/>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lang w:val="en-US" w:eastAsia="zh-CN"/>
        </w:rPr>
        <w:t>6.完成农建系统信息报备工作，设计变更、竣工验收等相关材料报备完成。</w:t>
      </w:r>
    </w:p>
    <w:p>
      <w:pPr>
        <w:pStyle w:val="2"/>
        <w:rPr>
          <w:rFonts w:hint="default" w:eastAsia="仿宋_GB2312"/>
          <w:highlight w:val="none"/>
          <w:lang w:val="en-US" w:eastAsia="zh-CN"/>
        </w:rPr>
      </w:pP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（二）验收备查材料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年度实施计划批复文件；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项目初步设计文件及其批复文件；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有关合同书、协议书和任务委托书；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项目招投标有关材料；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财务档案（含账册、凭证、报表等）；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6</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项目工程质量及材料检验有关资料；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7</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建设管理工作报告；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8</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施工管理工作报告；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9</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监理工作报告；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10</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设计工作报告；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单项工程验收表；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监理及施工的月报和日记；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有关影像资料（施工前、施工中、施工后照片；每个单项工程至少有一组照片）；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项目调整资料及其批准材料；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施工单位签署的工程保修证书，工程施工图、竣工图等；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16</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工程结算资料；</w:t>
      </w:r>
    </w:p>
    <w:p>
      <w:pPr>
        <w:pStyle w:val="2"/>
        <w:rPr>
          <w:rStyle w:val="14"/>
          <w:rFonts w:hint="eastAsia"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eastAsia="zh-CN"/>
        </w:rPr>
        <w:t>17</w:t>
      </w:r>
      <w:r>
        <w:rPr>
          <w:rStyle w:val="14"/>
          <w:rFonts w:hint="eastAsia" w:ascii="仿宋_GB2312" w:hAnsi="仿宋_GB2312" w:eastAsia="仿宋_GB2312" w:cs="仿宋_GB2312"/>
          <w:sz w:val="32"/>
          <w:szCs w:val="32"/>
          <w:highlight w:val="none"/>
          <w:lang w:val="en-US" w:eastAsia="zh-CN"/>
        </w:rPr>
        <w:t>.耕地质量提升相关文件，如肥料购买凭证、检测资料、合格证、施工影像资料、施工后土壤检测资料；</w:t>
      </w:r>
    </w:p>
    <w:p>
      <w:pPr>
        <w:pStyle w:val="2"/>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8.科技推广措施文件，如培训会议资料、耕地质量监测点建设资料；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bookmarkStart w:id="0" w:name="_GoBack"/>
      <w:bookmarkEnd w:id="0"/>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9.</w:t>
      </w:r>
      <w:r>
        <w:rPr>
          <w:rStyle w:val="14"/>
          <w:rFonts w:hint="eastAsia" w:ascii="仿宋_GB2312" w:hAnsi="仿宋_GB2312" w:eastAsia="仿宋_GB2312" w:cs="仿宋_GB2312"/>
          <w:sz w:val="32"/>
          <w:szCs w:val="32"/>
          <w:highlight w:val="none"/>
          <w:lang w:eastAsia="zh-CN"/>
        </w:rPr>
        <w:t>管护制度，须明确工程管护主体和管护责任。</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（三）验收准备阶段。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1.收到县级农业农村部门提交验收申请后，</w:t>
      </w:r>
      <w:r>
        <w:rPr>
          <w:rStyle w:val="14"/>
          <w:rFonts w:hint="eastAsia" w:ascii="仿宋_GB2312" w:hAnsi="仿宋_GB2312" w:eastAsia="仿宋_GB2312" w:cs="仿宋_GB2312"/>
          <w:sz w:val="32"/>
          <w:szCs w:val="32"/>
          <w:highlight w:val="none"/>
        </w:rPr>
        <w:t>梳理资料及相关文件。收集项目验收相关资料，以及与项目验收、验收有关的依据文件。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2.制订方案。根据项目类别及特点等，结合实际，拟订验收工作思路、验收程序及日程安排、验收内容及要点。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3.抽选专家。从农田建设项目专家库中抽取相关专业专家，组成项目验收专家组。</w:t>
      </w:r>
    </w:p>
    <w:p>
      <w:pPr>
        <w:pStyle w:val="2"/>
        <w:rPr>
          <w:rStyle w:val="14"/>
          <w:rFonts w:hint="eastAsia"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4.下发验收通知。市农业农村局发出验收通知，确定进行验收的项目、验收组负责人、验收时间及有关要求。</w:t>
      </w:r>
    </w:p>
    <w:p>
      <w:pPr>
        <w:pStyle w:val="2"/>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5.专家</w:t>
      </w:r>
      <w:r>
        <w:rPr>
          <w:rStyle w:val="14"/>
          <w:rFonts w:hint="default" w:ascii="仿宋_GB2312" w:hAnsi="仿宋_GB2312" w:eastAsia="仿宋_GB2312" w:cs="仿宋_GB2312"/>
          <w:sz w:val="32"/>
          <w:szCs w:val="32"/>
          <w:highlight w:val="none"/>
          <w:lang w:val="en-US" w:eastAsia="zh-CN"/>
        </w:rPr>
        <w:t>培训。验收组织单位要对参加验收的</w:t>
      </w:r>
      <w:r>
        <w:rPr>
          <w:rStyle w:val="14"/>
          <w:rFonts w:hint="eastAsia" w:ascii="仿宋_GB2312" w:hAnsi="仿宋_GB2312" w:eastAsia="仿宋_GB2312" w:cs="仿宋_GB2312"/>
          <w:sz w:val="32"/>
          <w:szCs w:val="32"/>
          <w:highlight w:val="none"/>
          <w:lang w:val="en-US" w:eastAsia="zh-CN"/>
        </w:rPr>
        <w:t>专家及</w:t>
      </w:r>
      <w:r>
        <w:rPr>
          <w:rStyle w:val="14"/>
          <w:rFonts w:hint="default" w:ascii="仿宋_GB2312" w:hAnsi="仿宋_GB2312" w:eastAsia="仿宋_GB2312" w:cs="仿宋_GB2312"/>
          <w:sz w:val="32"/>
          <w:szCs w:val="32"/>
          <w:highlight w:val="none"/>
          <w:lang w:val="en-US" w:eastAsia="zh-CN"/>
        </w:rPr>
        <w:t>工作人员进行相关业务知识培训，帮助</w:t>
      </w:r>
      <w:r>
        <w:rPr>
          <w:rStyle w:val="14"/>
          <w:rFonts w:hint="eastAsia" w:ascii="仿宋_GB2312" w:hAnsi="仿宋_GB2312" w:eastAsia="仿宋_GB2312" w:cs="仿宋_GB2312"/>
          <w:sz w:val="32"/>
          <w:szCs w:val="32"/>
          <w:highlight w:val="none"/>
          <w:lang w:val="en-US" w:eastAsia="zh-CN"/>
        </w:rPr>
        <w:t>专家及</w:t>
      </w:r>
      <w:r>
        <w:rPr>
          <w:rStyle w:val="14"/>
          <w:rFonts w:hint="default" w:ascii="仿宋_GB2312" w:hAnsi="仿宋_GB2312" w:eastAsia="仿宋_GB2312" w:cs="仿宋_GB2312"/>
          <w:sz w:val="32"/>
          <w:szCs w:val="32"/>
          <w:highlight w:val="none"/>
          <w:lang w:val="en-US" w:eastAsia="zh-CN"/>
        </w:rPr>
        <w:t>验收工作人员全面掌握项目验收的有关政策规定和要求</w:t>
      </w:r>
      <w:r>
        <w:rPr>
          <w:rStyle w:val="14"/>
          <w:rFonts w:hint="eastAsia" w:ascii="仿宋_GB2312" w:hAnsi="仿宋_GB2312" w:eastAsia="仿宋_GB2312" w:cs="仿宋_GB2312"/>
          <w:sz w:val="32"/>
          <w:szCs w:val="32"/>
          <w:highlight w:val="none"/>
          <w:lang w:val="en-US" w:eastAsia="zh-CN"/>
        </w:rPr>
        <w:t>，明确验收任务和责任。</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（四）项目验收阶段。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.现场验收。派出验收组赴项目建设现场进行实地考察。验收采取“听、查、看、量、访、议”相结合的方式进行验收。“听”即听取项目建设单位、监理单位</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lang w:val="en-US" w:eastAsia="zh-CN"/>
        </w:rPr>
        <w:t>设计单位</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施工单位</w:t>
      </w:r>
      <w:r>
        <w:rPr>
          <w:rStyle w:val="14"/>
          <w:rFonts w:hint="eastAsia" w:ascii="仿宋_GB2312" w:hAnsi="仿宋_GB2312" w:eastAsia="仿宋_GB2312" w:cs="仿宋_GB2312"/>
          <w:sz w:val="32"/>
          <w:szCs w:val="32"/>
          <w:highlight w:val="none"/>
          <w:lang w:val="en-US" w:eastAsia="zh-CN"/>
        </w:rPr>
        <w:t>和复核单位</w:t>
      </w:r>
      <w:r>
        <w:rPr>
          <w:rStyle w:val="14"/>
          <w:rFonts w:hint="eastAsia" w:ascii="仿宋_GB2312" w:hAnsi="仿宋_GB2312" w:eastAsia="仿宋_GB2312" w:cs="仿宋_GB2312"/>
          <w:sz w:val="32"/>
          <w:szCs w:val="32"/>
          <w:highlight w:val="none"/>
        </w:rPr>
        <w:t>关于农田建设项目的汇报</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查”即查阅档案资料和资金台账，审查项目决算和资金审计情况报告，管护制度和管护责任落实等；“看”即察看项目现场，检验工程建设和运行情况；“量”即按照一定比例（原则上不低于20%的工程量）对照项目竣工图纸进行实地丈量，并做好现场核查登记；“访”即访问项目区群众，开展满意度调查问卷调查；“议”即验收组对验收情况进行评议打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.询问答疑。验收专家针对验收项目提出问题，项目建设单位、施工单位、监理单位、设计单位和复核单位等提供补充说明或证明某一方面事实的材料，或者进行相关解释说明。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.综合评价。验收组综合上述阶段的验收成果，进行综合分析判断，形成对项目结论的综合性评价。</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（五）形成结论及验收完成阶段。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1.整理结论表格。验收专家根据验收项目具体情况，对照项目验收结论有关表格，逐项对项目各项成果进行打分，验收结论分为“优秀”、“良好”、“合格”和“不合格”等四类，90分以上为优秀，80至90分为良好，60至79分为合格，60分以下为不合格。评分依据详见《广东省农田建设竣工项目验收评分表》。验收不合格的项目以及验收时发现的问题，由项目建设单位、施工单位按验收时提出的要求期限进行整改，由</w:t>
      </w:r>
      <w:r>
        <w:rPr>
          <w:rStyle w:val="14"/>
          <w:rFonts w:hint="eastAsia" w:ascii="仿宋_GB2312" w:hAnsi="仿宋_GB2312" w:eastAsia="仿宋_GB2312" w:cs="仿宋_GB2312"/>
          <w:sz w:val="32"/>
          <w:szCs w:val="32"/>
          <w:highlight w:val="none"/>
          <w:lang w:val="en-US" w:eastAsia="zh-CN"/>
        </w:rPr>
        <w:t>县</w:t>
      </w:r>
      <w:r>
        <w:rPr>
          <w:rStyle w:val="14"/>
          <w:rFonts w:hint="eastAsia" w:ascii="仿宋_GB2312" w:hAnsi="仿宋_GB2312" w:eastAsia="仿宋_GB2312" w:cs="仿宋_GB2312"/>
          <w:sz w:val="32"/>
          <w:szCs w:val="32"/>
          <w:highlight w:val="none"/>
        </w:rPr>
        <w:t>级农业农村主管部门负责督促项目建设单位按时完成整改</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整改完成后报市级农业农村部门复核确认，整改期原则上从下达整改通知书起不得超过一个月。对存在的问题无法整改或整改后仍达不到要求的不合格项目，应按规定程序终止项目实施。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结论复核。市农业农村局对专家形成的项目验收意见结论表初稿进行复核。在不改变专家本意的情况下，对表格格式问题和内容散乱等进行调整修正；在同专家沟通一致的情况下，对专家表述不完整、不清晰或政策把握有偏差的问题进行相应修改完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3.专家签名。项目验收最终结论有关表格定稿后，由参与验收的专家进行签名确认，对验收意见负责。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4.市农业农村局根据项目验收结论和有关表格情况，出具竣工项目通过验收的批复。在确认项目验收资料及验收时发现的问题已按专家验收意见修改完善后，正式发函向提交项目验收的县（市、区）确认项目合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项目公示。在完成项目验收并确认项目合格后，市农业农村局按有关规定将项目验收标准、程序和结果等情况进行公示。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以上为初定日程安排，根据验收工作进度、联系专家情况及受其他客观因素影响，可进行相应调整。</w:t>
      </w:r>
    </w:p>
    <w:p>
      <w:pPr>
        <w:pStyle w:val="3"/>
        <w:keepNext/>
        <w:keepLines/>
        <w:pageBreakBefore w:val="0"/>
        <w:widowControl w:val="0"/>
        <w:numPr>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三、</w:t>
      </w:r>
      <w:r>
        <w:rPr>
          <w:rFonts w:hint="eastAsia" w:ascii="黑体" w:hAnsi="黑体" w:eastAsia="黑体" w:cs="黑体"/>
          <w:highlight w:val="none"/>
        </w:rPr>
        <w:t>验收内容及要点</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一</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验收项目表</w:t>
      </w:r>
    </w:p>
    <w:p>
      <w:pPr>
        <w:rPr>
          <w:rFonts w:hint="eastAsia" w:ascii="楷体_GB2312" w:hAnsi="楷体_GB2312" w:eastAsia="楷体_GB2312" w:cs="楷体_GB2312"/>
          <w:highlight w:val="none"/>
        </w:rPr>
      </w:pPr>
      <w:r>
        <w:rPr>
          <w:rFonts w:hint="eastAsia" w:ascii="楷体_GB2312" w:hAnsi="楷体_GB2312" w:eastAsia="楷体_GB2312" w:cs="楷体_GB2312"/>
          <w:highlight w:val="none"/>
        </w:rPr>
        <w:br w:type="page"/>
      </w:r>
    </w:p>
    <w:p>
      <w:pPr>
        <w:rPr>
          <w:rFonts w:hint="eastAsia"/>
          <w:highlight w:val="none"/>
        </w:rPr>
      </w:pPr>
    </w:p>
    <w:tbl>
      <w:tblPr>
        <w:tblStyle w:val="9"/>
        <w:tblW w:w="5000" w:type="pct"/>
        <w:tblInd w:w="0" w:type="dxa"/>
        <w:tblLayout w:type="fixed"/>
        <w:tblCellMar>
          <w:top w:w="0" w:type="dxa"/>
          <w:left w:w="0" w:type="dxa"/>
          <w:bottom w:w="0" w:type="dxa"/>
          <w:right w:w="0" w:type="dxa"/>
        </w:tblCellMar>
      </w:tblPr>
      <w:tblGrid>
        <w:gridCol w:w="348"/>
        <w:gridCol w:w="1008"/>
        <w:gridCol w:w="6748"/>
        <w:gridCol w:w="232"/>
      </w:tblGrid>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序</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号</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县</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区</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项目名称</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备</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注</w:t>
            </w: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城区</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2022年度汕尾市城区东涌镇高标准农田建设项目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2</w:t>
            </w:r>
          </w:p>
        </w:tc>
        <w:tc>
          <w:tcPr>
            <w:tcW w:w="60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海丰县</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2022年度汕尾市海丰县附城镇高标准农田建设项目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3</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2022年度汕尾市海丰县可塘镇高标准农田建设项目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4</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2022年度汕尾市海丰县黄羌林场高标准农田建设项目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5</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2022年度汕尾市海丰县城东镇高标准农田建设项目（示范）</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2022年度汕尾市海丰县陶河镇高标准农田建设项目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kern w:val="0"/>
                <w:sz w:val="22"/>
                <w:szCs w:val="22"/>
                <w:highlight w:val="none"/>
                <w:lang w:val="en-US" w:eastAsia="zh-CN" w:bidi="ar"/>
              </w:rPr>
              <w:t>7</w:t>
            </w:r>
          </w:p>
        </w:tc>
        <w:tc>
          <w:tcPr>
            <w:tcW w:w="60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val="en-US" w:eastAsia="zh-CN" w:bidi="ar"/>
              </w:rPr>
              <w:t>陆河县</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2022年度汕尾市陆河县河田镇等2个镇高标准农田建设项目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8</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2022年度汕尾市陆河县水唇镇高标准农田建设项目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9</w:t>
            </w:r>
          </w:p>
        </w:tc>
        <w:tc>
          <w:tcPr>
            <w:tcW w:w="60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2022年度汕尾市陆河县新田镇高标准农田建设项目（示范）</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kern w:val="0"/>
                <w:sz w:val="22"/>
                <w:szCs w:val="22"/>
                <w:highlight w:val="none"/>
                <w:lang w:val="en-US" w:eastAsia="zh-CN" w:bidi="ar"/>
              </w:rPr>
              <w:t>10</w:t>
            </w:r>
          </w:p>
        </w:tc>
        <w:tc>
          <w:tcPr>
            <w:tcW w:w="60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val="en-US" w:eastAsia="zh-CN"/>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2022年度汕尾市陆丰市河东镇欧厝村等2个村高标准农田建设项目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kern w:val="0"/>
                <w:sz w:val="22"/>
                <w:szCs w:val="22"/>
                <w:highlight w:val="none"/>
                <w:lang w:val="en-US" w:eastAsia="zh-CN" w:bidi="ar"/>
              </w:rPr>
              <w:t>11</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2022年度汕尾市陆丰市河东镇高标准农田建设项目（示范）</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kern w:val="0"/>
                <w:sz w:val="22"/>
                <w:szCs w:val="22"/>
                <w:highlight w:val="none"/>
                <w:lang w:val="en-US" w:eastAsia="zh-CN" w:bidi="ar"/>
              </w:rPr>
              <w:t>12</w:t>
            </w:r>
          </w:p>
        </w:tc>
        <w:tc>
          <w:tcPr>
            <w:tcW w:w="604" w:type="pct"/>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陆丰市</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2022年度汕尾市陆丰市碣石镇滴水村等2个村高标准农田建设项目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13</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2022年度汕尾市陆丰市大安镇高标准农田建设项目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14</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2022年度汕尾市陆丰市潭西镇高标准农田建设项目（示范）</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2022年度汕尾市陆丰市潭西镇深港村等2个村高标准农田建设项目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16</w:t>
            </w:r>
          </w:p>
        </w:tc>
        <w:tc>
          <w:tcPr>
            <w:tcW w:w="604" w:type="pct"/>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2022年度汕尾市陆丰市甲西镇高标准农田建设项目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17</w:t>
            </w:r>
          </w:p>
        </w:tc>
        <w:tc>
          <w:tcPr>
            <w:tcW w:w="604" w:type="pct"/>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2022年度汕尾市陆丰市碣石镇新酉等10个村高标项目</w:t>
            </w:r>
          </w:p>
        </w:tc>
        <w:tc>
          <w:tcPr>
            <w:tcW w:w="13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18</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红海湾经济开发区</w:t>
            </w:r>
          </w:p>
        </w:tc>
        <w:tc>
          <w:tcPr>
            <w:tcW w:w="404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2022年度汕尾市红海湾经济开发区田墘街道高标准农田建设项目（示范）</w:t>
            </w:r>
          </w:p>
        </w:tc>
        <w:tc>
          <w:tcPr>
            <w:tcW w:w="1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bl>
    <w:p>
      <w:pPr>
        <w:pageBreakBefore w:val="0"/>
        <w:widowControl/>
        <w:shd w:val="clear" w:color="auto" w:fill="FFFFFF"/>
        <w:kinsoku/>
        <w:wordWrap/>
        <w:overflowPunct/>
        <w:topLinePunct w:val="0"/>
        <w:autoSpaceDE/>
        <w:autoSpaceDN/>
        <w:bidi w:val="0"/>
        <w:adjustRightInd/>
        <w:snapToGrid/>
        <w:spacing w:line="600" w:lineRule="exact"/>
        <w:ind w:firstLine="643"/>
        <w:jc w:val="left"/>
        <w:textAlignment w:val="auto"/>
        <w:rPr>
          <w:rFonts w:ascii="微软雅黑" w:hAnsi="微软雅黑" w:eastAsia="微软雅黑" w:cs="宋体"/>
          <w:b/>
          <w:bCs/>
          <w:color w:val="000000"/>
          <w:kern w:val="0"/>
          <w:sz w:val="32"/>
          <w:szCs w:val="32"/>
          <w:highlight w:val="none"/>
        </w:rPr>
      </w:pP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二</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符合性审核意见表验收内容及要点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项目符合性审核内容共分为</w:t>
      </w:r>
      <w:r>
        <w:rPr>
          <w:rStyle w:val="14"/>
          <w:rFonts w:hint="eastAsia" w:ascii="仿宋_GB2312" w:hAnsi="仿宋_GB2312" w:eastAsia="仿宋_GB2312" w:cs="仿宋_GB2312"/>
          <w:sz w:val="32"/>
          <w:szCs w:val="32"/>
          <w:highlight w:val="none"/>
          <w:lang w:val="en-US" w:eastAsia="zh-CN"/>
        </w:rPr>
        <w:t>5</w:t>
      </w:r>
      <w:r>
        <w:rPr>
          <w:rStyle w:val="14"/>
          <w:rFonts w:hint="eastAsia" w:ascii="仿宋_GB2312" w:hAnsi="仿宋_GB2312" w:eastAsia="仿宋_GB2312" w:cs="仿宋_GB2312"/>
          <w:sz w:val="32"/>
          <w:szCs w:val="32"/>
          <w:highlight w:val="none"/>
        </w:rPr>
        <w:t>项，项目存在以下情形，将被评为“不合格”，由建设单位牵头限期整改。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项目未按照设计和合同约定内容完成全部工作；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项目未按照相关规范编制验收及档案资料；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主要设备及配套设施不能正常运行或未达到设计目标；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项目未按照相关规范要求开展单项验收及初步验收等工作；</w:t>
      </w:r>
    </w:p>
    <w:p>
      <w:pPr>
        <w:pStyle w:val="2"/>
        <w:rPr>
          <w:rFonts w:hint="default" w:eastAsia="仿宋_GB2312"/>
          <w:highlight w:val="none"/>
          <w:lang w:val="en-US" w:eastAsia="zh-CN"/>
        </w:rPr>
      </w:pPr>
      <w:r>
        <w:rPr>
          <w:rStyle w:val="14"/>
          <w:rFonts w:hint="eastAsia" w:ascii="仿宋_GB2312" w:hAnsi="仿宋_GB2312" w:eastAsia="仿宋_GB2312" w:cs="仿宋_GB2312"/>
          <w:sz w:val="32"/>
          <w:szCs w:val="32"/>
          <w:highlight w:val="none"/>
          <w:lang w:val="en-US" w:eastAsia="zh-CN"/>
        </w:rPr>
        <w:t>5.项目未按照相关规范要求开展耕地质量等别提升工作；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6.</w:t>
      </w:r>
      <w:r>
        <w:rPr>
          <w:rStyle w:val="14"/>
          <w:rFonts w:hint="eastAsia" w:ascii="仿宋_GB2312" w:hAnsi="仿宋_GB2312" w:eastAsia="仿宋_GB2312" w:cs="仿宋_GB2312"/>
          <w:sz w:val="32"/>
          <w:szCs w:val="32"/>
          <w:highlight w:val="none"/>
        </w:rPr>
        <w:t>应评为不合格的其他情况。</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三</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量化评分主要内容及要点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量化评分表验收内容共分为7类20项。对照各类、项的验收内容和验收标准对应进行评分。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1.制度执行。共18分，包括执行项目“四制”情况、监督检查管理情况、项目调整情况、上图入库情况、是否为项目库储备等5项。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2.实施进度。共15分，包括开工时间及施工进度情况、完工时间、组织验收情况等3项。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3.建设质量。共50分，包括工质质量、耕地质量、问题整改情况等3项。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4.资金管理。共10分，包括投入标准、费用提取、支付进度等3项。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5.资料整理。共5分，包括资料收集情况、档案管理情况等2项。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6.其他事项。共2分，包括社会评价情况。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7.鼓励事项。共6分，包括新增耕地情况、增加投入、机制创新等3项。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注：总分106分，前6项为必验必评项目满分100分，鼓励事项得分可计入总分。详见广东省农田建设竣工项目验收评分表。</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四</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验收提交资料清单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县级农业农村部门的验收申请；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初步验收报告或勘察、设计、施工、监理等单位签署的验收合格文件；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单项工程验收表；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项目竣工图纸；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5.</w:t>
      </w:r>
      <w:r>
        <w:rPr>
          <w:rStyle w:val="14"/>
          <w:rFonts w:hint="eastAsia" w:ascii="仿宋_GB2312" w:hAnsi="仿宋_GB2312" w:eastAsia="仿宋_GB2312" w:cs="仿宋_GB2312"/>
          <w:sz w:val="32"/>
          <w:szCs w:val="32"/>
          <w:highlight w:val="none"/>
        </w:rPr>
        <w:t xml:space="preserve">竣工报告或建设单位工作报告；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6.</w:t>
      </w:r>
      <w:r>
        <w:rPr>
          <w:rStyle w:val="14"/>
          <w:rFonts w:hint="eastAsia" w:ascii="仿宋_GB2312" w:hAnsi="仿宋_GB2312" w:eastAsia="仿宋_GB2312" w:cs="仿宋_GB2312"/>
          <w:sz w:val="32"/>
          <w:szCs w:val="32"/>
          <w:highlight w:val="none"/>
        </w:rPr>
        <w:t>施工总结报告；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7.</w:t>
      </w:r>
      <w:r>
        <w:rPr>
          <w:rStyle w:val="14"/>
          <w:rFonts w:hint="eastAsia" w:ascii="仿宋_GB2312" w:hAnsi="仿宋_GB2312" w:eastAsia="仿宋_GB2312" w:cs="仿宋_GB2312"/>
          <w:sz w:val="32"/>
          <w:szCs w:val="32"/>
          <w:highlight w:val="none"/>
        </w:rPr>
        <w:t>监理报告；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8.</w:t>
      </w:r>
      <w:r>
        <w:rPr>
          <w:rStyle w:val="14"/>
          <w:rFonts w:hint="eastAsia" w:ascii="仿宋_GB2312" w:hAnsi="仿宋_GB2312" w:eastAsia="仿宋_GB2312" w:cs="仿宋_GB2312"/>
          <w:sz w:val="32"/>
          <w:szCs w:val="32"/>
          <w:highlight w:val="none"/>
        </w:rPr>
        <w:t>审计报告；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9.</w:t>
      </w:r>
      <w:r>
        <w:rPr>
          <w:rStyle w:val="14"/>
          <w:rFonts w:hint="eastAsia" w:ascii="仿宋_GB2312" w:hAnsi="仿宋_GB2312" w:eastAsia="仿宋_GB2312" w:cs="仿宋_GB2312"/>
          <w:sz w:val="32"/>
          <w:szCs w:val="32"/>
          <w:highlight w:val="none"/>
        </w:rPr>
        <w:t>经财政部门审核的工程结算书；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10.</w:t>
      </w:r>
      <w:r>
        <w:rPr>
          <w:rStyle w:val="14"/>
          <w:rFonts w:hint="eastAsia" w:ascii="仿宋_GB2312" w:hAnsi="仿宋_GB2312" w:eastAsia="仿宋_GB2312" w:cs="仿宋_GB2312"/>
          <w:sz w:val="32"/>
          <w:szCs w:val="32"/>
          <w:highlight w:val="none"/>
        </w:rPr>
        <w:t>建设单位的财务决算报告；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11.</w:t>
      </w:r>
      <w:r>
        <w:rPr>
          <w:rStyle w:val="14"/>
          <w:rFonts w:hint="eastAsia" w:ascii="仿宋_GB2312" w:hAnsi="仿宋_GB2312" w:eastAsia="仿宋_GB2312" w:cs="仿宋_GB2312"/>
          <w:sz w:val="32"/>
          <w:szCs w:val="32"/>
          <w:highlight w:val="none"/>
        </w:rPr>
        <w:t>所有材料的电子文件；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12.建设后照片；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以上材料一式二份并装订成册。</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其他说明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此前原由相关部门已经批复建设的高标准农田建设项目按照原规定要求执行。</w:t>
      </w:r>
    </w:p>
    <w:p>
      <w:pPr>
        <w:pStyle w:val="3"/>
        <w:keepNext/>
        <w:keepLines/>
        <w:pageBreakBefore w:val="0"/>
        <w:widowControl w:val="0"/>
        <w:numPr>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四、</w:t>
      </w:r>
      <w:r>
        <w:rPr>
          <w:rFonts w:hint="eastAsia" w:ascii="黑体" w:hAnsi="黑体" w:eastAsia="黑体" w:cs="黑体"/>
          <w:highlight w:val="none"/>
        </w:rPr>
        <w:t>保障措施</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一</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验收组专家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本批项目专家组共有5人，其中具有中级以上职称的农田水利、农业、财务等方面专家不少于成员总数的2/3。专家抽取按照省农业农村厅《关于加强和规范农田建设项目评审工作和省级专家库管理的通知》（粤农农函〔2020〕232号）的相关规定执行。</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二</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验收工作人员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市农业农村局派相关工作人员2-3人，负责做好与县（市）联络、政策把关、专家服务及过程监督等工作。</w:t>
      </w:r>
    </w:p>
    <w:p>
      <w:pPr>
        <w:pStyle w:val="4"/>
        <w:pageBreakBefore w:val="0"/>
        <w:numPr>
          <w:numId w:val="0"/>
        </w:numPr>
        <w:kinsoku/>
        <w:wordWrap/>
        <w:overflowPunct/>
        <w:topLinePunct w:val="0"/>
        <w:autoSpaceDE/>
        <w:autoSpaceDN/>
        <w:bidi w:val="0"/>
        <w:adjustRightInd/>
        <w:snapToGrid/>
        <w:spacing w:before="0" w:after="0" w:line="600" w:lineRule="exact"/>
        <w:ind w:leftChars="0" w:firstLine="56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三</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纪律保障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加强对县（市）及项目单位的纪律约束和验收专家纪律要求，严格遵守“八项规定”，廉洁自侓。</w:t>
      </w:r>
    </w:p>
    <w:p>
      <w:pPr>
        <w:pStyle w:val="3"/>
        <w:keepNext/>
        <w:keepLines/>
        <w:pageBreakBefore w:val="0"/>
        <w:widowControl w:val="0"/>
        <w:numPr>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五、</w:t>
      </w:r>
      <w:r>
        <w:rPr>
          <w:rFonts w:hint="eastAsia" w:ascii="黑体" w:hAnsi="黑体" w:eastAsia="黑体" w:cs="黑体"/>
          <w:highlight w:val="none"/>
        </w:rPr>
        <w:t>附表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1918" w:leftChars="304" w:hanging="1280" w:hangingChars="4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附表： 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汕尾市***县20**年度高标准农田建设项目实地抽查情况表（样表）；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高标准农田建设项目调查问卷；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广东省农田建设竣工项目验收评分表</w:t>
      </w:r>
      <w:r>
        <w:rPr>
          <w:rStyle w:val="14"/>
          <w:rFonts w:hint="eastAsia" w:ascii="仿宋_GB2312" w:hAnsi="仿宋_GB2312" w:eastAsia="仿宋_GB2312" w:cs="仿宋_GB2312"/>
          <w:sz w:val="32"/>
          <w:szCs w:val="32"/>
          <w:highlight w:val="none"/>
          <w:lang w:eastAsia="zh-CN"/>
        </w:rPr>
        <w:t>；</w:t>
      </w:r>
    </w:p>
    <w:p>
      <w:pPr>
        <w:pageBreakBefore w:val="0"/>
        <w:widowControl/>
        <w:shd w:val="clear" w:color="auto" w:fill="FFFFFF"/>
        <w:kinsoku/>
        <w:wordWrap/>
        <w:overflowPunct/>
        <w:topLinePunct w:val="0"/>
        <w:autoSpaceDE/>
        <w:autoSpaceDN/>
        <w:bidi w:val="0"/>
        <w:adjustRightInd/>
        <w:snapToGrid/>
        <w:spacing w:line="600" w:lineRule="exact"/>
        <w:ind w:firstLine="640"/>
        <w:jc w:val="left"/>
        <w:rPr>
          <w:rFonts w:hint="eastAsia" w:ascii="微软雅黑" w:hAnsi="微软雅黑" w:eastAsia="微软雅黑" w:cs="宋体"/>
          <w:color w:val="000000"/>
          <w:kern w:val="0"/>
          <w:sz w:val="32"/>
          <w:szCs w:val="32"/>
          <w:highlight w:val="none"/>
        </w:rPr>
      </w:pPr>
      <w:r>
        <w:rPr>
          <w:rFonts w:hint="eastAsia" w:ascii="微软雅黑" w:hAnsi="微软雅黑" w:eastAsia="微软雅黑" w:cs="宋体"/>
          <w:color w:val="000000"/>
          <w:kern w:val="0"/>
          <w:sz w:val="32"/>
          <w:szCs w:val="32"/>
          <w:highlight w:val="none"/>
        </w:rPr>
        <w:t> </w:t>
      </w:r>
    </w:p>
    <w:p>
      <w:pPr>
        <w:pStyle w:val="2"/>
        <w:ind w:left="0" w:leftChars="0" w:firstLine="0" w:firstLineChars="0"/>
        <w:rPr>
          <w:rFonts w:hint="eastAsia" w:ascii="微软雅黑" w:hAnsi="微软雅黑" w:eastAsia="微软雅黑" w:cs="宋体"/>
          <w:color w:val="000000"/>
          <w:kern w:val="0"/>
          <w:sz w:val="32"/>
          <w:szCs w:val="32"/>
          <w:highlight w:val="none"/>
        </w:rPr>
      </w:pPr>
    </w:p>
    <w:p>
      <w:pPr>
        <w:pageBreakBefore w:val="0"/>
        <w:widowControl/>
        <w:shd w:val="clear" w:color="auto" w:fill="FFFFFF"/>
        <w:kinsoku/>
        <w:wordWrap/>
        <w:overflowPunct/>
        <w:topLinePunct w:val="0"/>
        <w:autoSpaceDE/>
        <w:autoSpaceDN/>
        <w:bidi w:val="0"/>
        <w:adjustRightInd/>
        <w:snapToGrid/>
        <w:spacing w:line="600" w:lineRule="exact"/>
        <w:ind w:leftChars="100"/>
        <w:jc w:val="center"/>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 xml:space="preserve">                             </w:t>
      </w:r>
    </w:p>
    <w:p>
      <w:pPr>
        <w:pageBreakBefore w:val="0"/>
        <w:widowControl/>
        <w:shd w:val="clear" w:color="auto" w:fill="FFFFFF"/>
        <w:kinsoku/>
        <w:wordWrap/>
        <w:overflowPunct/>
        <w:topLinePunct w:val="0"/>
        <w:autoSpaceDE/>
        <w:autoSpaceDN/>
        <w:bidi w:val="0"/>
        <w:adjustRightInd/>
        <w:snapToGrid/>
        <w:spacing w:line="600" w:lineRule="exact"/>
        <w:ind w:leftChars="100"/>
        <w:jc w:val="right"/>
        <w:rPr>
          <w:rFonts w:ascii="仿宋" w:hAnsi="仿宋" w:eastAsia="仿宋" w:cs="仿宋"/>
          <w:color w:val="4C5157"/>
          <w:kern w:val="0"/>
          <w:sz w:val="24"/>
          <w:szCs w:val="24"/>
          <w:highlight w:val="none"/>
        </w:rPr>
      </w:pPr>
      <w:r>
        <w:rPr>
          <w:rFonts w:hint="eastAsia" w:ascii="仿宋" w:hAnsi="仿宋" w:eastAsia="仿宋" w:cs="仿宋"/>
          <w:color w:val="000000"/>
          <w:kern w:val="0"/>
          <w:sz w:val="32"/>
          <w:szCs w:val="32"/>
          <w:highlight w:val="none"/>
        </w:rPr>
        <w:t>汕尾市农业农村局</w:t>
      </w:r>
    </w:p>
    <w:p>
      <w:pPr>
        <w:pageBreakBefore w:val="0"/>
        <w:widowControl/>
        <w:shd w:val="clear" w:color="auto" w:fill="FFFFFF"/>
        <w:kinsoku/>
        <w:wordWrap/>
        <w:overflowPunct/>
        <w:topLinePunct w:val="0"/>
        <w:autoSpaceDE/>
        <w:autoSpaceDN/>
        <w:bidi w:val="0"/>
        <w:adjustRightInd/>
        <w:snapToGrid/>
        <w:spacing w:line="600" w:lineRule="exact"/>
        <w:ind w:leftChars="100"/>
        <w:jc w:val="right"/>
        <w:rPr>
          <w:rFonts w:ascii="仿宋" w:hAnsi="仿宋" w:eastAsia="仿宋" w:cs="仿宋"/>
          <w:color w:val="4C5157"/>
          <w:kern w:val="0"/>
          <w:sz w:val="24"/>
          <w:szCs w:val="24"/>
          <w:highlight w:val="none"/>
        </w:rPr>
      </w:pPr>
      <w:r>
        <w:rPr>
          <w:rFonts w:hint="eastAsia" w:ascii="仿宋" w:hAnsi="仿宋" w:eastAsia="仿宋" w:cs="仿宋"/>
          <w:color w:val="000000"/>
          <w:kern w:val="0"/>
          <w:sz w:val="32"/>
          <w:szCs w:val="32"/>
          <w:highlight w:val="none"/>
        </w:rPr>
        <w:t>202</w:t>
      </w:r>
      <w:r>
        <w:rPr>
          <w:rFonts w:hint="eastAsia" w:ascii="仿宋" w:hAnsi="仿宋" w:eastAsia="仿宋" w:cs="仿宋"/>
          <w:color w:val="000000"/>
          <w:kern w:val="0"/>
          <w:sz w:val="32"/>
          <w:szCs w:val="32"/>
          <w:highlight w:val="none"/>
          <w:lang w:val="en-US" w:eastAsia="zh-CN"/>
        </w:rPr>
        <w:t>3</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14</w:t>
      </w:r>
      <w:r>
        <w:rPr>
          <w:rFonts w:hint="eastAsia" w:ascii="仿宋" w:hAnsi="仿宋" w:eastAsia="仿宋" w:cs="仿宋"/>
          <w:color w:val="000000"/>
          <w:kern w:val="0"/>
          <w:sz w:val="32"/>
          <w:szCs w:val="32"/>
          <w:highlight w:val="none"/>
        </w:rPr>
        <w:t>日</w:t>
      </w:r>
    </w:p>
    <w:p>
      <w:pPr>
        <w:pageBreakBefore w:val="0"/>
        <w:kinsoku/>
        <w:wordWrap/>
        <w:overflowPunct/>
        <w:topLinePunct w:val="0"/>
        <w:autoSpaceDE/>
        <w:autoSpaceDN/>
        <w:bidi w:val="0"/>
        <w:adjustRightInd/>
        <w:snapToGrid/>
        <w:spacing w:line="600" w:lineRule="exact"/>
        <w:rPr>
          <w:highlight w:val="none"/>
        </w:rPr>
      </w:pPr>
    </w:p>
    <w:p>
      <w:pPr>
        <w:pStyle w:val="2"/>
        <w:ind w:left="0" w:leftChars="0" w:firstLine="0" w:firstLineChars="0"/>
        <w:rPr>
          <w:highlight w:val="none"/>
        </w:rPr>
        <w:sectPr>
          <w:pgSz w:w="11906" w:h="16838"/>
          <w:pgMar w:top="1440" w:right="1800" w:bottom="1440" w:left="1800" w:header="851" w:footer="992" w:gutter="0"/>
          <w:cols w:space="425" w:num="1"/>
          <w:docGrid w:type="lines" w:linePitch="312" w:charSpace="0"/>
        </w:sectPr>
      </w:pPr>
    </w:p>
    <w:tbl>
      <w:tblPr>
        <w:tblStyle w:val="9"/>
        <w:tblW w:w="5000" w:type="pct"/>
        <w:tblInd w:w="0" w:type="dxa"/>
        <w:tblLayout w:type="autofit"/>
        <w:tblCellMar>
          <w:top w:w="0" w:type="dxa"/>
          <w:left w:w="0" w:type="dxa"/>
          <w:bottom w:w="0" w:type="dxa"/>
          <w:right w:w="0" w:type="dxa"/>
        </w:tblCellMar>
      </w:tblPr>
      <w:tblGrid>
        <w:gridCol w:w="1390"/>
        <w:gridCol w:w="2238"/>
        <w:gridCol w:w="2238"/>
        <w:gridCol w:w="2238"/>
        <w:gridCol w:w="2238"/>
        <w:gridCol w:w="2238"/>
        <w:gridCol w:w="1408"/>
      </w:tblGrid>
      <w:tr>
        <w:tblPrEx>
          <w:tblCellMar>
            <w:top w:w="0" w:type="dxa"/>
            <w:left w:w="0" w:type="dxa"/>
            <w:bottom w:w="0" w:type="dxa"/>
            <w:right w:w="0" w:type="dxa"/>
          </w:tblCellMar>
        </w:tblPrEx>
        <w:trPr>
          <w:trHeight w:val="1020" w:hRule="exact"/>
        </w:trPr>
        <w:tc>
          <w:tcPr>
            <w:tcW w:w="5000" w:type="pct"/>
            <w:gridSpan w:val="7"/>
            <w:tcBorders>
              <w:top w:val="nil"/>
              <w:left w:val="nil"/>
              <w:bottom w:val="single" w:color="auto" w:sz="8"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bCs/>
                <w:color w:val="000000"/>
                <w:kern w:val="0"/>
                <w:sz w:val="24"/>
                <w:szCs w:val="24"/>
                <w:highlight w:val="none"/>
                <w:lang w:bidi="ar"/>
              </w:rPr>
            </w:pPr>
          </w:p>
          <w:p>
            <w:pPr>
              <w:widowControl/>
              <w:jc w:val="left"/>
              <w:textAlignment w:val="center"/>
              <w:rPr>
                <w:rFonts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附表1</w:t>
            </w:r>
          </w:p>
          <w:p>
            <w:pPr>
              <w:widowControl/>
              <w:jc w:val="center"/>
              <w:textAlignment w:val="center"/>
              <w:rPr>
                <w:rFonts w:ascii="宋体" w:hAnsi="宋体" w:eastAsia="宋体" w:cs="宋体"/>
                <w:bCs/>
                <w:color w:val="000000"/>
                <w:sz w:val="28"/>
                <w:szCs w:val="28"/>
                <w:highlight w:val="none"/>
              </w:rPr>
            </w:pPr>
            <w:r>
              <w:rPr>
                <w:rFonts w:hint="eastAsia" w:ascii="宋体" w:hAnsi="宋体" w:eastAsia="宋体" w:cs="宋体"/>
                <w:bCs/>
                <w:color w:val="000000"/>
                <w:kern w:val="0"/>
                <w:sz w:val="28"/>
                <w:szCs w:val="28"/>
                <w:highlight w:val="none"/>
                <w:lang w:bidi="ar"/>
              </w:rPr>
              <w:t>汕尾市***县20**年度高标准农田建设项目实地抽查情况表（样表）</w:t>
            </w: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序号</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工程名称</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规划设计</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竣工上报</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工程复核</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实地抽查</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备注</w:t>
            </w: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1</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2</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3</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4</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5</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6</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7</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8</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9</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10</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11</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bl>
    <w:p>
      <w:pPr>
        <w:pStyle w:val="2"/>
        <w:ind w:firstLine="480"/>
        <w:rPr>
          <w:rFonts w:ascii="仿宋" w:hAnsi="仿宋" w:eastAsia="仿宋" w:cs="仿宋"/>
          <w:sz w:val="24"/>
          <w:szCs w:val="24"/>
          <w:highlight w:val="none"/>
        </w:rPr>
      </w:pPr>
      <w:r>
        <w:rPr>
          <w:rFonts w:hint="eastAsia" w:ascii="仿宋" w:hAnsi="仿宋" w:eastAsia="仿宋" w:cs="仿宋"/>
          <w:sz w:val="24"/>
          <w:szCs w:val="24"/>
          <w:highlight w:val="none"/>
        </w:rPr>
        <w:t>专家组签名：</w:t>
      </w:r>
    </w:p>
    <w:p>
      <w:pPr>
        <w:pStyle w:val="2"/>
        <w:ind w:firstLine="480"/>
        <w:rPr>
          <w:rFonts w:ascii="仿宋" w:hAnsi="仿宋" w:eastAsia="仿宋" w:cs="仿宋"/>
          <w:sz w:val="24"/>
          <w:szCs w:val="24"/>
          <w:highlight w:val="none"/>
        </w:rPr>
      </w:pPr>
    </w:p>
    <w:p>
      <w:pPr>
        <w:pStyle w:val="2"/>
        <w:ind w:firstLine="480"/>
        <w:rPr>
          <w:rFonts w:ascii="仿宋" w:hAnsi="仿宋" w:eastAsia="仿宋" w:cs="仿宋"/>
          <w:sz w:val="24"/>
          <w:szCs w:val="24"/>
          <w:highlight w:val="none"/>
        </w:rPr>
      </w:pPr>
    </w:p>
    <w:p>
      <w:pPr>
        <w:pStyle w:val="2"/>
        <w:ind w:firstLine="480"/>
        <w:rPr>
          <w:rFonts w:ascii="仿宋" w:hAnsi="仿宋" w:eastAsia="仿宋" w:cs="仿宋"/>
          <w:sz w:val="24"/>
          <w:szCs w:val="24"/>
          <w:highlight w:val="none"/>
        </w:rPr>
      </w:pPr>
    </w:p>
    <w:p>
      <w:pPr>
        <w:pStyle w:val="2"/>
        <w:ind w:firstLine="480"/>
        <w:jc w:val="right"/>
        <w:rPr>
          <w:rFonts w:ascii="仿宋" w:hAnsi="仿宋" w:eastAsia="仿宋" w:cs="仿宋"/>
          <w:sz w:val="24"/>
          <w:szCs w:val="24"/>
          <w:highlight w:val="none"/>
        </w:rPr>
        <w:sectPr>
          <w:pgSz w:w="16838" w:h="11906" w:orient="landscape"/>
          <w:pgMar w:top="1803" w:right="1440" w:bottom="1803" w:left="1440" w:header="851" w:footer="992" w:gutter="0"/>
          <w:cols w:space="0" w:num="1"/>
          <w:docGrid w:type="lines" w:linePitch="319" w:charSpace="0"/>
        </w:sect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  日</w:t>
      </w:r>
    </w:p>
    <w:p>
      <w:pPr>
        <w:jc w:val="left"/>
        <w:rPr>
          <w:rFonts w:ascii="仿宋" w:hAnsi="仿宋" w:eastAsia="仿宋" w:cs="仿宋"/>
          <w:sz w:val="24"/>
          <w:szCs w:val="32"/>
          <w:highlight w:val="none"/>
        </w:rPr>
      </w:pPr>
      <w:r>
        <w:rPr>
          <w:rFonts w:hint="eastAsia" w:ascii="仿宋" w:hAnsi="仿宋" w:eastAsia="仿宋" w:cs="仿宋"/>
          <w:sz w:val="24"/>
          <w:szCs w:val="32"/>
          <w:highlight w:val="none"/>
        </w:rPr>
        <w:t>附表2</w:t>
      </w:r>
    </w:p>
    <w:p>
      <w:pPr>
        <w:jc w:val="center"/>
        <w:rPr>
          <w:rFonts w:ascii="仿宋" w:hAnsi="仿宋" w:eastAsia="仿宋" w:cs="仿宋"/>
          <w:sz w:val="28"/>
          <w:szCs w:val="36"/>
          <w:highlight w:val="none"/>
        </w:rPr>
      </w:pPr>
      <w:r>
        <w:rPr>
          <w:rFonts w:hint="eastAsia" w:ascii="仿宋" w:hAnsi="仿宋" w:eastAsia="仿宋" w:cs="仿宋"/>
          <w:sz w:val="28"/>
          <w:szCs w:val="36"/>
          <w:highlight w:val="none"/>
        </w:rPr>
        <w:t>高标准农田建设项目调查问卷</w:t>
      </w:r>
    </w:p>
    <w:p>
      <w:pPr>
        <w:pStyle w:val="2"/>
        <w:ind w:firstLine="440"/>
        <w:rPr>
          <w:rFonts w:ascii="仿宋" w:hAnsi="仿宋" w:eastAsia="仿宋" w:cs="仿宋"/>
          <w:sz w:val="22"/>
          <w:szCs w:val="24"/>
          <w:highlight w:val="none"/>
        </w:rPr>
      </w:pPr>
      <w:r>
        <w:rPr>
          <w:rFonts w:hint="eastAsia" w:ascii="仿宋" w:hAnsi="仿宋" w:eastAsia="仿宋" w:cs="仿宋"/>
          <w:sz w:val="22"/>
          <w:szCs w:val="24"/>
          <w:highlight w:val="none"/>
        </w:rPr>
        <w:t>您好！为了解本地区农田建设项目实际效果，掌握项目实施过程中存在的问题，提高农田建设项目绩效，发挥高标准农田在促进农业生产、改善农民生活环境、推动农村经济、社会和生态效益的作用，我们设计了以下问题，望广大村民及经营主体加以配合，谢谢您的参与。（请在符合您情况的选项上直接勾选）</w:t>
      </w:r>
    </w:p>
    <w:p>
      <w:pPr>
        <w:pStyle w:val="2"/>
        <w:rPr>
          <w:highlight w:val="none"/>
        </w:rPr>
      </w:pPr>
    </w:p>
    <w:p>
      <w:pPr>
        <w:rPr>
          <w:rFonts w:ascii="仿宋" w:hAnsi="仿宋" w:eastAsia="仿宋" w:cs="仿宋"/>
          <w:sz w:val="24"/>
          <w:szCs w:val="32"/>
          <w:highlight w:val="none"/>
        </w:rPr>
      </w:pPr>
      <w:r>
        <w:rPr>
          <w:rFonts w:hint="eastAsia" w:ascii="仿宋" w:hAnsi="仿宋" w:eastAsia="仿宋" w:cs="仿宋"/>
          <w:sz w:val="24"/>
          <w:szCs w:val="32"/>
          <w:highlight w:val="none"/>
        </w:rPr>
        <w:t>项目名称：汕尾市***县20**年度高标准农田建设项目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174"/>
        <w:gridCol w:w="1655"/>
        <w:gridCol w:w="654"/>
        <w:gridCol w:w="389"/>
        <w:gridCol w:w="809"/>
        <w:gridCol w:w="1463"/>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174" w:type="dxa"/>
            <w:vMerge w:val="restart"/>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村民代表</w:t>
            </w:r>
          </w:p>
        </w:tc>
        <w:tc>
          <w:tcPr>
            <w:tcW w:w="1174" w:type="dxa"/>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姓名</w:t>
            </w:r>
          </w:p>
        </w:tc>
        <w:tc>
          <w:tcPr>
            <w:tcW w:w="1655" w:type="dxa"/>
            <w:vAlign w:val="center"/>
          </w:tcPr>
          <w:p>
            <w:pPr>
              <w:jc w:val="center"/>
              <w:rPr>
                <w:rFonts w:ascii="仿宋" w:hAnsi="仿宋" w:eastAsia="仿宋" w:cs="仿宋"/>
                <w:sz w:val="22"/>
                <w:szCs w:val="28"/>
                <w:highlight w:val="none"/>
              </w:rPr>
            </w:pPr>
          </w:p>
        </w:tc>
        <w:tc>
          <w:tcPr>
            <w:tcW w:w="1043" w:type="dxa"/>
            <w:gridSpan w:val="2"/>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性别</w:t>
            </w:r>
          </w:p>
        </w:tc>
        <w:tc>
          <w:tcPr>
            <w:tcW w:w="809" w:type="dxa"/>
            <w:vAlign w:val="center"/>
          </w:tcPr>
          <w:p>
            <w:pPr>
              <w:jc w:val="center"/>
              <w:rPr>
                <w:rFonts w:ascii="仿宋" w:hAnsi="仿宋" w:eastAsia="仿宋" w:cs="仿宋"/>
                <w:sz w:val="22"/>
                <w:szCs w:val="28"/>
                <w:highlight w:val="none"/>
              </w:rPr>
            </w:pPr>
          </w:p>
        </w:tc>
        <w:tc>
          <w:tcPr>
            <w:tcW w:w="1463" w:type="dxa"/>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年龄</w:t>
            </w:r>
          </w:p>
        </w:tc>
        <w:tc>
          <w:tcPr>
            <w:tcW w:w="1198" w:type="dxa"/>
          </w:tcPr>
          <w:p>
            <w:pPr>
              <w:jc w:val="center"/>
              <w:rPr>
                <w:rFonts w:ascii="仿宋" w:hAnsi="仿宋" w:eastAsia="仿宋" w:cs="仿宋"/>
                <w:sz w:val="2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174" w:type="dxa"/>
            <w:vMerge w:val="continue"/>
          </w:tcPr>
          <w:p>
            <w:pPr>
              <w:jc w:val="center"/>
              <w:rPr>
                <w:rFonts w:ascii="仿宋" w:hAnsi="仿宋" w:eastAsia="仿宋" w:cs="仿宋"/>
                <w:sz w:val="22"/>
                <w:szCs w:val="28"/>
                <w:highlight w:val="none"/>
              </w:rPr>
            </w:pPr>
          </w:p>
        </w:tc>
        <w:tc>
          <w:tcPr>
            <w:tcW w:w="1174" w:type="dxa"/>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职业</w:t>
            </w:r>
          </w:p>
        </w:tc>
        <w:tc>
          <w:tcPr>
            <w:tcW w:w="2309" w:type="dxa"/>
            <w:gridSpan w:val="2"/>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sym w:font="Wingdings 2" w:char="00A3"/>
            </w:r>
            <w:r>
              <w:rPr>
                <w:rFonts w:hint="eastAsia" w:ascii="仿宋" w:hAnsi="仿宋" w:eastAsia="仿宋" w:cs="仿宋"/>
                <w:sz w:val="22"/>
                <w:szCs w:val="28"/>
                <w:highlight w:val="none"/>
              </w:rPr>
              <w:t>农业为主</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sym w:font="Wingdings 2" w:char="00A3"/>
            </w:r>
            <w:r>
              <w:rPr>
                <w:rFonts w:hint="eastAsia" w:ascii="仿宋" w:hAnsi="仿宋" w:eastAsia="仿宋" w:cs="仿宋"/>
                <w:sz w:val="22"/>
                <w:szCs w:val="28"/>
                <w:highlight w:val="none"/>
              </w:rPr>
              <w:t>非农业为主</w:t>
            </w:r>
          </w:p>
        </w:tc>
        <w:tc>
          <w:tcPr>
            <w:tcW w:w="1198" w:type="dxa"/>
            <w:gridSpan w:val="2"/>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电话</w:t>
            </w:r>
          </w:p>
        </w:tc>
        <w:tc>
          <w:tcPr>
            <w:tcW w:w="2661" w:type="dxa"/>
            <w:gridSpan w:val="2"/>
            <w:vAlign w:val="center"/>
          </w:tcPr>
          <w:p>
            <w:pPr>
              <w:jc w:val="center"/>
              <w:rPr>
                <w:rFonts w:ascii="仿宋" w:hAnsi="仿宋" w:eastAsia="仿宋" w:cs="仿宋"/>
                <w:sz w:val="2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6" w:type="dxa"/>
            <w:gridSpan w:val="8"/>
            <w:vAlign w:val="center"/>
          </w:tcPr>
          <w:p>
            <w:pPr>
              <w:ind w:firstLine="440" w:firstLineChars="200"/>
              <w:jc w:val="left"/>
              <w:rPr>
                <w:rFonts w:ascii="仿宋" w:hAnsi="仿宋" w:eastAsia="仿宋" w:cs="仿宋"/>
                <w:sz w:val="22"/>
                <w:szCs w:val="28"/>
                <w:highlight w:val="none"/>
              </w:rPr>
            </w:pPr>
            <w:r>
              <w:rPr>
                <w:rFonts w:hint="eastAsia" w:ascii="仿宋" w:hAnsi="仿宋" w:eastAsia="仿宋" w:cs="仿宋"/>
                <w:sz w:val="22"/>
                <w:szCs w:val="28"/>
                <w:highlight w:val="none"/>
              </w:rPr>
              <w:t>以下问题采取打分制：（非常满意10分；满意8分；基本满意6分；不太满意4分；不满意2分）在下方（  ）打“√”。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1、您对本项目改善生产条件是否满意？</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2、项目建设后交通运输条件是否得到改善？</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3、项目建设后灌溉条件是否得到改善？</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4、项目建设后排水条件是否得到改善？</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5、项目建设后农作物单产是否有所提高？</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6、您对本项目在改善生态环境方面是否满意？</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 xml:space="preserve">7、您对本项目区的建设质量是否满意？    </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8、您对本项目的总体评价是否满意？</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8516" w:type="dxa"/>
            <w:gridSpan w:val="8"/>
            <w:vAlign w:val="center"/>
          </w:tcPr>
          <w:p>
            <w:pPr>
              <w:rPr>
                <w:sz w:val="22"/>
                <w:szCs w:val="28"/>
                <w:highlight w:val="none"/>
              </w:rPr>
            </w:pPr>
            <w:r>
              <w:rPr>
                <w:rFonts w:hint="eastAsia" w:ascii="仿宋" w:hAnsi="仿宋" w:eastAsia="仿宋" w:cs="仿宋"/>
                <w:sz w:val="22"/>
                <w:szCs w:val="28"/>
                <w:highlight w:val="none"/>
              </w:rPr>
              <w:t>项目存在的问题和建议</w:t>
            </w:r>
            <w:r>
              <w:rPr>
                <w:rFonts w:hint="eastAsia"/>
                <w:sz w:val="22"/>
                <w:szCs w:val="28"/>
                <w:highlight w:val="none"/>
              </w:rPr>
              <w:t>：</w:t>
            </w:r>
          </w:p>
          <w:p>
            <w:pPr>
              <w:rPr>
                <w:sz w:val="22"/>
                <w:szCs w:val="28"/>
                <w:highlight w:val="none"/>
              </w:rPr>
            </w:pPr>
          </w:p>
          <w:p>
            <w:pPr>
              <w:rPr>
                <w:sz w:val="22"/>
                <w:szCs w:val="28"/>
                <w:highlight w:val="none"/>
              </w:rPr>
            </w:pPr>
          </w:p>
          <w:p>
            <w:pPr>
              <w:rPr>
                <w:sz w:val="22"/>
                <w:szCs w:val="28"/>
                <w:highlight w:val="none"/>
              </w:rPr>
            </w:pPr>
          </w:p>
          <w:p>
            <w:pPr>
              <w:rPr>
                <w:sz w:val="22"/>
                <w:szCs w:val="28"/>
                <w:highlight w:val="none"/>
              </w:rPr>
            </w:pPr>
          </w:p>
        </w:tc>
      </w:tr>
    </w:tbl>
    <w:p>
      <w:pPr>
        <w:pStyle w:val="2"/>
        <w:rPr>
          <w:highlight w:val="none"/>
        </w:rPr>
      </w:pPr>
    </w:p>
    <w:p>
      <w:pPr>
        <w:pStyle w:val="2"/>
        <w:rPr>
          <w:highlight w:val="none"/>
        </w:rPr>
      </w:pPr>
    </w:p>
    <w:p>
      <w:pPr>
        <w:jc w:val="left"/>
        <w:rPr>
          <w:rFonts w:ascii="仿宋" w:hAnsi="仿宋" w:eastAsia="仿宋" w:cs="仿宋"/>
          <w:sz w:val="24"/>
          <w:szCs w:val="32"/>
          <w:highlight w:val="none"/>
        </w:rPr>
      </w:pPr>
      <w:r>
        <w:rPr>
          <w:rFonts w:hint="eastAsia" w:ascii="仿宋" w:hAnsi="仿宋" w:eastAsia="仿宋" w:cs="仿宋"/>
          <w:sz w:val="24"/>
          <w:szCs w:val="32"/>
          <w:highlight w:val="none"/>
        </w:rPr>
        <w:t>附表3</w:t>
      </w:r>
    </w:p>
    <w:p>
      <w:pPr>
        <w:jc w:val="center"/>
        <w:rPr>
          <w:rFonts w:ascii="仿宋" w:hAnsi="仿宋" w:eastAsia="仿宋" w:cs="仿宋"/>
          <w:sz w:val="28"/>
          <w:szCs w:val="36"/>
          <w:highlight w:val="none"/>
        </w:rPr>
      </w:pPr>
      <w:r>
        <w:rPr>
          <w:rFonts w:hint="eastAsia" w:ascii="仿宋" w:hAnsi="仿宋" w:eastAsia="仿宋" w:cs="仿宋"/>
          <w:sz w:val="28"/>
          <w:szCs w:val="36"/>
          <w:highlight w:val="none"/>
        </w:rPr>
        <w:t>广东省农田建设竣工项目验收评分表</w:t>
      </w:r>
    </w:p>
    <w:tbl>
      <w:tblPr>
        <w:tblStyle w:val="9"/>
        <w:tblW w:w="5969" w:type="pct"/>
        <w:jc w:val="center"/>
        <w:tblLayout w:type="autofit"/>
        <w:tblCellMar>
          <w:top w:w="0" w:type="dxa"/>
          <w:left w:w="0" w:type="dxa"/>
          <w:bottom w:w="0" w:type="dxa"/>
          <w:right w:w="0" w:type="dxa"/>
        </w:tblCellMar>
      </w:tblPr>
      <w:tblGrid>
        <w:gridCol w:w="681"/>
        <w:gridCol w:w="724"/>
        <w:gridCol w:w="1297"/>
        <w:gridCol w:w="621"/>
        <w:gridCol w:w="2180"/>
        <w:gridCol w:w="3596"/>
        <w:gridCol w:w="845"/>
      </w:tblGrid>
      <w:tr>
        <w:tblPrEx>
          <w:tblCellMar>
            <w:top w:w="0" w:type="dxa"/>
            <w:left w:w="0" w:type="dxa"/>
            <w:bottom w:w="0" w:type="dxa"/>
            <w:right w:w="0" w:type="dxa"/>
          </w:tblCellMar>
        </w:tblPrEx>
        <w:trPr>
          <w:trHeight w:val="90" w:hRule="atLeast"/>
          <w:jc w:val="center"/>
        </w:trPr>
        <w:tc>
          <w:tcPr>
            <w:tcW w:w="343"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内容</w:t>
            </w:r>
          </w:p>
        </w:tc>
        <w:tc>
          <w:tcPr>
            <w:tcW w:w="364"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分值</w:t>
            </w:r>
          </w:p>
        </w:tc>
        <w:tc>
          <w:tcPr>
            <w:tcW w:w="65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考核指标</w:t>
            </w:r>
          </w:p>
        </w:tc>
        <w:tc>
          <w:tcPr>
            <w:tcW w:w="31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分值</w:t>
            </w:r>
          </w:p>
        </w:tc>
        <w:tc>
          <w:tcPr>
            <w:tcW w:w="2904" w:type="pct"/>
            <w:gridSpan w:val="2"/>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评分标准</w:t>
            </w:r>
          </w:p>
        </w:tc>
        <w:tc>
          <w:tcPr>
            <w:tcW w:w="422"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评分</w:t>
            </w: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制度</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执行</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18</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执行项目“四制”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项目执行法人、招投标、监理、公示等制度。每缺一项扣1分。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监督检查管</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理等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组织工作检查指导得2分，开展通报督办得1分，制定管护制度得2分。工作不落实不得分。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项目调整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项目无调整得3分，每调整15扣1分（不含节余资金或社会资金投入补建内容）。擅自调整扣3分。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上图入库</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按时间节点和项目信息完成上图入库的得4分，信息不完整、报备不及时发现一处扣1分。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项目库储备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属于项目库的得2分，否则不得分。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实施</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进度</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开工时间及施工进度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当年项目当年开工得3分；年底前施工进度达到80%得2分，施工进度达到40-79%得1分，39%以下不得分。未开工得0分（以调度数据为依据）。</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完工时间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次年3月施工进度完成100%得6分，每推后15天完工扣1分。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组织验收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完工2个月内完成县级初验得2分，县级初验后2个月内申请市级验收得2分。每超15天扣1分。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建设</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质量</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工程质量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程（土地平整、土壤改良、灌溉与排水、田间道路、农田防护与生态环境保持、农田输配电等6项）建设质量全部达到初步设计文件设计要求的得36分。每发现一项工程建设质量达不到初步文件设计要求的扣6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耕地质量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10</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Style w:val="18"/>
                <w:rFonts w:ascii="仿宋" w:hAnsi="仿宋" w:eastAsia="仿宋" w:cs="仿宋"/>
                <w:sz w:val="24"/>
                <w:szCs w:val="24"/>
                <w:highlight w:val="none"/>
                <w:lang w:bidi="ar"/>
              </w:rPr>
              <w:t>采取改良土壤、培肥地力、保水保肥、控污修复等单一措施或综合措施提升耕地质量，覆盖面积达90%及以上的得10分；覆盖面积不足90%的，每少5%，扣2分。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问题整改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无需整改问题或按规定期限完成整改的得4分，每超过15天完成的扣1分。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资金管理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投入标准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Style w:val="18"/>
                <w:rFonts w:ascii="仿宋" w:hAnsi="仿宋" w:eastAsia="仿宋" w:cs="仿宋"/>
                <w:sz w:val="24"/>
                <w:szCs w:val="24"/>
                <w:highlight w:val="none"/>
                <w:lang w:bidi="ar"/>
              </w:rPr>
              <w:t>按照不低于规定建设标准投入的得4分，低于投入标准每5%扣1分。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费用提取</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各种费用提取与实施计划相符，一项不符的扣1分。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支付进度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年底支付达到80%（含）得2分，40-79%得1分，39%以下不得分（以财政部门实际支付日期为准）。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整理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资料收集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资料齐全、完整、规范得3分，发现缺项或不规范的一处扣1分。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档案管理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落实存放场所，明确管理制度和责任人，立卷存放符合档案管理要求。发现一处不落实扣1分。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其他</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事项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社会评价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项目区群众对项目建设满意度90%以上得2分，80%-89%扣1分。低于80%扣2分。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624" w:hRule="atLeast"/>
          <w:jc w:val="center"/>
        </w:trPr>
        <w:tc>
          <w:tcPr>
            <w:tcW w:w="276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鼓励</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事项</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新增耕地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有新增耕地面积的,得2分，否则不得分。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增加投入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创新投融资模式，积极鼓励和引导受益农民或新型农业经营主体等投入的，或总投入高出最低投入标准20%以上的得2分，否则不得分。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机制创新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开展建设机制创新，获得省委省政府或农业农村部认可的，得1分。主动开展农业农村部或农业农村厅布置的试点工作，或自行探索机制创新且成效突出的，得1分。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459"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242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64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720" w:firstLineChars="300"/>
              <w:jc w:val="left"/>
              <w:textAlignment w:val="top"/>
              <w:rPr>
                <w:rFonts w:ascii="仿宋" w:hAnsi="仿宋" w:eastAsia="仿宋" w:cs="仿宋"/>
                <w:color w:val="000000"/>
                <w:sz w:val="24"/>
                <w:szCs w:val="24"/>
                <w:highlight w:val="none"/>
              </w:rPr>
            </w:pPr>
            <w:r>
              <w:rPr>
                <w:rStyle w:val="18"/>
                <w:rFonts w:ascii="仿宋" w:hAnsi="仿宋" w:eastAsia="仿宋" w:cs="仿宋"/>
                <w:sz w:val="24"/>
                <w:szCs w:val="24"/>
                <w:highlight w:val="none"/>
                <w:lang w:bidi="ar"/>
              </w:rPr>
              <w:t>总得分：</w:t>
            </w:r>
          </w:p>
        </w:tc>
      </w:tr>
    </w:tbl>
    <w:p>
      <w:pPr>
        <w:pStyle w:val="2"/>
        <w:rPr>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D6C5C"/>
    <w:multiLevelType w:val="multilevel"/>
    <w:tmpl w:val="906D6C5C"/>
    <w:lvl w:ilvl="0" w:tentative="0">
      <w:start w:val="1"/>
      <w:numFmt w:val="chineseCounting"/>
      <w:pStyle w:val="3"/>
      <w:suff w:val="nothing"/>
      <w:lvlText w:val="%1、"/>
      <w:lvlJc w:val="left"/>
      <w:pPr>
        <w:tabs>
          <w:tab w:val="left" w:pos="0"/>
        </w:tabs>
        <w:ind w:left="0" w:firstLine="0"/>
      </w:pPr>
      <w:rPr>
        <w:rFonts w:hint="eastAsia" w:ascii="宋体" w:hAnsi="宋体" w:eastAsia="黑体" w:cs="宋体"/>
      </w:rPr>
    </w:lvl>
    <w:lvl w:ilvl="1" w:tentative="0">
      <w:start w:val="1"/>
      <w:numFmt w:val="chineseCounting"/>
      <w:pStyle w:val="4"/>
      <w:suff w:val="nothing"/>
      <w:lvlText w:val="（%2）"/>
      <w:lvlJc w:val="left"/>
      <w:pPr>
        <w:tabs>
          <w:tab w:val="left" w:pos="0"/>
        </w:tabs>
        <w:ind w:left="0" w:firstLine="0"/>
      </w:pPr>
      <w:rPr>
        <w:rFonts w:hint="eastAsia" w:ascii="宋体" w:hAnsi="宋体" w:eastAsia="黑体" w:cs="宋体"/>
      </w:rPr>
    </w:lvl>
    <w:lvl w:ilvl="2" w:tentative="0">
      <w:start w:val="1"/>
      <w:numFmt w:val="decimal"/>
      <w:pStyle w:val="5"/>
      <w:suff w:val="nothing"/>
      <w:lvlText w:val="%3、"/>
      <w:lvlJc w:val="left"/>
      <w:pPr>
        <w:ind w:left="0" w:firstLine="400"/>
      </w:pPr>
      <w:rPr>
        <w:rFonts w:hint="eastAsia" w:ascii="宋体" w:hAnsi="宋体" w:eastAsia="仿宋_GB2312"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wMGZhNjA1MTljNTBlOTAyNjg3ZDFjZDYxYjUxNTkifQ=="/>
  </w:docVars>
  <w:rsids>
    <w:rsidRoot w:val="000B6941"/>
    <w:rsid w:val="00027B21"/>
    <w:rsid w:val="000B6941"/>
    <w:rsid w:val="00180186"/>
    <w:rsid w:val="00443EBA"/>
    <w:rsid w:val="00571C2A"/>
    <w:rsid w:val="00A820E6"/>
    <w:rsid w:val="00AC61D2"/>
    <w:rsid w:val="02434402"/>
    <w:rsid w:val="03C138EA"/>
    <w:rsid w:val="04214F9E"/>
    <w:rsid w:val="07F45622"/>
    <w:rsid w:val="0C1A220C"/>
    <w:rsid w:val="0C8F3064"/>
    <w:rsid w:val="10E70924"/>
    <w:rsid w:val="11455BF9"/>
    <w:rsid w:val="13DF6A14"/>
    <w:rsid w:val="1BDA5713"/>
    <w:rsid w:val="1C10535B"/>
    <w:rsid w:val="1C495480"/>
    <w:rsid w:val="1DF554A1"/>
    <w:rsid w:val="1E9B07F5"/>
    <w:rsid w:val="1EC15AA4"/>
    <w:rsid w:val="1F7C18CF"/>
    <w:rsid w:val="1FAE0E10"/>
    <w:rsid w:val="1FDF39C8"/>
    <w:rsid w:val="2279755C"/>
    <w:rsid w:val="22AF3499"/>
    <w:rsid w:val="257D7968"/>
    <w:rsid w:val="27BE14CC"/>
    <w:rsid w:val="2A591F7E"/>
    <w:rsid w:val="2B234D57"/>
    <w:rsid w:val="30C63CC7"/>
    <w:rsid w:val="35200F9A"/>
    <w:rsid w:val="35947576"/>
    <w:rsid w:val="35FB2FC6"/>
    <w:rsid w:val="38AE635F"/>
    <w:rsid w:val="3B1771AF"/>
    <w:rsid w:val="3EC314F9"/>
    <w:rsid w:val="40CC35D7"/>
    <w:rsid w:val="4629121A"/>
    <w:rsid w:val="49364497"/>
    <w:rsid w:val="49CC4DF9"/>
    <w:rsid w:val="52776704"/>
    <w:rsid w:val="53320AE9"/>
    <w:rsid w:val="57190B5F"/>
    <w:rsid w:val="58277BB9"/>
    <w:rsid w:val="58B72C3E"/>
    <w:rsid w:val="5BDD78F1"/>
    <w:rsid w:val="5C0C052C"/>
    <w:rsid w:val="5E05343D"/>
    <w:rsid w:val="60835366"/>
    <w:rsid w:val="63554F84"/>
    <w:rsid w:val="64A767EF"/>
    <w:rsid w:val="65864EAB"/>
    <w:rsid w:val="6AEE7F50"/>
    <w:rsid w:val="71052093"/>
    <w:rsid w:val="727109F1"/>
    <w:rsid w:val="72E70530"/>
    <w:rsid w:val="74445119"/>
    <w:rsid w:val="7638637F"/>
    <w:rsid w:val="7ADF0AE2"/>
    <w:rsid w:val="7C19329F"/>
    <w:rsid w:val="7CFA33CF"/>
    <w:rsid w:val="7D11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6" w:lineRule="auto"/>
      <w:jc w:val="left"/>
      <w:outlineLvl w:val="0"/>
    </w:pPr>
    <w:rPr>
      <w:rFonts w:eastAsia="黑体"/>
      <w:kern w:val="44"/>
      <w:sz w:val="32"/>
    </w:rPr>
  </w:style>
  <w:style w:type="paragraph" w:styleId="4">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sz w:val="28"/>
    </w:rPr>
  </w:style>
  <w:style w:type="paragraph" w:styleId="5">
    <w:name w:val="heading 3"/>
    <w:basedOn w:val="1"/>
    <w:next w:val="1"/>
    <w:unhideWhenUsed/>
    <w:qFormat/>
    <w:uiPriority w:val="9"/>
    <w:pPr>
      <w:keepNext/>
      <w:keepLines/>
      <w:numPr>
        <w:ilvl w:val="2"/>
        <w:numId w:val="1"/>
      </w:numPr>
      <w:spacing w:before="260" w:after="260" w:line="413" w:lineRule="auto"/>
      <w:outlineLvl w:val="2"/>
    </w:pPr>
    <w:rPr>
      <w:rFonts w:eastAsia="仿宋_GB2312"/>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NormalCharacter"/>
    <w:qFormat/>
    <w:uiPriority w:val="0"/>
  </w:style>
  <w:style w:type="character" w:customStyle="1" w:styleId="15">
    <w:name w:val="font21"/>
    <w:basedOn w:val="11"/>
    <w:qFormat/>
    <w:uiPriority w:val="0"/>
    <w:rPr>
      <w:rFonts w:hint="eastAsia" w:ascii="黑体" w:hAnsi="宋体" w:eastAsia="黑体" w:cs="黑体"/>
      <w:color w:val="000000"/>
      <w:sz w:val="32"/>
      <w:szCs w:val="32"/>
      <w:u w:val="none"/>
    </w:rPr>
  </w:style>
  <w:style w:type="character" w:customStyle="1" w:styleId="16">
    <w:name w:val="font101"/>
    <w:basedOn w:val="11"/>
    <w:qFormat/>
    <w:uiPriority w:val="0"/>
    <w:rPr>
      <w:rFonts w:hint="eastAsia" w:ascii="宋体" w:hAnsi="宋体" w:eastAsia="宋体" w:cs="宋体"/>
      <w:color w:val="000000"/>
      <w:sz w:val="44"/>
      <w:szCs w:val="44"/>
      <w:u w:val="none"/>
    </w:rPr>
  </w:style>
  <w:style w:type="character" w:customStyle="1" w:styleId="17">
    <w:name w:val="font51"/>
    <w:basedOn w:val="11"/>
    <w:qFormat/>
    <w:uiPriority w:val="0"/>
    <w:rPr>
      <w:rFonts w:hint="eastAsia" w:ascii="黑体" w:hAnsi="宋体" w:eastAsia="黑体" w:cs="黑体"/>
      <w:color w:val="000000"/>
      <w:sz w:val="24"/>
      <w:szCs w:val="24"/>
      <w:u w:val="none"/>
    </w:rPr>
  </w:style>
  <w:style w:type="character" w:customStyle="1" w:styleId="18">
    <w:name w:val="font01"/>
    <w:basedOn w:val="11"/>
    <w:qFormat/>
    <w:uiPriority w:val="0"/>
    <w:rPr>
      <w:rFonts w:hint="eastAsia" w:ascii="宋体" w:hAnsi="宋体" w:eastAsia="宋体" w:cs="宋体"/>
      <w:color w:val="000000"/>
      <w:sz w:val="21"/>
      <w:szCs w:val="21"/>
      <w:u w:val="none"/>
    </w:rPr>
  </w:style>
  <w:style w:type="character" w:customStyle="1" w:styleId="19">
    <w:name w:val="font112"/>
    <w:basedOn w:val="11"/>
    <w:qFormat/>
    <w:uiPriority w:val="0"/>
    <w:rPr>
      <w:rFonts w:hint="eastAsia" w:ascii="宋体" w:hAnsi="宋体" w:eastAsia="宋体" w:cs="宋体"/>
      <w:color w:val="000000"/>
      <w:sz w:val="21"/>
      <w:szCs w:val="21"/>
      <w:u w:val="none"/>
      <w:vertAlign w:val="superscript"/>
    </w:rPr>
  </w:style>
  <w:style w:type="paragraph" w:customStyle="1" w:styleId="20">
    <w:name w:val="HtmlNormal"/>
    <w:basedOn w:val="1"/>
    <w:qFormat/>
    <w:uiPriority w:val="0"/>
    <w:pP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5845</Words>
  <Characters>6124</Characters>
  <Lines>42</Lines>
  <Paragraphs>12</Paragraphs>
  <TotalTime>11</TotalTime>
  <ScaleCrop>false</ScaleCrop>
  <LinksUpToDate>false</LinksUpToDate>
  <CharactersWithSpaces>6294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2020-07-21T23:00:00Z</dcterms:created>
  <dc:creator>叶 连桥</dc:creator>
  <cp:lastModifiedBy>Qi</cp:lastModifiedBy>
  <cp:lastPrinted>2023-06-14T08:58:29Z</cp:lastPrinted>
  <dcterms:modified xsi:type="dcterms:W3CDTF">2023-06-14T09:05:16Z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D447537C4C3948E7861D85D951695266_13</vt:lpwstr>
  </property>
</Properties>
</file>