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省管海域海上风电竞配项目情况表及示意图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3924" w:type="dxa"/>
        <w:tblInd w:w="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710"/>
        <w:gridCol w:w="940"/>
        <w:gridCol w:w="1300"/>
        <w:gridCol w:w="1400"/>
        <w:gridCol w:w="1520"/>
        <w:gridCol w:w="1630"/>
        <w:gridCol w:w="4351"/>
        <w:gridCol w:w="1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项目类型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所在市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项目名称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竞配容量（万千瓦）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场址拐点坐标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项目情况（含风速、风功能密度、离岸距离、水深条件等）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海上送出及登陆点规划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北纬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东经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省管海域项目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汕尾市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汕尾红海湾三海上风电项目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22°25'26.65"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115°27'51.45"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场址面积73km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，场址中心离岸距离30km，水深30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40m，100m高度年平均风速8.29 m/s左右，年平均风功率密度为511W/m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，风功率密度等级为3级。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集中送出（具体以海洋主管部门的海缆路由审批为准）；陆上登陆点位于深汕合作区小漠街道。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22°27'03.42"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115°34'00.40"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22°23'26.34"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115°34'00.40"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22°21'37.93"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115°27'51.45"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省管海域项目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汕尾市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汕尾红海湾五海上风电项目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22°27'11.91"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115°34'32.80"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场址面积62km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，场址中心离岸距离30km，水深30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40m，100m高度年平均风速8.29 m/s左右，年平均风功率密度511W/m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，风功率密度等级3级。</w:t>
            </w: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22°28'39.24"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115°40'05.76"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22°25'13.69"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115°40'05.76"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22°23'35.86"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115°34'32.80"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省管海域项目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汕尾市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汕尾红海湾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海上风电项目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22°23'02.09"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115°34'32.80"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场址面积62km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，场址中心离岸距离33km，水深43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48m，100m高度年平均风速8.29 m/s左右，年平均风功率密度511W/m</w:t>
            </w:r>
            <w:r>
              <w:rPr>
                <w:rFonts w:hint="default" w:ascii="Times New Roman" w:hAnsi="Times New Roman" w:eastAsia="仿宋_GB2312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，风功率密度等级3级。</w:t>
            </w: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22°24'39.92"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115°40'05.76"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22°21'14.36"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115°40'05.76"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22°19'26.03"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115°34'32.80"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4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p/>
    <w:p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241300</wp:posOffset>
            </wp:positionV>
            <wp:extent cx="7628255" cy="5200650"/>
            <wp:effectExtent l="0" t="0" r="10795" b="0"/>
            <wp:wrapNone/>
            <wp:docPr id="1" name="图片 1" descr="省管海域海上风电竞配项目示意图（汕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省管海域海上风电竞配项目示意图（汕尾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GQ3NzUwMTI0ZmRhNGFmOTMxMGI0NTkxNmUxNTIifQ=="/>
  </w:docVars>
  <w:rsids>
    <w:rsidRoot w:val="7C087417"/>
    <w:rsid w:val="03DB44D4"/>
    <w:rsid w:val="04DF6C8C"/>
    <w:rsid w:val="0FEF177D"/>
    <w:rsid w:val="44F548DA"/>
    <w:rsid w:val="60805395"/>
    <w:rsid w:val="68042D98"/>
    <w:rsid w:val="7C0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黑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863</Words>
  <Characters>1724</Characters>
  <Lines>0</Lines>
  <Paragraphs>0</Paragraphs>
  <TotalTime>4</TotalTime>
  <ScaleCrop>false</ScaleCrop>
  <LinksUpToDate>false</LinksUpToDate>
  <CharactersWithSpaces>1727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2023-06-06T10:36:00Z</dcterms:created>
  <dc:creator>-ilBryant</dc:creator>
  <cp:lastModifiedBy>-ilBryant</cp:lastModifiedBy>
  <cp:lastPrinted>2023-06-11T07:54:57Z</cp:lastPrinted>
  <dcterms:modified xsi:type="dcterms:W3CDTF">2023-06-11T11:38:14Z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C83040EF0D654441B20959B79416BEE8_11</vt:lpwstr>
  </property>
</Properties>
</file>