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firstLine="0"/>
        <w:jc w:val="left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</w:rPr>
        <w:t>依法依规，认真做好日常节能管理工作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：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公司严格遵守节能法律法规以及相关标准，节能规则制定健全，管理体系完善，</w:t>
      </w:r>
      <w:r>
        <w:rPr>
          <w:rFonts w:hint="eastAsia" w:ascii="仿宋_GB2312" w:hAnsi="仿宋_GB2312" w:eastAsia="仿宋_GB2312" w:cs="仿宋_GB2312"/>
          <w:sz w:val="21"/>
          <w:szCs w:val="24"/>
        </w:rPr>
        <w:t>制定并颁布了《能</w:t>
      </w:r>
      <w:r>
        <w:rPr>
          <w:rFonts w:hint="eastAsia" w:ascii="仿宋_GB2312" w:hAnsi="仿宋_GB2312" w:eastAsia="仿宋_GB2312" w:cs="仿宋_GB2312"/>
          <w:sz w:val="21"/>
          <w:szCs w:val="24"/>
          <w:lang w:eastAsia="zh-CN"/>
        </w:rPr>
        <w:t>源</w:t>
      </w:r>
      <w:r>
        <w:rPr>
          <w:rFonts w:hint="eastAsia" w:ascii="仿宋_GB2312" w:hAnsi="仿宋_GB2312" w:eastAsia="仿宋_GB2312" w:cs="仿宋_GB2312"/>
          <w:sz w:val="21"/>
          <w:szCs w:val="24"/>
        </w:rPr>
        <w:t>管理》、《计量管理》、《统计管理》、</w:t>
      </w:r>
      <w:r>
        <w:rPr>
          <w:rFonts w:hint="eastAsia" w:ascii="仿宋_GB2312" w:hAnsi="仿宋_GB2312" w:eastAsia="仿宋_GB2312" w:cs="仿宋_GB2312"/>
          <w:sz w:val="21"/>
          <w:szCs w:val="24"/>
          <w:lang w:eastAsia="zh-CN"/>
        </w:rPr>
        <w:t>等节能相关标准</w:t>
      </w:r>
      <w:r>
        <w:rPr>
          <w:rFonts w:hint="eastAsia" w:ascii="仿宋_GB2312" w:hAnsi="仿宋_GB2312" w:eastAsia="仿宋_GB2312" w:cs="仿宋_GB2312"/>
          <w:sz w:val="21"/>
          <w:szCs w:val="24"/>
        </w:rPr>
        <w:t>，将机构与职责、用能计划、节能管理、节能新技术推广、计量管理、节能监督等事项作了详细规定</w:t>
      </w:r>
      <w:r>
        <w:rPr>
          <w:rFonts w:hint="eastAsia" w:ascii="仿宋_GB2312" w:hAnsi="仿宋_GB2312" w:eastAsia="仿宋_GB2312" w:cs="仿宋_GB2312"/>
          <w:sz w:val="21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lang w:val="en-US" w:eastAsia="zh-CN"/>
        </w:rPr>
        <w:t>能源计量器具完备，能源统计台账齐全，并定期委托有资质单位进行校验。</w:t>
      </w:r>
      <w:r>
        <w:rPr>
          <w:rFonts w:hint="eastAsia" w:ascii="仿宋_GB2312" w:hAnsi="仿宋_GB2312" w:eastAsia="仿宋_GB2312" w:cs="仿宋_GB2312"/>
          <w:sz w:val="21"/>
          <w:szCs w:val="24"/>
        </w:rPr>
        <w:t>成立了由公司党委书记任组长的“降能耗”组织机构，强化责任担当，</w:t>
      </w:r>
      <w:r>
        <w:rPr>
          <w:rFonts w:hint="eastAsia" w:ascii="仿宋_GB2312" w:hAnsi="仿宋_GB2312" w:eastAsia="仿宋_GB2312" w:cs="仿宋_GB2312"/>
        </w:rPr>
        <w:t>编制并实施</w:t>
      </w:r>
      <w:r>
        <w:rPr>
          <w:rFonts w:hint="eastAsia" w:ascii="仿宋_GB2312" w:hAnsi="仿宋_GB2312" w:eastAsia="仿宋_GB2312" w:cs="仿宋_GB2312"/>
          <w:lang w:eastAsia="zh-CN"/>
        </w:rPr>
        <w:t>年度</w:t>
      </w:r>
      <w:r>
        <w:rPr>
          <w:rFonts w:hint="eastAsia" w:ascii="仿宋_GB2312" w:hAnsi="仿宋_GB2312" w:eastAsia="仿宋_GB2312" w:cs="仿宋_GB2312"/>
        </w:rPr>
        <w:t>《节能降耗实施方案》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24"/>
        </w:rPr>
        <w:t>开展能耗对标分析，</w:t>
      </w:r>
      <w:r>
        <w:rPr>
          <w:rFonts w:hint="eastAsia" w:ascii="仿宋_GB2312" w:hAnsi="仿宋_GB2312" w:eastAsia="仿宋_GB2312" w:cs="仿宋_GB2312"/>
          <w:lang w:eastAsia="zh-CN"/>
        </w:rPr>
        <w:t>每月召开节能分析会，</w:t>
      </w:r>
      <w:r>
        <w:rPr>
          <w:rFonts w:hint="eastAsia" w:ascii="仿宋_GB2312" w:hAnsi="仿宋_GB2312" w:eastAsia="仿宋_GB2312" w:cs="仿宋_GB2312"/>
          <w:sz w:val="21"/>
          <w:szCs w:val="24"/>
        </w:rPr>
        <w:t>制定整改措施并严格执行，把煤耗指标的完成情况作为部门及员工绩效的重要考评依据，全面推动节能降耗工作各项措施落实落细落地</w:t>
      </w:r>
      <w:r>
        <w:rPr>
          <w:rFonts w:hint="eastAsia" w:ascii="仿宋_GB2312" w:hAnsi="仿宋_GB2312" w:eastAsia="仿宋_GB2312" w:cs="仿宋_GB2312"/>
          <w:sz w:val="21"/>
          <w:szCs w:val="24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公司对节能改造工作高度重视，</w:t>
      </w:r>
      <w:r>
        <w:rPr>
          <w:rFonts w:hint="eastAsia" w:ascii="仿宋_GB2312" w:hAnsi="仿宋_GB2312" w:eastAsia="仿宋_GB2312" w:cs="仿宋_GB2312"/>
          <w:b/>
          <w:bCs/>
          <w:sz w:val="24"/>
        </w:rPr>
        <w:t>积极开展节能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降耗</w:t>
      </w:r>
      <w:r>
        <w:rPr>
          <w:rFonts w:hint="eastAsia" w:ascii="仿宋_GB2312" w:hAnsi="仿宋_GB2312" w:eastAsia="仿宋_GB2312" w:cs="仿宋_GB2312"/>
          <w:b/>
          <w:bCs/>
          <w:sz w:val="24"/>
        </w:rPr>
        <w:t>工作，取得了显著的改造效果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：</w:t>
      </w:r>
    </w:p>
    <w:p>
      <w:pPr>
        <w:numPr>
          <w:ilvl w:val="0"/>
          <w:numId w:val="0"/>
        </w:numPr>
        <w:ind w:firstLine="481"/>
        <w:jc w:val="left"/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公司一直秉承“克煤必省”的节能生产思想，精打细算、精益求精，尊重科学、结合实际，分别从优良维护、优化调整、优质检修、创优改造等方面将节能工作做细做实做精，以期以最小的成本，将设备性能恢复至设计水平，将设备运行在最佳工况，以达到最佳的节能效果。</w:t>
      </w:r>
    </w:p>
    <w:p>
      <w:pPr>
        <w:pStyle w:val="7"/>
        <w:ind w:firstLine="420" w:firstLineChars="200"/>
        <w:rPr>
          <w:rFonts w:hint="eastAsia" w:ascii="仿宋_GB2312" w:hAnsi="仿宋_GB2312" w:eastAsia="仿宋_GB2312" w:cs="仿宋_GB2312"/>
          <w:color w:val="auto"/>
          <w:kern w:val="2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lang w:val="en-US" w:eastAsia="zh-CN"/>
        </w:rPr>
        <w:t>推动冷端治理升级改造、热力系统改造、阀门可靠性改造、汽轮机汽轴封改造、空预器改造、燃烧器改造、风机改造等一系列节能改造措施，同时依托高等院校、科研单位开展降能耗科技攻关项目，如机组先进控制系统优化研究、汽门配汽优化研究、风量自适应控制技术研究等，取得了明显成效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</w:pPr>
      <w:r>
        <w:rPr>
          <w:rFonts w:hint="eastAsia" w:ascii="仿宋_GB2312" w:hAnsi="仿宋_GB2312" w:eastAsia="仿宋_GB2312" w:cs="仿宋_GB2312"/>
          <w:bCs w:val="0"/>
          <w:snapToGrid/>
          <w:color w:val="auto"/>
          <w:spacing w:val="0"/>
          <w:sz w:val="21"/>
          <w:szCs w:val="24"/>
        </w:rPr>
        <w:t>在优化运行方面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，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以开展生产小指标竞赛为抓手，积极调动运行人员的主动性和聪明才智，科学合理进行配煤掺烧，维持锅炉高效的燃烧效率；精心调整，保持各主辅设备处于最佳工况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合理安排运行方式，维持最低的厂用电水</w:t>
      </w:r>
      <w:r>
        <w:rPr>
          <w:rFonts w:hint="eastAsia" w:ascii="仿宋_GB2312" w:hAnsi="仿宋_GB2312" w:eastAsia="仿宋_GB2312" w:cs="仿宋_GB2312"/>
          <w:bCs w:val="0"/>
          <w:snapToGrid/>
          <w:color w:val="000000"/>
          <w:spacing w:val="0"/>
          <w:sz w:val="21"/>
          <w:szCs w:val="24"/>
        </w:rPr>
        <w:t>平</w:t>
      </w:r>
      <w:r>
        <w:rPr>
          <w:rFonts w:hint="eastAsia" w:ascii="仿宋_GB2312" w:hAnsi="仿宋_GB2312" w:eastAsia="仿宋_GB2312" w:cs="仿宋_GB2312"/>
          <w:bCs w:val="0"/>
          <w:snapToGrid/>
          <w:color w:val="000000"/>
          <w:spacing w:val="0"/>
          <w:sz w:val="21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Cs w:val="0"/>
          <w:snapToGrid/>
          <w:color w:val="000000"/>
          <w:spacing w:val="0"/>
          <w:sz w:val="21"/>
          <w:szCs w:val="24"/>
          <w:lang w:val="en-US" w:eastAsia="zh-CN"/>
        </w:rPr>
        <w:t>对标机组历史最佳工况，找出短板，作出针对性调整，提出合理化改进建议，保证机组安全、经济运行。</w:t>
      </w:r>
      <w:r>
        <w:rPr>
          <w:rFonts w:hint="eastAsia" w:ascii="仿宋_GB2312" w:hAnsi="仿宋_GB2312" w:eastAsia="仿宋_GB2312" w:cs="仿宋_GB2312"/>
          <w:bCs w:val="0"/>
          <w:snapToGrid/>
          <w:color w:val="000000"/>
          <w:spacing w:val="0"/>
          <w:sz w:val="21"/>
          <w:szCs w:val="24"/>
        </w:rPr>
        <w:t>通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过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  <w:t>以上活动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，既促进了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  <w:t>公司的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节能生产，更是激发了生产技术人员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思考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创造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  <w:t>能力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，大大提升了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的生产技术水平。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  <w:lang w:val="en-US" w:eastAsia="zh-CN"/>
        </w:rPr>
        <w:t>通过不断努力，公司能耗指标持续向好，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节能工作取得了良好的成绩。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022年公司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</w:rPr>
        <w:t>年度上网电量1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</w:rPr>
        <w:t>.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</w:rPr>
        <w:t>7亿kWh，供电标准煤耗308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  <w:lang w:val="en-US" w:eastAsia="zh-CN"/>
        </w:rPr>
        <w:t>.51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</w:rPr>
        <w:t>g/kWh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</w:rPr>
        <w:t>在负荷率同比降低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</w:rPr>
        <w:t>.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</w:rPr>
        <w:t>个百分点的情况下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  <w:lang w:eastAsia="zh-CN"/>
        </w:rPr>
        <w:t>煤耗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同比降低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  <w:t>0.14g/</w:t>
      </w:r>
      <w:r>
        <w:rPr>
          <w:rFonts w:hint="eastAsia" w:ascii="仿宋_GB2312" w:hAnsi="仿宋_GB2312" w:eastAsia="仿宋_GB2312" w:cs="仿宋_GB2312"/>
          <w:bCs w:val="0"/>
          <w:kern w:val="2"/>
          <w:sz w:val="21"/>
          <w:szCs w:val="24"/>
        </w:rPr>
        <w:t>kWh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  <w:t>达到了全国同类型机组的优良水平。</w:t>
      </w:r>
    </w:p>
    <w:p>
      <w:pP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节能工作永无止境，在已经取得这些成绩的基础上，未来3年，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eastAsia="zh-CN"/>
        </w:rPr>
        <w:t>公司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将继续投入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  <w:t>约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4亿元对现有的4台汽轮机实施通流部分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val="en-US" w:eastAsia="zh-CN"/>
        </w:rPr>
        <w:t>的节能增效增容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改造，改造后机组供电煤耗预期可降低6-8克，年可节约标煤约</w:t>
      </w:r>
      <w:r>
        <w:rPr>
          <w:rFonts w:hint="eastAsia" w:ascii="仿宋_GB2312" w:hAnsi="仿宋_GB2312" w:eastAsia="仿宋_GB2312" w:cs="仿宋_GB2312"/>
          <w:bCs w:val="0"/>
          <w:snapToGrid/>
          <w:color w:val="auto"/>
          <w:spacing w:val="0"/>
          <w:sz w:val="21"/>
          <w:szCs w:val="24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</w:rPr>
        <w:t>万吨</w:t>
      </w:r>
      <w:r>
        <w:rPr>
          <w:rFonts w:hint="eastAsia" w:ascii="仿宋_GB2312" w:hAnsi="仿宋_GB2312" w:eastAsia="仿宋_GB2312" w:cs="仿宋_GB2312"/>
          <w:bCs w:val="0"/>
          <w:snapToGrid/>
          <w:spacing w:val="0"/>
          <w:sz w:val="21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bCs w:val="0"/>
          <w:color w:val="auto"/>
          <w:kern w:val="2"/>
          <w:sz w:val="21"/>
          <w:szCs w:val="24"/>
          <w:lang w:eastAsia="zh-CN"/>
        </w:rPr>
        <w:t>在省能源局、省工信厅关于“十三五”广东省“千家”重点用能单位节能目标评价考核中，公司超额完成节能目标，名列考核级别中的最高等级（详见粤能新能[2021]173号文件）。</w:t>
      </w:r>
    </w:p>
    <w:p>
      <w:pPr>
        <w:widowControl/>
        <w:numPr>
          <w:ilvl w:val="0"/>
          <w:numId w:val="0"/>
        </w:numPr>
        <w:spacing w:beforeLines="0" w:afterLines="0"/>
        <w:ind w:firstLine="0" w:firstLineChars="0"/>
        <w:jc w:val="left"/>
        <w:rPr>
          <w:rFonts w:hint="eastAsia" w:ascii="宋体" w:hAnsi="宋体" w:eastAsia="宋体" w:cs="宋体"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1"/>
          <w:highlight w:val="none"/>
          <w:lang w:val="en-US" w:eastAsia="zh-CN"/>
        </w:rPr>
        <w:t>荣获广东</w:t>
      </w:r>
      <w:r>
        <w:rPr>
          <w:rFonts w:hint="eastAsia" w:ascii="宋体" w:hAnsi="宋体" w:eastAsia="宋体" w:cs="宋体"/>
          <w:color w:val="auto"/>
          <w:sz w:val="21"/>
          <w:highlight w:val="none"/>
        </w:rPr>
        <w:t>省</w:t>
      </w:r>
      <w:r>
        <w:rPr>
          <w:rFonts w:hint="eastAsia" w:ascii="宋体" w:hAnsi="宋体" w:eastAsia="宋体" w:cs="宋体"/>
          <w:color w:val="auto"/>
          <w:sz w:val="21"/>
          <w:highlight w:val="none"/>
          <w:lang w:val="en-US" w:eastAsia="zh-CN"/>
        </w:rPr>
        <w:t>2016-2017-2018-2019年度“节能先进集体”</w:t>
      </w:r>
      <w:r>
        <w:rPr>
          <w:rFonts w:hint="eastAsia" w:ascii="宋体" w:hAnsi="宋体" w:eastAsia="宋体" w:cs="宋体"/>
          <w:color w:val="auto"/>
          <w:sz w:val="21"/>
          <w:highlight w:val="none"/>
        </w:rPr>
        <w:t>荣誉称号</w:t>
      </w:r>
      <w:r>
        <w:rPr>
          <w:rFonts w:hint="eastAsia" w:ascii="宋体" w:hAnsi="宋体" w:eastAsia="宋体" w:cs="宋体"/>
          <w:color w:val="auto"/>
          <w:sz w:val="21"/>
          <w:highlight w:val="none"/>
          <w:lang w:eastAsia="zh-CN"/>
        </w:rPr>
        <w:t>。</w:t>
      </w:r>
    </w:p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</w:rPr>
        <w:t>荣获2016年度</w:t>
      </w:r>
      <w:r>
        <w:rPr>
          <w:rFonts w:hint="eastAsia" w:ascii="宋体" w:hAnsi="宋体" w:eastAsia="宋体" w:cs="宋体"/>
          <w:color w:val="auto"/>
          <w:sz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2017年度、2019年度、2020年度</w:t>
      </w:r>
      <w:r>
        <w:rPr>
          <w:rFonts w:hint="eastAsia" w:ascii="宋体" w:hAnsi="宋体" w:eastAsia="宋体" w:cs="宋体"/>
          <w:color w:val="auto"/>
          <w:sz w:val="21"/>
        </w:rPr>
        <w:t>省电力系统“节能专业技术监督工作先进单位”，总分名</w:t>
      </w:r>
      <w:r>
        <w:rPr>
          <w:rFonts w:hint="eastAsia" w:ascii="宋体" w:hAnsi="宋体" w:eastAsia="宋体" w:cs="宋体"/>
          <w:color w:val="auto"/>
          <w:sz w:val="21"/>
          <w:lang w:eastAsia="zh-CN"/>
        </w:rPr>
        <w:t>列前茅</w:t>
      </w:r>
      <w:r>
        <w:rPr>
          <w:rFonts w:hint="eastAsia" w:ascii="宋体" w:hAnsi="宋体" w:eastAsia="宋体" w:cs="宋体"/>
          <w:color w:val="auto"/>
          <w:sz w:val="21"/>
        </w:rPr>
        <w:t>。</w:t>
      </w:r>
    </w:p>
    <w:p>
      <w:pPr>
        <w:pStyle w:val="2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OGQ3NzUwMTI0ZmRhNGFmOTMxMGI0NTkxNmUxNTIifQ=="/>
  </w:docVars>
  <w:rsids>
    <w:rsidRoot w:val="00000000"/>
    <w:rsid w:val="03DB44D4"/>
    <w:rsid w:val="04DF6C8C"/>
    <w:rsid w:val="0FEF177D"/>
    <w:rsid w:val="44F548DA"/>
    <w:rsid w:val="68042D98"/>
    <w:rsid w:val="6EB0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5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1"/>
    </w:pPr>
    <w:rPr>
      <w:rFonts w:ascii="Arial" w:hAnsi="Arial" w:eastAsia="黑体" w:cs="Times New Roma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</w:pPr>
    <w:rPr>
      <w:kern w:val="2"/>
      <w:sz w:val="24"/>
      <w:szCs w:val="24"/>
      <w:lang w:bidi="ar-SA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2022-03-06T12:09:00Z</dcterms:created>
  <dc:creator>xieii</dc:creator>
  <cp:lastModifiedBy>-ilBryant</cp:lastModifiedBy>
  <dcterms:modified xsi:type="dcterms:W3CDTF">2023-04-11T01:52:13Z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C7ED63A6099E41F4850197BB4E281F24</vt:lpwstr>
  </property>
</Properties>
</file>