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 w:line="525" w:lineRule="exact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附件2</w:t>
      </w:r>
    </w:p>
    <w:p>
      <w:pPr>
        <w:spacing w:before="23" w:line="525" w:lineRule="exact"/>
        <w:jc w:val="center"/>
        <w:textAlignment w:val="center"/>
      </w:pP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2023</w:t>
      </w:r>
      <w:r>
        <w:rPr>
          <w:rFonts w:hint="eastAsia" w:eastAsia="宋体"/>
          <w:b/>
          <w:bCs/>
          <w:sz w:val="32"/>
          <w:szCs w:val="32"/>
          <w:lang w:val="en-US" w:eastAsia="zh-CN"/>
        </w:rPr>
        <w:t>年省级以上公益林效益补偿资金绩效目标表</w:t>
      </w:r>
    </w:p>
    <w:p>
      <w:pPr>
        <w:spacing w:line="208" w:lineRule="exact"/>
      </w:pPr>
    </w:p>
    <w:tbl>
      <w:tblPr>
        <w:tblStyle w:val="5"/>
        <w:tblW w:w="9843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989"/>
        <w:gridCol w:w="1581"/>
        <w:gridCol w:w="2290"/>
        <w:gridCol w:w="38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10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4" w:line="224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目名称</w:t>
            </w:r>
          </w:p>
        </w:tc>
        <w:tc>
          <w:tcPr>
            <w:tcW w:w="7741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83" w:line="224" w:lineRule="auto"/>
              <w:ind w:left="275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级以上公益林效益补偿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0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0" w:line="224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级主管部门</w:t>
            </w:r>
          </w:p>
        </w:tc>
        <w:tc>
          <w:tcPr>
            <w:tcW w:w="7741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80" w:line="224" w:lineRule="auto"/>
              <w:ind w:left="3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林业局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0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7" w:line="224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023年预算金额</w:t>
            </w:r>
          </w:p>
          <w:p>
            <w:pPr>
              <w:spacing w:before="7" w:line="202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(元)</w:t>
            </w:r>
          </w:p>
        </w:tc>
        <w:tc>
          <w:tcPr>
            <w:tcW w:w="7741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3" w:line="188" w:lineRule="auto"/>
              <w:ind w:left="336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12462800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10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立依据</w:t>
            </w:r>
          </w:p>
        </w:tc>
        <w:tc>
          <w:tcPr>
            <w:tcW w:w="7741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98" w:line="239" w:lineRule="auto"/>
              <w:ind w:left="31" w:right="47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中华人民共和国森林法》(中华人民共和国主席令 第三十九号) 、《广东省生态公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建设管理和效益补偿办法》(省政府令第48号) 、《广东省省级生态公益林效益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偿资金管理办法》(粤财农〔2018〕322号)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210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目概述</w:t>
            </w:r>
          </w:p>
        </w:tc>
        <w:tc>
          <w:tcPr>
            <w:tcW w:w="7741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94" w:line="229" w:lineRule="auto"/>
              <w:ind w:righ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 自1994年起，为人类生存、生活和社会经济持续稳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定发展，创造优良生态环境，我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省开始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实施森林分类经营制度，建设生态公益林。</w:t>
            </w:r>
          </w:p>
          <w:p>
            <w:pPr>
              <w:spacing w:before="1" w:line="229" w:lineRule="auto"/>
              <w:ind w:left="32" w:right="4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2.199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年起，我省开始实施省政府令第48号，确立了由政府对生态公益林经营者的经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济损失给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补偿的制度按照财农〔2009〕381号的规定，经省政府同意，2010年起我省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统筹使用中央财政森林生态效益补偿和省级公益林效益补偿资金，对全省省级以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公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实施补偿。</w:t>
            </w:r>
          </w:p>
          <w:p>
            <w:pPr>
              <w:spacing w:line="235" w:lineRule="auto"/>
              <w:ind w:left="32" w:right="47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3.根据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财农〔2018〕322号规定，公益林效益补偿资金分为损失性补偿资金和公共管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护经费两部分，其中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损失性补偿资金指补给因划定为省级公益林而禁止采伐林木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成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经济损失的林地经营者或林木所有者的资金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公共管护经费包括公益林管护人员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费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管理经费和省统筹经费。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102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202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3年总体绩效目标</w:t>
            </w:r>
          </w:p>
        </w:tc>
        <w:tc>
          <w:tcPr>
            <w:tcW w:w="7741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52" w:firstLine="424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督促各地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做好全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市162.31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万亩省级以上公益林建设管理和保护工作，确保平均每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5000亩不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于1个管护人员，有效保障和维护公益林所有者、管护者权益，提高保护与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监管全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益林的积极性，维护管护区域生态系统稳定。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13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效指标</w:t>
            </w:r>
          </w:p>
        </w:tc>
        <w:tc>
          <w:tcPr>
            <w:tcW w:w="98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0" w:line="224" w:lineRule="auto"/>
              <w:ind w:left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级指标</w:t>
            </w: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0" w:line="224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二级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指标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0" w:line="224" w:lineRule="auto"/>
              <w:ind w:left="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级指标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90" w:line="224" w:lineRule="auto"/>
              <w:ind w:left="1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当年度指标</w:t>
            </w:r>
            <w:r>
              <w:rPr>
                <w:rFonts w:ascii="宋体" w:hAnsi="宋体" w:eastAsia="宋体" w:cs="宋体"/>
                <w:sz w:val="20"/>
                <w:szCs w:val="20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出指标</w:t>
            </w:r>
          </w:p>
        </w:tc>
        <w:tc>
          <w:tcPr>
            <w:tcW w:w="1581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数量指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73" w:line="224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省级以上公益林面积</w:t>
            </w:r>
          </w:p>
          <w:p>
            <w:pPr>
              <w:spacing w:before="5" w:line="224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万亩)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265" w:lineRule="exact"/>
              <w:ind w:left="1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0"/>
                <w:szCs w:val="20"/>
                <w:lang w:val="en-US" w:eastAsia="zh-CN"/>
              </w:rPr>
              <w:t>162.31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万亩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5" w:line="224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偿受益户数(万户)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242" w:lineRule="auto"/>
              <w:ind w:left="1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≥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5" w:line="224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公益林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护人员配备率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224" w:lineRule="auto"/>
              <w:ind w:left="8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平均每5000亩不少于1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6" w:line="224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质量指标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5" w:line="224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公益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林一二类林比例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224" w:lineRule="auto"/>
              <w:ind w:left="1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不低于上一年水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6" w:line="224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z w:val="20"/>
                <w:szCs w:val="20"/>
              </w:rPr>
              <w:t>效指标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6" w:line="224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偿资金下达及时性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6" w:line="224" w:lineRule="auto"/>
              <w:ind w:left="1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不晚于12月底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5" w:line="223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成本指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line="244" w:lineRule="auto"/>
              <w:ind w:left="842" w:right="108" w:hanging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省级以上公益林效益补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偿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标准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224" w:lineRule="auto"/>
              <w:ind w:left="1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平均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每亩45元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224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73" w:line="228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社会效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益</w:t>
            </w:r>
          </w:p>
          <w:p>
            <w:pPr>
              <w:spacing w:line="224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指标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5" w:line="224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涉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及公益林重大案件数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224" w:lineRule="auto"/>
              <w:ind w:left="1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万亩低于1宗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76" w:line="224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效益指标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76" w:line="224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林火灾受害率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76" w:line="232" w:lineRule="auto"/>
              <w:ind w:left="15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≤0.9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73" w:line="233" w:lineRule="auto"/>
              <w:ind w:left="392" w:right="75" w:hanging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意度指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581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73" w:line="233" w:lineRule="auto"/>
              <w:ind w:left="281" w:right="266" w:firstLine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务对象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意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度指标</w:t>
            </w:r>
          </w:p>
        </w:tc>
        <w:tc>
          <w:tcPr>
            <w:tcW w:w="229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6" w:line="224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受益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群众满意度</w:t>
            </w:r>
          </w:p>
        </w:tc>
        <w:tc>
          <w:tcPr>
            <w:tcW w:w="3870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6" w:line="242" w:lineRule="auto"/>
              <w:ind w:left="1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≥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90%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245110</wp:posOffset>
            </wp:positionH>
            <wp:positionV relativeFrom="page">
              <wp:posOffset>10010775</wp:posOffset>
            </wp:positionV>
            <wp:extent cx="1888490" cy="67945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8205" cy="67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1100" w:lineRule="exact"/>
        <w:textAlignment w:val="center"/>
      </w:pPr>
      <w:r>
        <w:drawing>
          <wp:inline distT="0" distB="0" distL="0" distR="0">
            <wp:extent cx="1921510" cy="69786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1702" cy="69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1" w:h="16841"/>
      <w:pgMar w:top="1429" w:right="867" w:bottom="6" w:left="86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51" o:spid="_x0000_s2051" o:spt="202" type="#_x0000_t202" style="position:absolute;left:0pt;margin-left:64pt;margin-top:797.5pt;height:18.15pt;width:48.9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92" w:lineRule="auto"/>
                  <w:ind w:left="20"/>
                  <w:rPr>
                    <w:rFonts w:ascii="新宋体" w:hAnsi="新宋体" w:eastAsia="新宋体" w:cs="新宋体"/>
                    <w:sz w:val="31"/>
                    <w:szCs w:val="31"/>
                  </w:rPr>
                </w:pPr>
                <w:r>
                  <w:rPr>
                    <w:rFonts w:ascii="新宋体" w:hAnsi="新宋体" w:eastAsia="新宋体" w:cs="新宋体"/>
                    <w:spacing w:val="4"/>
                    <w:sz w:val="31"/>
                    <w:szCs w:val="31"/>
                  </w:rPr>
                  <w:t>-</w:t>
                </w:r>
                <w:r>
                  <w:rPr>
                    <w:rFonts w:ascii="新宋体" w:hAnsi="新宋体" w:eastAsia="新宋体" w:cs="新宋体"/>
                    <w:spacing w:val="3"/>
                    <w:sz w:val="31"/>
                    <w:szCs w:val="31"/>
                  </w:rPr>
                  <w:t xml:space="preserve"> </w:t>
                </w:r>
                <w:r>
                  <w:rPr>
                    <w:rFonts w:ascii="新宋体" w:hAnsi="新宋体" w:eastAsia="新宋体" w:cs="新宋体"/>
                    <w:spacing w:val="2"/>
                    <w:sz w:val="31"/>
                    <w:szCs w:val="31"/>
                  </w:rPr>
                  <w:t>10 -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gutterAtTop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kOWViNmQ4MGEyYTIyZTljMWY2YmZlY2NlNjIzZjEifQ=="/>
  </w:docVars>
  <w:rsids>
    <w:rsidRoot w:val="00000000"/>
    <w:rsid w:val="01A04736"/>
    <w:rsid w:val="06C7351F"/>
    <w:rsid w:val="1822001A"/>
    <w:rsid w:val="2E07535D"/>
    <w:rsid w:val="4778106C"/>
    <w:rsid w:val="49765E8C"/>
    <w:rsid w:val="5C181860"/>
    <w:rsid w:val="5EEF7770"/>
    <w:rsid w:val="620671E2"/>
    <w:rsid w:val="71E86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744</Words>
  <Characters>811</Characters>
  <TotalTime>21</TotalTime>
  <ScaleCrop>false</ScaleCrop>
  <LinksUpToDate>false</LinksUpToDate>
  <CharactersWithSpaces>888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2022-11-15T14:25:00Z</dcterms:created>
  <dc:creator>LENOVO</dc:creator>
  <cp:lastModifiedBy>Administrator</cp:lastModifiedBy>
  <cp:lastPrinted>2022-12-11T00:43:00Z</cp:lastPrinted>
  <dcterms:modified xsi:type="dcterms:W3CDTF">2023-02-16T01:19:26Z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2022-12-11T08:42:33Z</vt:filetime>
  </property>
  <property fmtid="{D5CDD505-2E9C-101B-9397-08002B2CF9AE}" pid="4" name="KSOProductBuildVer">
    <vt:lpwstr>2052-11.1.0.13703</vt:lpwstr>
  </property>
  <property fmtid="{D5CDD505-2E9C-101B-9397-08002B2CF9AE}" pid="5" name="ICV">
    <vt:lpwstr>806F429E6AB04BA3A9608517EE4A77B3</vt:lpwstr>
  </property>
</Properties>
</file>