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eastAsia="zh-CN"/>
        </w:rPr>
        <w:t>汕尾</w:t>
      </w:r>
      <w:r>
        <w:rPr>
          <w:rFonts w:hint="eastAsia" w:ascii="宋体" w:hAnsi="宋体" w:eastAsia="宋体" w:cs="宋体"/>
          <w:b/>
          <w:bCs/>
          <w:color w:val="auto"/>
          <w:sz w:val="44"/>
          <w:szCs w:val="44"/>
        </w:rPr>
        <w:t>市</w:t>
      </w:r>
      <w:r>
        <w:rPr>
          <w:rFonts w:hint="eastAsia" w:ascii="宋体" w:hAnsi="宋体" w:eastAsia="宋体" w:cs="宋体"/>
          <w:b/>
          <w:bCs/>
          <w:color w:val="auto"/>
          <w:sz w:val="44"/>
          <w:szCs w:val="44"/>
          <w:lang w:val="en-US" w:eastAsia="zh-CN"/>
        </w:rPr>
        <w:t>文化市场综合执法行政处罚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裁量权适用规则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（征求意见稿）</w:t>
      </w:r>
    </w:p>
    <w:p>
      <w:pPr>
        <w:spacing w:line="360" w:lineRule="auto"/>
        <w:ind w:firstLine="560" w:firstLineChars="200"/>
        <w:rPr>
          <w:rFonts w:hint="eastAsia" w:ascii="黑体" w:hAnsi="黑体" w:eastAsia="黑体"/>
          <w:bCs/>
        </w:rPr>
      </w:pPr>
    </w:p>
    <w:p>
      <w:pPr>
        <w:spacing w:line="360" w:lineRule="auto"/>
        <w:ind w:firstLine="640" w:firstLineChars="200"/>
        <w:rPr>
          <w:rFonts w:hint="eastAsia" w:ascii="仿宋_GB2312" w:hAnsi="楷体" w:eastAsia="仿宋_GB2312"/>
          <w:bCs/>
          <w:sz w:val="32"/>
          <w:szCs w:val="32"/>
        </w:rPr>
      </w:pPr>
      <w:r>
        <w:rPr>
          <w:rFonts w:hint="eastAsia" w:ascii="黑体" w:hAnsi="黑体" w:eastAsia="黑体"/>
          <w:bCs/>
          <w:sz w:val="32"/>
          <w:szCs w:val="32"/>
        </w:rPr>
        <w:t>第一条</w:t>
      </w:r>
      <w:r>
        <w:rPr>
          <w:rFonts w:hint="eastAsia" w:ascii="仿宋_GB2312" w:hAnsi="楷体" w:eastAsia="仿宋_GB2312"/>
          <w:bCs/>
          <w:sz w:val="32"/>
          <w:szCs w:val="32"/>
        </w:rPr>
        <w:t xml:space="preserve"> 为了</w:t>
      </w:r>
      <w:r>
        <w:rPr>
          <w:rFonts w:hint="eastAsia" w:ascii="仿宋_GB2312" w:hAnsi="楷体" w:eastAsia="仿宋_GB2312"/>
          <w:bCs/>
          <w:sz w:val="32"/>
          <w:szCs w:val="32"/>
          <w:lang w:val="en-US" w:eastAsia="zh-CN"/>
        </w:rPr>
        <w:t>进一步</w:t>
      </w:r>
      <w:r>
        <w:rPr>
          <w:rFonts w:hint="eastAsia" w:ascii="仿宋_GB2312" w:hAnsi="楷体" w:eastAsia="仿宋_GB2312"/>
          <w:bCs/>
          <w:sz w:val="32"/>
          <w:szCs w:val="32"/>
        </w:rPr>
        <w:t>规范</w:t>
      </w:r>
      <w:r>
        <w:rPr>
          <w:rFonts w:hint="eastAsia" w:ascii="仿宋_GB2312" w:hAnsi="楷体" w:eastAsia="仿宋_GB2312"/>
          <w:bCs/>
          <w:sz w:val="32"/>
          <w:szCs w:val="32"/>
          <w:lang w:val="en-US" w:eastAsia="zh-CN"/>
        </w:rPr>
        <w:t>我市各级</w:t>
      </w:r>
      <w:r>
        <w:rPr>
          <w:rFonts w:hint="eastAsia" w:ascii="仿宋_GB2312" w:hAnsi="楷体" w:eastAsia="仿宋_GB2312"/>
          <w:bCs/>
          <w:sz w:val="32"/>
          <w:szCs w:val="32"/>
        </w:rPr>
        <w:t>文化市场综合</w:t>
      </w:r>
      <w:r>
        <w:rPr>
          <w:rFonts w:hint="eastAsia" w:ascii="仿宋_GB2312" w:hAnsi="楷体" w:eastAsia="仿宋_GB2312"/>
          <w:bCs/>
          <w:sz w:val="32"/>
          <w:szCs w:val="32"/>
          <w:lang w:val="en-US" w:eastAsia="zh-CN"/>
        </w:rPr>
        <w:t>行政执法行为，提高执法效能，保证文化、广电、旅游、体育市场行政处罚自由裁量权的正确行使，保护自然人</w:t>
      </w:r>
      <w:r>
        <w:rPr>
          <w:rFonts w:hint="eastAsia" w:ascii="仿宋_GB2312" w:hAnsi="楷体" w:eastAsia="仿宋_GB2312"/>
          <w:bCs/>
          <w:sz w:val="32"/>
          <w:szCs w:val="32"/>
        </w:rPr>
        <w:t>、法人和其他组织的合法权益，根据《中华人民共和国行政处罚法》</w:t>
      </w:r>
      <w:r>
        <w:rPr>
          <w:rFonts w:hint="eastAsia" w:ascii="仿宋_GB2312" w:hAnsi="楷体" w:eastAsia="仿宋_GB2312"/>
          <w:bCs/>
          <w:sz w:val="32"/>
          <w:szCs w:val="32"/>
          <w:lang w:eastAsia="zh-CN"/>
        </w:rPr>
        <w:t>《国务院办公厅关于进一步规范行政裁量权基准制定和管理工作的意见》（国办发〔2022〕27号）</w:t>
      </w:r>
      <w:r>
        <w:rPr>
          <w:rFonts w:hint="eastAsia" w:ascii="仿宋_GB2312" w:hAnsi="楷体" w:eastAsia="仿宋_GB2312"/>
          <w:bCs/>
          <w:sz w:val="32"/>
          <w:szCs w:val="32"/>
        </w:rPr>
        <w:fldChar w:fldCharType="begin"/>
      </w:r>
      <w:r>
        <w:rPr>
          <w:rFonts w:hint="eastAsia" w:ascii="仿宋_GB2312" w:hAnsi="楷体" w:eastAsia="仿宋_GB2312"/>
          <w:bCs/>
          <w:sz w:val="32"/>
          <w:szCs w:val="32"/>
        </w:rPr>
        <w:instrText xml:space="preserve"> HYPERLINK "https://www.pkulaw.com/Readlar/e1e8f8a2b6279a5d83213390b25d1e36bdfb.html" \t "https://www.pkulaw.com/lar/_blank" </w:instrText>
      </w:r>
      <w:r>
        <w:rPr>
          <w:rFonts w:hint="eastAsia" w:ascii="仿宋_GB2312" w:hAnsi="楷体" w:eastAsia="仿宋_GB2312"/>
          <w:bCs/>
          <w:sz w:val="32"/>
          <w:szCs w:val="32"/>
        </w:rPr>
        <w:fldChar w:fldCharType="separate"/>
      </w:r>
      <w:r>
        <w:rPr>
          <w:rFonts w:hint="eastAsia" w:ascii="仿宋_GB2312" w:hAnsi="楷体" w:eastAsia="仿宋_GB2312"/>
          <w:bCs/>
          <w:sz w:val="32"/>
          <w:szCs w:val="32"/>
        </w:rPr>
        <w:fldChar w:fldCharType="end"/>
      </w:r>
      <w:r>
        <w:rPr>
          <w:rFonts w:hint="eastAsia" w:ascii="仿宋_GB2312" w:hAnsi="楷体" w:eastAsia="仿宋_GB2312"/>
          <w:bCs/>
          <w:sz w:val="32"/>
          <w:szCs w:val="32"/>
        </w:rPr>
        <w:t>《文化市场综合执法行政处罚裁量权适用办法》</w:t>
      </w:r>
      <w:r>
        <w:rPr>
          <w:rFonts w:hint="eastAsia" w:ascii="仿宋_GB2312" w:hAnsi="楷体" w:eastAsia="仿宋_GB2312"/>
          <w:bCs/>
          <w:sz w:val="32"/>
          <w:szCs w:val="32"/>
          <w:lang w:eastAsia="zh-CN"/>
        </w:rPr>
        <w:t>（文旅综执发〔2021〕11号）《广东省行政执法责任制条例》《</w:t>
      </w:r>
      <w:r>
        <w:rPr>
          <w:rFonts w:hint="eastAsia" w:ascii="仿宋_GB2312" w:hAnsi="楷体" w:eastAsia="仿宋_GB2312"/>
          <w:bCs/>
          <w:sz w:val="32"/>
          <w:szCs w:val="32"/>
        </w:rPr>
        <w:t>广东省规范行政处罚自由裁量权规定</w:t>
      </w:r>
      <w:r>
        <w:rPr>
          <w:rFonts w:hint="eastAsia" w:ascii="仿宋_GB2312" w:hAnsi="楷体" w:eastAsia="仿宋_GB2312"/>
          <w:bCs/>
          <w:sz w:val="32"/>
          <w:szCs w:val="32"/>
          <w:lang w:eastAsia="zh-CN"/>
        </w:rPr>
        <w:t>》《广东省文化和旅游厅关于文化市场综合执法行政处罚裁量权的适用规则》（粤文旅规〔2021〕1号）</w:t>
      </w:r>
      <w:r>
        <w:rPr>
          <w:rFonts w:hint="eastAsia" w:ascii="仿宋_GB2312" w:hAnsi="楷体" w:eastAsia="仿宋_GB2312"/>
          <w:bCs/>
          <w:sz w:val="32"/>
          <w:szCs w:val="32"/>
        </w:rPr>
        <w:t>等</w:t>
      </w:r>
      <w:r>
        <w:rPr>
          <w:rFonts w:hint="eastAsia" w:ascii="仿宋_GB2312" w:hAnsi="楷体" w:eastAsia="仿宋_GB2312"/>
          <w:bCs/>
          <w:sz w:val="32"/>
          <w:szCs w:val="32"/>
          <w:lang w:val="en-US" w:eastAsia="zh-CN"/>
        </w:rPr>
        <w:t>有关规定</w:t>
      </w:r>
      <w:r>
        <w:rPr>
          <w:rFonts w:hint="eastAsia" w:ascii="仿宋_GB2312" w:hAnsi="楷体" w:eastAsia="仿宋_GB2312"/>
          <w:bCs/>
          <w:sz w:val="32"/>
          <w:szCs w:val="32"/>
        </w:rPr>
        <w:t>，结合</w:t>
      </w:r>
      <w:r>
        <w:rPr>
          <w:rFonts w:hint="eastAsia" w:ascii="仿宋_GB2312" w:hAnsi="楷体" w:eastAsia="仿宋_GB2312"/>
          <w:bCs/>
          <w:sz w:val="32"/>
          <w:szCs w:val="32"/>
          <w:lang w:val="en-US" w:eastAsia="zh-CN"/>
        </w:rPr>
        <w:t>我市文化市场综合执法工作</w:t>
      </w:r>
      <w:r>
        <w:rPr>
          <w:rFonts w:hint="eastAsia" w:ascii="仿宋_GB2312" w:hAnsi="楷体" w:eastAsia="仿宋_GB2312"/>
          <w:bCs/>
          <w:sz w:val="32"/>
          <w:szCs w:val="32"/>
        </w:rPr>
        <w:t>实际，制定本规则。</w:t>
      </w:r>
    </w:p>
    <w:p>
      <w:pPr>
        <w:spacing w:line="360" w:lineRule="auto"/>
        <w:ind w:firstLine="640" w:firstLineChars="200"/>
        <w:jc w:val="left"/>
        <w:rPr>
          <w:sz w:val="32"/>
          <w:szCs w:val="32"/>
        </w:rPr>
      </w:pPr>
      <w:r>
        <w:rPr>
          <w:rFonts w:hint="eastAsia" w:ascii="黑体" w:hAnsi="黑体" w:eastAsia="黑体"/>
          <w:bCs/>
          <w:sz w:val="32"/>
          <w:szCs w:val="32"/>
        </w:rPr>
        <w:t>第二条</w:t>
      </w:r>
      <w:r>
        <w:rPr>
          <w:rFonts w:hint="eastAsia" w:ascii="黑体" w:hAnsi="黑体" w:eastAsia="黑体"/>
          <w:bCs/>
          <w:sz w:val="32"/>
          <w:szCs w:val="32"/>
          <w:lang w:val="en-US" w:eastAsia="zh-CN"/>
        </w:rPr>
        <w:t xml:space="preserve"> </w:t>
      </w:r>
      <w:r>
        <w:rPr>
          <w:rFonts w:hint="eastAsia" w:ascii="仿宋_GB2312" w:hAnsi="楷体" w:eastAsia="仿宋_GB2312"/>
          <w:bCs/>
          <w:sz w:val="32"/>
          <w:szCs w:val="32"/>
          <w:lang w:val="en-US" w:eastAsia="zh-CN"/>
        </w:rPr>
        <w:t>本市</w:t>
      </w:r>
      <w:r>
        <w:rPr>
          <w:rFonts w:hint="eastAsia" w:ascii="仿宋_GB2312" w:hAnsi="楷体" w:eastAsia="仿宋_GB2312"/>
          <w:bCs/>
          <w:sz w:val="32"/>
          <w:szCs w:val="32"/>
        </w:rPr>
        <w:t>各级文化</w:t>
      </w:r>
      <w:r>
        <w:rPr>
          <w:rFonts w:hint="eastAsia" w:ascii="仿宋_GB2312" w:hAnsi="楷体" w:eastAsia="仿宋_GB2312"/>
          <w:bCs/>
          <w:sz w:val="32"/>
          <w:szCs w:val="32"/>
          <w:lang w:eastAsia="zh-CN"/>
        </w:rPr>
        <w:t>、广电、旅游、体育</w:t>
      </w:r>
      <w:r>
        <w:rPr>
          <w:rFonts w:hint="eastAsia" w:ascii="仿宋_GB2312" w:hAnsi="楷体" w:eastAsia="仿宋_GB2312"/>
          <w:bCs/>
          <w:sz w:val="32"/>
          <w:szCs w:val="32"/>
        </w:rPr>
        <w:t>市场综合执法机构行使行政处罚</w:t>
      </w:r>
      <w:r>
        <w:rPr>
          <w:rFonts w:hint="eastAsia" w:ascii="仿宋_GB2312" w:hAnsi="楷体" w:eastAsia="仿宋_GB2312"/>
          <w:bCs/>
          <w:sz w:val="32"/>
          <w:szCs w:val="32"/>
          <w:lang w:val="en-US" w:eastAsia="zh-CN"/>
        </w:rPr>
        <w:t>自由</w:t>
      </w:r>
      <w:r>
        <w:rPr>
          <w:rFonts w:hint="eastAsia" w:ascii="仿宋_GB2312" w:hAnsi="楷体" w:eastAsia="仿宋_GB2312"/>
          <w:bCs/>
          <w:sz w:val="32"/>
          <w:szCs w:val="32"/>
        </w:rPr>
        <w:t>裁量权，适用本规则。法律、法规、规章另有规定的，从其规定</w:t>
      </w:r>
      <w:r>
        <w:rPr>
          <w:rFonts w:hint="eastAsia" w:ascii="仿宋_GB2312" w:hAnsi="楷体" w:eastAsia="仿宋_GB2312"/>
          <w:bCs/>
          <w:sz w:val="32"/>
          <w:szCs w:val="32"/>
          <w:lang w:eastAsia="zh-CN"/>
        </w:rPr>
        <w:t>。</w:t>
      </w:r>
    </w:p>
    <w:p>
      <w:pPr>
        <w:spacing w:line="360" w:lineRule="auto"/>
        <w:ind w:firstLine="640" w:firstLineChars="200"/>
        <w:jc w:val="left"/>
        <w:rPr>
          <w:sz w:val="32"/>
          <w:szCs w:val="32"/>
        </w:rPr>
      </w:pPr>
      <w:bookmarkStart w:id="0" w:name="_Hlk69833850"/>
      <w:r>
        <w:rPr>
          <w:rFonts w:hint="eastAsia" w:ascii="黑体" w:hAnsi="黑体" w:eastAsia="黑体"/>
          <w:bCs/>
          <w:sz w:val="32"/>
          <w:szCs w:val="32"/>
        </w:rPr>
        <w:t>第三条</w:t>
      </w:r>
      <w:bookmarkEnd w:id="0"/>
      <w:bookmarkStart w:id="1" w:name="_Hlk73018335"/>
      <w:r>
        <w:rPr>
          <w:rFonts w:hint="eastAsia" w:ascii="黑体" w:hAnsi="黑体" w:eastAsia="黑体"/>
          <w:bCs/>
          <w:sz w:val="32"/>
          <w:szCs w:val="32"/>
          <w:lang w:val="en-US" w:eastAsia="zh-CN"/>
        </w:rPr>
        <w:t xml:space="preserve"> </w:t>
      </w:r>
      <w:r>
        <w:rPr>
          <w:rFonts w:hint="eastAsia" w:ascii="仿宋_GB2312" w:hAnsi="楷体" w:eastAsia="仿宋_GB2312"/>
          <w:bCs/>
          <w:sz w:val="32"/>
          <w:szCs w:val="32"/>
        </w:rPr>
        <w:t>本</w:t>
      </w:r>
      <w:r>
        <w:rPr>
          <w:rFonts w:hint="eastAsia" w:ascii="仿宋_GB2312" w:hAnsi="楷体" w:eastAsia="仿宋_GB2312"/>
          <w:bCs/>
          <w:sz w:val="32"/>
          <w:szCs w:val="32"/>
          <w:lang w:val="en-US" w:eastAsia="zh-CN"/>
        </w:rPr>
        <w:t>规则</w:t>
      </w:r>
      <w:r>
        <w:rPr>
          <w:rFonts w:hint="eastAsia" w:ascii="仿宋_GB2312" w:hAnsi="楷体" w:eastAsia="仿宋_GB2312"/>
          <w:bCs/>
          <w:sz w:val="32"/>
          <w:szCs w:val="32"/>
        </w:rPr>
        <w:t>所称文化市场综合执法行政处罚自由裁量权，是指文化市场综合执法机构（以下简称</w:t>
      </w:r>
      <w:r>
        <w:rPr>
          <w:rFonts w:hint="eastAsia" w:ascii="仿宋_GB2312" w:hAnsi="楷体" w:eastAsia="仿宋_GB2312"/>
          <w:bCs/>
          <w:sz w:val="32"/>
          <w:szCs w:val="32"/>
          <w:lang w:eastAsia="zh-CN"/>
        </w:rPr>
        <w:t>“</w:t>
      </w:r>
      <w:r>
        <w:rPr>
          <w:rFonts w:hint="eastAsia" w:ascii="仿宋_GB2312" w:hAnsi="楷体" w:eastAsia="仿宋_GB2312"/>
          <w:bCs/>
          <w:sz w:val="32"/>
          <w:szCs w:val="32"/>
        </w:rPr>
        <w:t>执法机构</w:t>
      </w:r>
      <w:r>
        <w:rPr>
          <w:rFonts w:hint="eastAsia" w:ascii="仿宋_GB2312" w:hAnsi="楷体" w:eastAsia="仿宋_GB2312"/>
          <w:bCs/>
          <w:sz w:val="32"/>
          <w:szCs w:val="32"/>
          <w:lang w:eastAsia="zh-CN"/>
        </w:rPr>
        <w:t>”</w:t>
      </w:r>
      <w:r>
        <w:rPr>
          <w:rFonts w:hint="eastAsia" w:ascii="仿宋_GB2312" w:hAnsi="楷体" w:eastAsia="仿宋_GB2312"/>
          <w:bCs/>
          <w:sz w:val="32"/>
          <w:szCs w:val="32"/>
        </w:rPr>
        <w:t>）对文化</w:t>
      </w:r>
      <w:r>
        <w:rPr>
          <w:rFonts w:hint="eastAsia" w:ascii="仿宋_GB2312" w:hAnsi="楷体" w:eastAsia="仿宋_GB2312"/>
          <w:bCs/>
          <w:sz w:val="32"/>
          <w:szCs w:val="32"/>
          <w:lang w:eastAsia="zh-CN"/>
        </w:rPr>
        <w:t>、广电、新闻出版（版权）、旅游、体育</w:t>
      </w:r>
      <w:r>
        <w:rPr>
          <w:rFonts w:hint="eastAsia" w:ascii="仿宋_GB2312" w:hAnsi="楷体" w:eastAsia="仿宋_GB2312"/>
          <w:bCs/>
          <w:sz w:val="32"/>
          <w:szCs w:val="32"/>
        </w:rPr>
        <w:t>市场综合执法领域发生的违法行为实施行政处罚时，在法律、法规和规章规定的处罚种类和幅度内，综合考量违法行为的事实、性质、情节和社会危害程度等因素，决定是否给予处罚、给予何种种类和幅度的处罚权限。</w:t>
      </w:r>
    </w:p>
    <w:p>
      <w:pPr>
        <w:spacing w:line="360" w:lineRule="auto"/>
        <w:ind w:firstLine="640" w:firstLineChars="200"/>
        <w:rPr>
          <w:sz w:val="32"/>
          <w:szCs w:val="32"/>
        </w:rPr>
      </w:pPr>
      <w:r>
        <w:rPr>
          <w:rFonts w:hint="eastAsia" w:ascii="黑体" w:hAnsi="黑体" w:eastAsia="黑体"/>
          <w:bCs/>
          <w:sz w:val="32"/>
          <w:szCs w:val="32"/>
        </w:rPr>
        <w:t>第四条</w:t>
      </w:r>
      <w:r>
        <w:rPr>
          <w:rFonts w:hint="eastAsia" w:ascii="仿宋_GB2312" w:hAnsi="楷体" w:eastAsia="仿宋_GB2312"/>
          <w:bCs/>
          <w:sz w:val="32"/>
          <w:szCs w:val="32"/>
        </w:rPr>
        <w:t xml:space="preserve"> </w:t>
      </w:r>
      <w:bookmarkEnd w:id="1"/>
      <w:r>
        <w:rPr>
          <w:rFonts w:hint="eastAsia" w:ascii="仿宋_GB2312" w:hAnsi="楷体" w:eastAsia="仿宋_GB2312"/>
          <w:bCs/>
          <w:sz w:val="32"/>
          <w:szCs w:val="32"/>
          <w:lang w:val="en-US" w:eastAsia="zh-CN"/>
        </w:rPr>
        <w:t>本规则所称文化市场综合执法行政处罚自由裁量权实施标准，以行业所属进行分类。具体是：1.互联网上网服务营业场所管理领域；2.娱乐场所管理领域；3.营业性演出管理领域；4.互联网文化管理领域；5.艺术品经营管理领域；6.社会艺术水平考级管理领域；7.文物保护管理领域；8.出版管理领域；9.印刷复制管理领域；10.音像制品管理领域；11.著作权管理领域；12.卫星地面接收设施管理领域；13.广播电视管理领域；14.电影管理领域；15.旅游管理领域；16.体育市场管理领域；17.公共文化设施及其他管理领域。</w:t>
      </w:r>
    </w:p>
    <w:p>
      <w:pPr>
        <w:spacing w:line="360" w:lineRule="auto"/>
        <w:ind w:firstLine="640" w:firstLineChars="200"/>
        <w:rPr>
          <w:rFonts w:hint="eastAsia" w:ascii="仿宋_GB2312" w:hAnsi="楷体" w:eastAsia="仿宋_GB2312"/>
          <w:bCs/>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val="en-US" w:eastAsia="zh-CN"/>
        </w:rPr>
        <w:t>五</w:t>
      </w:r>
      <w:r>
        <w:rPr>
          <w:rFonts w:hint="eastAsia" w:ascii="黑体" w:hAnsi="黑体" w:eastAsia="黑体"/>
          <w:bCs/>
          <w:sz w:val="32"/>
          <w:szCs w:val="32"/>
        </w:rPr>
        <w:t xml:space="preserve">条 </w:t>
      </w:r>
      <w:r>
        <w:rPr>
          <w:rFonts w:hint="eastAsia" w:ascii="仿宋_GB2312" w:hAnsi="楷体" w:eastAsia="仿宋_GB2312"/>
          <w:bCs/>
          <w:sz w:val="32"/>
          <w:szCs w:val="32"/>
          <w:lang w:val="en-US" w:eastAsia="zh-CN"/>
        </w:rPr>
        <w:t>行使行政处罚自由裁量权，应当以事实为依据，与违法行为的事实、性质、情节以及社会危害程度相当，与违法行为发生地的经济社会发展水平相适应。同一行政区域对违法行为相同、相近或者相似的案件，适用的法律依据、处罚种类、处罚幅度应当基本一致。</w:t>
      </w:r>
    </w:p>
    <w:p>
      <w:pPr>
        <w:spacing w:line="360" w:lineRule="auto"/>
        <w:ind w:firstLine="640" w:firstLineChars="200"/>
        <w:rPr>
          <w:rFonts w:ascii="仿宋_GB2312" w:hAnsi="楷体" w:eastAsia="仿宋_GB2312"/>
          <w:bCs/>
          <w:sz w:val="32"/>
          <w:szCs w:val="32"/>
        </w:rPr>
      </w:pPr>
      <w:r>
        <w:rPr>
          <w:rFonts w:hint="eastAsia" w:ascii="黑体" w:hAnsi="黑体" w:eastAsia="黑体"/>
          <w:bCs/>
          <w:sz w:val="32"/>
          <w:szCs w:val="32"/>
          <w:lang w:val="en-US" w:eastAsia="zh-CN"/>
        </w:rPr>
        <w:t>第六条</w:t>
      </w:r>
      <w:r>
        <w:rPr>
          <w:rFonts w:hint="eastAsia" w:ascii="仿宋_GB2312" w:hAnsi="楷体" w:eastAsia="仿宋_GB2312"/>
          <w:bCs/>
          <w:sz w:val="32"/>
          <w:szCs w:val="32"/>
          <w:lang w:val="en-US" w:eastAsia="zh-CN"/>
        </w:rPr>
        <w:t xml:space="preserve"> 行使行政处罚自由裁量权，应当坚持处罚与教育相结合的原则，纠正违法行为，教育公民、法人或者其他组织自觉守法。</w:t>
      </w:r>
    </w:p>
    <w:p>
      <w:pPr>
        <w:spacing w:line="360" w:lineRule="auto"/>
        <w:ind w:firstLine="640" w:firstLineChars="200"/>
        <w:rPr>
          <w:rFonts w:hint="eastAsia" w:ascii="仿宋_GB2312" w:hAnsi="楷体" w:eastAsia="仿宋_GB2312"/>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val="en-US" w:eastAsia="zh-CN"/>
          <w14:textFill>
            <w14:solidFill>
              <w14:schemeClr w14:val="tx1"/>
            </w14:solidFill>
          </w14:textFill>
        </w:rPr>
        <w:t>七</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hAnsi="楷体" w:eastAsia="仿宋_GB2312"/>
          <w:bCs/>
          <w:color w:val="000000" w:themeColor="text1"/>
          <w:sz w:val="32"/>
          <w:szCs w:val="32"/>
          <w:lang w:val="en-US" w:eastAsia="zh-CN"/>
          <w14:textFill>
            <w14:solidFill>
              <w14:schemeClr w14:val="tx1"/>
            </w14:solidFill>
          </w14:textFill>
        </w:rPr>
        <w:t>各级执法机构负责规范本部门行政处罚自由裁量权的行使工作。</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市级执法机构负责指导、监督下级执法机构行政处罚自由裁量权的行使工作。</w:t>
      </w:r>
    </w:p>
    <w:p>
      <w:pPr>
        <w:spacing w:line="360" w:lineRule="auto"/>
        <w:ind w:firstLine="640" w:firstLineChars="200"/>
        <w:rPr>
          <w:rFonts w:hint="eastAsia" w:ascii="仿宋_GB2312" w:hAnsi="楷体" w:eastAsia="仿宋_GB2312"/>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 xml:space="preserve">第八条 </w:t>
      </w:r>
      <w:r>
        <w:rPr>
          <w:rFonts w:hint="eastAsia" w:ascii="仿宋_GB2312" w:hAnsi="楷体" w:eastAsia="仿宋_GB2312"/>
          <w:bCs/>
          <w:color w:val="000000" w:themeColor="text1"/>
          <w:sz w:val="32"/>
          <w:szCs w:val="32"/>
          <w:lang w:val="en-US" w:eastAsia="zh-CN"/>
          <w14:textFill>
            <w14:solidFill>
              <w14:schemeClr w14:val="tx1"/>
            </w14:solidFill>
          </w14:textFill>
        </w:rPr>
        <w:t>对同一违法行为，可以适用多部法律、法规、规章实施行政处罚的，应当遵循上位法优于下位法、特别法优于一般法、新法优于旧法规则。</w:t>
      </w:r>
    </w:p>
    <w:p>
      <w:pPr>
        <w:spacing w:line="360" w:lineRule="auto"/>
        <w:ind w:firstLine="640" w:firstLineChars="200"/>
        <w:rPr>
          <w:rFonts w:hint="eastAsia" w:ascii="仿宋_GB2312" w:hAnsi="楷体" w:eastAsia="仿宋_GB2312"/>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 xml:space="preserve">第九条 </w:t>
      </w:r>
      <w:r>
        <w:rPr>
          <w:rFonts w:hint="eastAsia" w:ascii="仿宋_GB2312" w:hAnsi="楷体" w:eastAsia="仿宋_GB2312"/>
          <w:bCs/>
          <w:color w:val="000000" w:themeColor="text1"/>
          <w:sz w:val="32"/>
          <w:szCs w:val="32"/>
          <w:lang w:val="en-US" w:eastAsia="zh-CN"/>
          <w14:textFill>
            <w14:solidFill>
              <w14:schemeClr w14:val="tx1"/>
            </w14:solidFill>
          </w14:textFill>
        </w:rPr>
        <w:t xml:space="preserve">同一违法行为违反多个法律规范应当给予罚款处罚的，按照罚款数额高的规定处罚。 </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当事人出于一个违法目的，实施数个违法行为，数个违法行为之间存在手段与目的或原因与结果牵连关系，分别触犯数个法律规范或法律条文的，选择其中最重的一个违法行为定性并从重处罚。</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黑体" w:hAnsi="黑体" w:eastAsia="黑体" w:cs="仿宋_GB2312"/>
          <w:color w:val="000000" w:themeColor="text1"/>
          <w:sz w:val="32"/>
          <w:szCs w:val="32"/>
          <w:lang w:val="en-US" w:eastAsia="zh-CN" w:bidi="ar-SA"/>
          <w14:textFill>
            <w14:solidFill>
              <w14:schemeClr w14:val="tx1"/>
            </w14:solidFill>
          </w14:textFill>
        </w:rPr>
        <w:t xml:space="preserve">第十条 </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文化市场行政处罚种类：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 （一）申诫罚：警告、通报批评；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 （二）财产罚：罚款、没收违法所得、没收非法财物；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 （三）行为罚：限制开展经营活动、责令停产停业、责令关闭、限制从业；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 （四）资格罚：暂扣许可证件、降低资质等级、吊销许可证件。</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行政处罚种类的轻重按照对相对人权益影响的大小确定。</w:t>
      </w:r>
      <w:r>
        <w:rPr>
          <w:rFonts w:hint="eastAsia" w:ascii="仿宋_GB2312" w:eastAsia="仿宋_GB2312" w:cs="仿宋_GB2312"/>
          <w:color w:val="000000" w:themeColor="text1"/>
          <w:sz w:val="32"/>
          <w:szCs w:val="32"/>
          <w:lang w:val="en-US" w:eastAsia="zh-CN" w:bidi="ar-SA"/>
          <w14:textFill>
            <w14:solidFill>
              <w14:schemeClr w14:val="tx1"/>
            </w14:solidFill>
          </w14:textFill>
        </w:rPr>
        <w:t>原则上</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，行政处罚种类由轻到重的位阶按申诫罚、财产罚、行为罚、资格罚排列。</w:t>
      </w:r>
    </w:p>
    <w:p>
      <w:pPr>
        <w:numPr>
          <w:ilvl w:val="0"/>
          <w:numId w:val="0"/>
        </w:numPr>
        <w:ind w:firstLine="640" w:firstLineChars="200"/>
        <w:rPr>
          <w:rFonts w:hint="eastAsia" w:ascii="仿宋" w:hAnsi="仿宋" w:eastAsia="仿宋" w:cs="仿宋"/>
          <w:b/>
          <w:bCs/>
          <w:sz w:val="32"/>
          <w:szCs w:val="32"/>
        </w:rPr>
      </w:pPr>
      <w:r>
        <w:rPr>
          <w:rFonts w:hint="eastAsia" w:ascii="黑体" w:hAnsi="黑体" w:eastAsia="黑体" w:cs="仿宋_GB2312"/>
          <w:color w:val="000000" w:themeColor="text1"/>
          <w:sz w:val="32"/>
          <w:szCs w:val="32"/>
          <w:lang w:val="en-US" w:eastAsia="zh-CN" w:bidi="ar-SA"/>
          <w14:textFill>
            <w14:solidFill>
              <w14:schemeClr w14:val="tx1"/>
            </w14:solidFill>
          </w14:textFill>
        </w:rPr>
        <w:t xml:space="preserve">第十一条 </w:t>
      </w:r>
      <w:r>
        <w:rPr>
          <w:rFonts w:hint="eastAsia" w:ascii="仿宋" w:hAnsi="仿宋" w:eastAsia="仿宋" w:cs="仿宋"/>
          <w:sz w:val="32"/>
          <w:szCs w:val="32"/>
        </w:rPr>
        <w:t>没收违法所得、没收非法财物应当遵循“先民后行”原则，优先保护善意第三人民事合法权益。</w:t>
      </w:r>
    </w:p>
    <w:p>
      <w:pPr>
        <w:numPr>
          <w:ilvl w:val="0"/>
          <w:numId w:val="0"/>
        </w:numPr>
        <w:ind w:firstLine="640" w:firstLineChars="200"/>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十二</w:t>
      </w:r>
      <w:r>
        <w:rPr>
          <w:rFonts w:hint="eastAsia" w:ascii="黑体" w:hAnsi="黑体" w:eastAsia="黑体" w:cs="黑体"/>
          <w:b w:val="0"/>
          <w:bCs w:val="0"/>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相关执法领域法律、法规规定没收违法所得的，按照相关执法领域法律、法规的规定没收违法所得。相关执法领域尚未制定法律、法规的，直接依据《中华人民共和国行政处罚法》的规定没收违法所得。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没收违法所得按照下列规则行使：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(一)没收违法行为人实施违法行为直接获得的货币资金，不包括具体有形物；行政处罚前已缴纳税款的，没收违法所得时扣除已缴纳税款；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依据相关法律、法规、规章对违法所得应当退赔的，应当从全部违法所得中扣除退赔额后再没收；如果无退赔人或者退赔人对违法所得丧失请求权，没收全部违法所得；难以确定退赔人或者无法确定退赔额的，先行没收全部违法所得，退赔人或退赔额确定后按程序申请财政返还；</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当事人行为中既有违法部分又有合法部分，经调查能够区分的，没收违法所得时扣除合法部分产生的款项；经调查无法区分的，通知当事人在合理期限内提供区分证据或按比例计算的依据，拒绝提供的，可以没收实施该行为收取的全部款项。</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黑体" w:hAnsi="黑体" w:eastAsia="黑体" w:cs="仿宋_GB2312"/>
          <w:color w:val="000000" w:themeColor="text1"/>
          <w:sz w:val="32"/>
          <w:szCs w:val="32"/>
          <w:lang w:val="en-US" w:eastAsia="zh-CN" w:bidi="ar-SA"/>
          <w14:textFill>
            <w14:solidFill>
              <w14:schemeClr w14:val="tx1"/>
            </w14:solidFill>
          </w14:textFill>
        </w:rPr>
        <w:t xml:space="preserve">第十三条 </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行使行政处罚自由裁量权，应当遵循综合裁量原则，结合违法行为的主体、主观方面、客体、客观方面及社会危害后果等因素作出裁量决定，并综合考虑以下情节：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（一）违法行为造成的影响程度；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w:t>
      </w:r>
      <w:r>
        <w:rPr>
          <w:rFonts w:hint="eastAsia" w:ascii="仿宋_GB2312" w:eastAsia="仿宋_GB2312" w:cs="仿宋_GB2312"/>
          <w:color w:val="000000" w:themeColor="text1"/>
          <w:sz w:val="32"/>
          <w:szCs w:val="32"/>
          <w:lang w:val="en-US" w:eastAsia="zh-CN" w:bidi="ar-SA"/>
          <w14:textFill>
            <w14:solidFill>
              <w14:schemeClr w14:val="tx1"/>
            </w14:solidFill>
          </w14:textFill>
        </w:rPr>
        <w:t>二</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）改正违法行为的态度、所采取的改正措施及效果；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w:t>
      </w:r>
      <w:r>
        <w:rPr>
          <w:rFonts w:hint="eastAsia" w:ascii="仿宋_GB2312" w:eastAsia="仿宋_GB2312" w:cs="仿宋_GB2312"/>
          <w:color w:val="000000" w:themeColor="text1"/>
          <w:sz w:val="32"/>
          <w:szCs w:val="32"/>
          <w:lang w:val="en-US" w:eastAsia="zh-CN" w:bidi="ar-SA"/>
          <w14:textFill>
            <w14:solidFill>
              <w14:schemeClr w14:val="tx1"/>
            </w14:solidFill>
          </w14:textFill>
        </w:rPr>
        <w:t>三</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）违法行为人的生产经营规模；</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w:t>
      </w:r>
      <w:r>
        <w:rPr>
          <w:rFonts w:hint="eastAsia" w:ascii="仿宋_GB2312" w:eastAsia="仿宋_GB2312" w:cs="仿宋_GB2312"/>
          <w:color w:val="000000" w:themeColor="text1"/>
          <w:sz w:val="32"/>
          <w:szCs w:val="32"/>
          <w:lang w:val="en-US" w:eastAsia="zh-CN" w:bidi="ar-SA"/>
          <w14:textFill>
            <w14:solidFill>
              <w14:schemeClr w14:val="tx1"/>
            </w14:solidFill>
          </w14:textFill>
        </w:rPr>
        <w:t>四</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）违法行为人是初次还是多次实施违法行为；</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w:t>
      </w:r>
      <w:r>
        <w:rPr>
          <w:rFonts w:hint="eastAsia" w:ascii="仿宋_GB2312" w:eastAsia="仿宋_GB2312" w:cs="仿宋_GB2312"/>
          <w:color w:val="000000" w:themeColor="text1"/>
          <w:sz w:val="32"/>
          <w:szCs w:val="32"/>
          <w:lang w:val="en-US" w:eastAsia="zh-CN" w:bidi="ar-SA"/>
          <w14:textFill>
            <w14:solidFill>
              <w14:schemeClr w14:val="tx1"/>
            </w14:solidFill>
          </w14:textFill>
        </w:rPr>
        <w:t>五</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）违法行为的具体方法和手段； </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w:t>
      </w:r>
      <w:r>
        <w:rPr>
          <w:rFonts w:hint="eastAsia" w:ascii="仿宋_GB2312" w:eastAsia="仿宋_GB2312" w:cs="仿宋_GB2312"/>
          <w:color w:val="000000" w:themeColor="text1"/>
          <w:sz w:val="32"/>
          <w:szCs w:val="32"/>
          <w:lang w:val="en-US" w:eastAsia="zh-CN" w:bidi="ar-SA"/>
          <w14:textFill>
            <w14:solidFill>
              <w14:schemeClr w14:val="tx1"/>
            </w14:solidFill>
          </w14:textFill>
        </w:rPr>
        <w:t>六</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 xml:space="preserve">）违法行为危害的具体对象； </w:t>
      </w:r>
    </w:p>
    <w:p>
      <w:pPr>
        <w:spacing w:line="360" w:lineRule="auto"/>
        <w:ind w:firstLine="640" w:firstLineChars="200"/>
        <w:rPr>
          <w:rFonts w:hint="eastAsia" w:asci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w:t>
      </w:r>
      <w:r>
        <w:rPr>
          <w:rFonts w:hint="eastAsia" w:ascii="仿宋_GB2312" w:eastAsia="仿宋_GB2312" w:cs="仿宋_GB2312"/>
          <w:color w:val="000000" w:themeColor="text1"/>
          <w:sz w:val="32"/>
          <w:szCs w:val="32"/>
          <w:lang w:val="en-US" w:eastAsia="zh-CN" w:bidi="ar-SA"/>
          <w14:textFill>
            <w14:solidFill>
              <w14:schemeClr w14:val="tx1"/>
            </w14:solidFill>
          </w14:textFill>
        </w:rPr>
        <w:t>七</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）违法行为的持续时间</w:t>
      </w:r>
      <w:r>
        <w:rPr>
          <w:rFonts w:hint="eastAsia" w:ascii="仿宋_GB2312" w:eastAsia="仿宋_GB2312" w:cs="仿宋_GB2312"/>
          <w:color w:val="000000" w:themeColor="text1"/>
          <w:sz w:val="32"/>
          <w:szCs w:val="32"/>
          <w:lang w:val="en-US" w:eastAsia="zh-CN" w:bidi="ar-SA"/>
          <w14:textFill>
            <w14:solidFill>
              <w14:schemeClr w14:val="tx1"/>
            </w14:solidFill>
          </w14:textFill>
        </w:rPr>
        <w:t>；</w:t>
      </w:r>
    </w:p>
    <w:p>
      <w:pPr>
        <w:spacing w:line="360" w:lineRule="auto"/>
        <w:ind w:firstLine="640" w:firstLineChars="200"/>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pPr>
      <w:r>
        <w:rPr>
          <w:rFonts w:hint="eastAsia" w:ascii="仿宋_GB2312" w:eastAsia="仿宋_GB2312" w:cs="仿宋_GB2312"/>
          <w:color w:val="000000" w:themeColor="text1"/>
          <w:sz w:val="32"/>
          <w:szCs w:val="32"/>
          <w:lang w:val="en-US" w:eastAsia="zh-CN" w:bidi="ar-SA"/>
          <w14:textFill>
            <w14:solidFill>
              <w14:schemeClr w14:val="tx1"/>
            </w14:solidFill>
          </w14:textFill>
        </w:rPr>
        <w:t>（八）</w:t>
      </w:r>
      <w:r>
        <w:rPr>
          <w:rFonts w:hint="eastAsia" w:ascii="仿宋_GB2312" w:eastAsia="仿宋_GB2312" w:cs="仿宋_GB2312" w:hAnsiTheme="minorHAnsi"/>
          <w:color w:val="000000" w:themeColor="text1"/>
          <w:sz w:val="32"/>
          <w:szCs w:val="32"/>
          <w:lang w:val="en-US" w:eastAsia="zh-CN" w:bidi="ar-SA"/>
          <w14:textFill>
            <w14:solidFill>
              <w14:schemeClr w14:val="tx1"/>
            </w14:solidFill>
          </w14:textFill>
        </w:rPr>
        <w:t>其他应当综合考虑的情节。</w:t>
      </w:r>
    </w:p>
    <w:p>
      <w:pPr>
        <w:spacing w:line="360" w:lineRule="auto"/>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bookmarkStart w:id="2" w:name="_Hlk70268997"/>
      <w:r>
        <w:rPr>
          <w:rFonts w:hint="eastAsia" w:ascii="黑体" w:hAnsi="黑体" w:eastAsia="黑体"/>
          <w:bCs/>
          <w:color w:val="000000" w:themeColor="text1"/>
          <w:sz w:val="32"/>
          <w:szCs w:val="32"/>
          <w14:textFill>
            <w14:solidFill>
              <w14:schemeClr w14:val="tx1"/>
            </w14:solidFill>
          </w14:textFill>
        </w:rPr>
        <w:t>第十</w:t>
      </w:r>
      <w:r>
        <w:rPr>
          <w:rFonts w:hint="eastAsia" w:ascii="黑体" w:hAnsi="黑体" w:eastAsia="黑体"/>
          <w:bCs/>
          <w:color w:val="000000" w:themeColor="text1"/>
          <w:sz w:val="32"/>
          <w:szCs w:val="32"/>
          <w:lang w:val="en-US" w:eastAsia="zh-CN"/>
          <w14:textFill>
            <w14:solidFill>
              <w14:schemeClr w14:val="tx1"/>
            </w14:solidFill>
          </w14:textFill>
        </w:rPr>
        <w:t>四</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eastAsia="仿宋_GB2312"/>
          <w:color w:val="000000" w:themeColor="text1"/>
          <w:sz w:val="32"/>
          <w:szCs w:val="32"/>
          <w:lang w:val="en-US" w:eastAsia="zh-CN"/>
          <w14:textFill>
            <w14:solidFill>
              <w14:schemeClr w14:val="tx1"/>
            </w14:solidFill>
          </w14:textFill>
        </w:rPr>
        <w:t>行政处罚裁量结果分为不予行政处罚、减轻行政处罚、从轻行政处罚、一般行政处罚和从重行政处罚五个等级，行政处罚自由裁量权实施标准的违法程度分为从轻至重几个等级。</w:t>
      </w:r>
    </w:p>
    <w:bookmarkEnd w:id="2"/>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第十</w:t>
      </w:r>
      <w:r>
        <w:rPr>
          <w:rFonts w:hint="eastAsia" w:ascii="黑体" w:hAnsi="黑体" w:eastAsia="黑体"/>
          <w:bCs/>
          <w:color w:val="000000" w:themeColor="text1"/>
          <w:sz w:val="32"/>
          <w:szCs w:val="32"/>
          <w:lang w:val="en-US" w:eastAsia="zh-CN"/>
          <w14:textFill>
            <w14:solidFill>
              <w14:schemeClr w14:val="tx1"/>
            </w14:solidFill>
          </w14:textFill>
        </w:rPr>
        <w:t>五</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eastAsia="仿宋_GB2312"/>
          <w:color w:val="000000" w:themeColor="text1"/>
          <w:sz w:val="32"/>
          <w:szCs w:val="32"/>
          <w:lang w:val="en-US" w:eastAsia="zh-CN"/>
          <w14:textFill>
            <w14:solidFill>
              <w14:schemeClr w14:val="tx1"/>
            </w14:solidFill>
          </w14:textFill>
        </w:rPr>
        <w:t>不予行政处罚是指认定当事人有违法行为，但免除其行政处罚。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对当事人的违法行为依法不予行政处罚的，应当通过约谈教育当事人并书面记录在案</w:t>
      </w:r>
      <w:r>
        <w:rPr>
          <w:rFonts w:hint="eastAsia" w:ascii="仿宋" w:hAnsi="仿宋" w:eastAsia="仿宋" w:cs="仿宋"/>
          <w:sz w:val="32"/>
          <w:szCs w:val="32"/>
          <w:lang w:eastAsia="zh-CN"/>
        </w:rPr>
        <w:t>，同时要求当事人出具守法承诺保证</w:t>
      </w:r>
      <w:bookmarkStart w:id="4" w:name="_GoBack"/>
      <w:bookmarkEnd w:id="4"/>
      <w:r>
        <w:rPr>
          <w:rFonts w:hint="eastAsia" w:ascii="仿宋" w:hAnsi="仿宋" w:eastAsia="仿宋" w:cs="仿宋"/>
          <w:sz w:val="32"/>
          <w:szCs w:val="32"/>
          <w:lang w:eastAsia="zh-CN"/>
        </w:rPr>
        <w:t>书</w:t>
      </w:r>
      <w:r>
        <w:rPr>
          <w:rFonts w:hint="eastAsia" w:ascii="仿宋" w:hAnsi="仿宋" w:eastAsia="仿宋" w:cs="仿宋"/>
          <w:sz w:val="32"/>
          <w:szCs w:val="32"/>
        </w:rPr>
        <w:t>。其中，对不满十四周岁的未成年人应当责令监护人加以管教，对精神病人、智力残疾人应当责令其监护人严加看管和治疗。</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第十</w:t>
      </w: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eastAsia="仿宋_GB2312"/>
          <w:color w:val="000000" w:themeColor="text1"/>
          <w:sz w:val="32"/>
          <w:szCs w:val="32"/>
          <w:lang w:val="en-US" w:eastAsia="zh-CN"/>
          <w14:textFill>
            <w14:solidFill>
              <w14:schemeClr w14:val="tx1"/>
            </w14:solidFill>
          </w14:textFill>
        </w:rPr>
        <w:t xml:space="preserve">减轻行政处罚是指依法在行政处罚的法定种类或法定幅度以下适用处罚。 </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减轻行政处罚按照下述规则行使： </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（一）在违法行为所对应的一种或几种处罚种类之外，选择更轻的处罚种类处罚；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（二）应当并处时不并处；</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（三）应当先没收非法财物或违法所得后再作出其他处罚的，没收非法财物或违法所得后不再处罚； </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（四）在违法行为所对应的法定处罚幅度下限数额以下处罚。 </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 xml:space="preserve">第十七条 </w:t>
      </w:r>
      <w:r>
        <w:rPr>
          <w:rFonts w:hint="eastAsia" w:ascii="仿宋_GB2312" w:eastAsia="仿宋_GB2312"/>
          <w:color w:val="000000" w:themeColor="text1"/>
          <w:sz w:val="32"/>
          <w:szCs w:val="32"/>
          <w:lang w:val="en-US" w:eastAsia="zh-CN"/>
          <w14:textFill>
            <w14:solidFill>
              <w14:schemeClr w14:val="tx1"/>
            </w14:solidFill>
          </w14:textFill>
        </w:rPr>
        <w:t>从轻行政处罚是指在行政处罚的法定种类或法定幅度内选择较轻的种类或较低的幅度处罚。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从轻行政处罚按照下述规则行使：</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（一）在违法行为可以选择的法定处罚种类中选择较轻的处罚种类处罚。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（二）可以单处也可以并处的，实施单处。</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（三）在违法行为所对应的法定处罚幅度内选择较低幅度处罚。其中：</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1.罚款为一定金额倍数的，按照中间倍数以下处罚；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2.罚款为一定幅度的数额的，按照最高罚款数额与最低罚款数额之和的40%以下处罚；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3.只规定最高罚款数额没有规定最低罚款数额的，按照最高罚款数额的30％以下处罚；</w:t>
      </w:r>
    </w:p>
    <w:p>
      <w:pPr>
        <w:spacing w:line="360" w:lineRule="auto"/>
        <w:ind w:firstLine="640" w:firstLineChars="200"/>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4.同时具有两个以上从轻情节且不具有从重情节的，按照法定处罚幅度下限处罚。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 xml:space="preserve">第十八条 </w:t>
      </w:r>
      <w:r>
        <w:rPr>
          <w:rFonts w:hint="eastAsia" w:ascii="仿宋_GB2312" w:eastAsia="仿宋_GB2312"/>
          <w:color w:val="000000" w:themeColor="text1"/>
          <w:sz w:val="32"/>
          <w:szCs w:val="32"/>
          <w:lang w:val="en-US" w:eastAsia="zh-CN"/>
          <w14:textFill>
            <w14:solidFill>
              <w14:schemeClr w14:val="tx1"/>
            </w14:solidFill>
          </w14:textFill>
        </w:rPr>
        <w:t>从重行政处罚是指依法在行政处罚的法定种类或法定幅度内选择较重的种类或较高的幅度处罚。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从重行政处罚按照下述规则行使：</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（一）在违法行为可以选择的法定处罚种类中选择较重的处罚种类处罚。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（二）可以单处也可以并处的，实施并处。</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（三）在违法行为所对应的法定处罚幅度内选择较高幅度处罚。其中：</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1.罚款为一定金额倍数的，按照高于中间倍数处罚；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2.罚款为一定幅度的数额的，按照最高罚款数额与最低罚款数额之和的60%以上处罚；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3.只规定最高罚款数额没有规定最低罚款数额的，按照最高罚款数额的70％以上处罚；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4.只规定最低罚款数额没有规定最高罚款数额的，按照最低罚款数额的2倍以上5倍以下处罚；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5.同时具有两个以上从重情节且不具有从轻情节的，应当按照法定处罚幅度上限处罚。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 xml:space="preserve">第十九条 </w:t>
      </w:r>
      <w:r>
        <w:rPr>
          <w:rFonts w:hint="eastAsia" w:ascii="仿宋_GB2312" w:eastAsia="仿宋_GB2312"/>
          <w:color w:val="000000" w:themeColor="text1"/>
          <w:sz w:val="32"/>
          <w:szCs w:val="32"/>
          <w:lang w:val="en-US" w:eastAsia="zh-CN"/>
          <w14:textFill>
            <w14:solidFill>
              <w14:schemeClr w14:val="tx1"/>
            </w14:solidFill>
          </w14:textFill>
        </w:rPr>
        <w:t>一般行政处罚是指介于从轻与从重行政处罚之间的处罚。当事人实施的违法行为没有不予处罚、减轻、从轻、从重情节的，应当给予一般行政处罚。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一般行政处罚按照下述规则行使：</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（一）可以单处也可以并处的，实施单处或并处。</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（二）在违法行为所对应的法定处罚幅度内选择中间幅度处罚。其中：</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1.罚款为一定金额倍数的，按照中间倍数处罚；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2.罚款为一定幅度的数额的，按照最高罚款数额与最低罚款数额之和的40%以上60%以下处罚；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3.只规定最高罚款数额没有规定最低罚款数额的，按照最高罚款数额的30％以上70％以下处罚；</w:t>
      </w:r>
    </w:p>
    <w:p>
      <w:pPr>
        <w:spacing w:line="360" w:lineRule="auto"/>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4.只规定最低罚款数额没有规定最高罚款数额的，按最低罚款数额的2倍以下处罚。</w:t>
      </w:r>
    </w:p>
    <w:p>
      <w:pPr>
        <w:spacing w:line="360" w:lineRule="auto"/>
        <w:ind w:firstLine="640" w:firstLineChars="200"/>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（三）对同一违法行为设定了多种可选择的包括罚款在内的处罚种类的，适用一般数额的罚款处罚。</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 xml:space="preserve">第二十条 </w:t>
      </w:r>
      <w:r>
        <w:rPr>
          <w:rFonts w:ascii="仿宋_GB2312" w:hAnsi="楷体" w:eastAsia="仿宋_GB2312"/>
          <w:bCs/>
          <w:color w:val="000000" w:themeColor="text1"/>
          <w:sz w:val="32"/>
          <w:szCs w:val="32"/>
          <w:lang w:val="en-US" w:eastAsia="zh-CN"/>
          <w14:textFill>
            <w14:solidFill>
              <w14:schemeClr w14:val="tx1"/>
            </w14:solidFill>
          </w14:textFill>
        </w:rPr>
        <w:t xml:space="preserve">有下列情形之一的，不予行政处罚： </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 xml:space="preserve"> （一）不满十四周岁的未成年人有违法行为的； </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 xml:space="preserve"> （二）违法行为轻微并及时纠正，没有造成危害后果的； </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 xml:space="preserve"> （三）当事人有证据足以证明没有主观过错的（法律、行政法规另有规定的，从其规定）； </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 xml:space="preserve"> （四）精神病人、智力残疾人在不能辨认或不能控制自己行为时有违法行为的； </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 xml:space="preserve"> （五）除法律另有规定外，违法行为在两年内未被发现的； </w:t>
      </w:r>
    </w:p>
    <w:p>
      <w:pPr>
        <w:spacing w:line="360" w:lineRule="auto"/>
        <w:ind w:firstLine="640" w:firstLineChars="200"/>
        <w:rPr>
          <w:rFonts w:hint="eastAsia" w:ascii="仿宋_GB2312" w:hAnsi="楷体" w:eastAsia="仿宋_GB2312"/>
          <w:bCs/>
          <w:color w:val="000000" w:themeColor="text1"/>
          <w:sz w:val="32"/>
          <w:szCs w:val="32"/>
          <w:lang w:val="en-US" w:eastAsia="zh-CN"/>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 xml:space="preserve"> （六）其他依法不予行政处罚的情形。 </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初次违法且危害后果轻微并及时改正的，可以不予行政处罚。</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二十一</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hAnsi="楷体" w:eastAsia="仿宋_GB2312"/>
          <w:bCs/>
          <w:color w:val="000000" w:themeColor="text1"/>
          <w:sz w:val="32"/>
          <w:szCs w:val="32"/>
          <w14:textFill>
            <w14:solidFill>
              <w14:schemeClr w14:val="tx1"/>
            </w14:solidFill>
          </w14:textFill>
        </w:rPr>
        <w:t>本规则第</w:t>
      </w:r>
      <w:r>
        <w:rPr>
          <w:rFonts w:hint="eastAsia" w:ascii="仿宋_GB2312" w:hAnsi="楷体" w:eastAsia="仿宋_GB2312"/>
          <w:bCs/>
          <w:color w:val="000000" w:themeColor="text1"/>
          <w:sz w:val="32"/>
          <w:szCs w:val="32"/>
          <w:highlight w:val="none"/>
          <w:lang w:val="en-US" w:eastAsia="zh-CN"/>
          <w14:textFill>
            <w14:solidFill>
              <w14:schemeClr w14:val="tx1"/>
            </w14:solidFill>
          </w14:textFill>
        </w:rPr>
        <w:t>十八</w:t>
      </w:r>
      <w:r>
        <w:rPr>
          <w:rFonts w:hint="eastAsia" w:ascii="仿宋_GB2312" w:hAnsi="楷体" w:eastAsia="仿宋_GB2312"/>
          <w:bCs/>
          <w:color w:val="000000" w:themeColor="text1"/>
          <w:sz w:val="32"/>
          <w:szCs w:val="32"/>
          <w14:textFill>
            <w14:solidFill>
              <w14:schemeClr w14:val="tx1"/>
            </w14:solidFill>
          </w14:textFill>
        </w:rPr>
        <w:t>条第一款第二项中的轻微违法行为，包括但不限于：</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（一）擅自变更经营者姓名或名称、经营地址、网站名称、网站域名等审批登记事项，从行为发生之日起至被发现之日止未满3个月；</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（二）逾期未按规定办理备案手续；</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（三）未将许可证件置于营业场所明显位置或未在网页醒目位置公开许可证件、营业执照等登载的有关信息或链接标识以及备案编号等；</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（四）未悬挂相关警示标志、禁入或者限入标志；</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（五）其他情节轻微未造成危害后果的违法行为。</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对前款中的轻微违法行为，应当先行责令当事人改正或限期改正；不改正或逾期不改正的，再依法处罚。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市级文化综合执法部门</w:t>
      </w:r>
      <w:r>
        <w:rPr>
          <w:rFonts w:hint="eastAsia" w:ascii="仿宋" w:hAnsi="仿宋" w:eastAsia="仿宋" w:cs="仿宋"/>
          <w:sz w:val="32"/>
          <w:szCs w:val="32"/>
        </w:rPr>
        <w:t>可以基于创造良好营商环境和包容审慎监管需要制定初次和轻微违法行为不罚清单，并定期动态调整。</w:t>
      </w:r>
    </w:p>
    <w:p>
      <w:pPr>
        <w:numPr>
          <w:ilvl w:val="0"/>
          <w:numId w:val="0"/>
        </w:numPr>
        <w:ind w:firstLine="640" w:firstLineChars="200"/>
        <w:rPr>
          <w:rFonts w:hint="eastAsia" w:ascii="仿宋" w:hAnsi="仿宋" w:eastAsia="仿宋" w:cs="仿宋"/>
          <w:sz w:val="32"/>
          <w:szCs w:val="32"/>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val="en-US" w:eastAsia="zh-CN"/>
          <w14:textFill>
            <w14:solidFill>
              <w14:schemeClr w14:val="tx1"/>
            </w14:solidFill>
          </w14:textFill>
        </w:rPr>
        <w:t>二十二</w:t>
      </w:r>
      <w:r>
        <w:rPr>
          <w:rFonts w:hint="eastAsia" w:ascii="黑体" w:hAnsi="黑体" w:eastAsia="黑体"/>
          <w:bCs/>
          <w:color w:val="000000" w:themeColor="text1"/>
          <w:sz w:val="32"/>
          <w:szCs w:val="32"/>
          <w14:textFill>
            <w14:solidFill>
              <w14:schemeClr w14:val="tx1"/>
            </w14:solidFill>
          </w14:textFill>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主观过错包括故意和过失。对于当事人提供的证明没有主观过错的证据，应当结合主客观标准综合审查判断：</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如果一个具有通常认知能力的人处于与当事人相同的情形之下对危害结果的发生无法预见也无法避免，可以认定没有过错，例如当事人合理履行了法律、法规、规章所要求的各项义务，但仍然不能避免危害结果的发生；</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(二)网络运营者发现法律、法规、规章禁止发布或者传输的信息，立即停止传输该信息，采取消除等处置措施，防止信息扩散，保存有关记录，并向属地文化市场综合执法机构报告的，可以认定没有过错；</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不得因当事人不知晓法律规定而免除其行政处罚责任。但是，当事人提供证据证明存在以下情形足以导致违法性认识错误的，可以根据具体情况减轻或者免除其处罚：</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(一)法律、法规、规章本身规定不明确、相互矛盾；</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(二)当事人为偏远山区、少数民族地区文盲或者认知</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能力迟钝的老人；</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(三)对政府部门的答复、行政指导等产生信赖；</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(四)对法院连续稳定判决产生信赖；</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(五)其他正当理由。</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涉及淫秽、暴力、恐怖、赌博等违反社会伦理的违法行为，不得因上述例外情形而减轻或免除当事人处罚。</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val="en-US" w:eastAsia="zh-CN"/>
          <w14:textFill>
            <w14:solidFill>
              <w14:schemeClr w14:val="tx1"/>
            </w14:solidFill>
          </w14:textFill>
        </w:rPr>
        <w:t>二十三</w:t>
      </w:r>
      <w:r>
        <w:rPr>
          <w:rFonts w:hint="eastAsia" w:ascii="黑体" w:hAnsi="黑体" w:eastAsia="黑体"/>
          <w:bCs/>
          <w:color w:val="000000" w:themeColor="text1"/>
          <w:sz w:val="32"/>
          <w:szCs w:val="32"/>
          <w14:textFill>
            <w14:solidFill>
              <w14:schemeClr w14:val="tx1"/>
            </w14:solidFill>
          </w14:textFill>
        </w:rPr>
        <w:t>条</w:t>
      </w:r>
      <w:r>
        <w:rPr>
          <w:rFonts w:hint="eastAsia" w:ascii="仿宋_GB2312" w:hAnsi="楷体" w:eastAsia="仿宋_GB2312"/>
          <w:bCs/>
          <w:color w:val="000000" w:themeColor="text1"/>
          <w:sz w:val="32"/>
          <w:szCs w:val="32"/>
          <w14:textFill>
            <w14:solidFill>
              <w14:schemeClr w14:val="tx1"/>
            </w14:solidFill>
          </w14:textFill>
        </w:rPr>
        <w:t xml:space="preserve"> 有下列情形之一的，应当依法从轻或减轻处罚：</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（一）已满十四周岁不满十八周岁的人有违法行为的；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（二）主动消除或减轻违法行为危害后果的；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（三）受他人胁迫或者诱骗实施违法行为的；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（四）主动供述文化市场综合执法机构尚未掌握的违法行为的；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（五）配合文化市场综合执法机构查处违法行为有立功表现的，包括但不限于揭发文化市场重大违法行为、提供查处文化市场其他重大违法行为的关键线索或证据，并经查证属实的；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（六）法律、法规、规章规定应当从轻或减轻处罚的其他情形。</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val="en-US" w:eastAsia="zh-CN"/>
          <w14:textFill>
            <w14:solidFill>
              <w14:schemeClr w14:val="tx1"/>
            </w14:solidFill>
          </w14:textFill>
        </w:rPr>
        <w:t>二十四</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hAnsi="楷体" w:eastAsia="仿宋_GB2312"/>
          <w:bCs/>
          <w:color w:val="000000" w:themeColor="text1"/>
          <w:sz w:val="32"/>
          <w:szCs w:val="32"/>
          <w14:textFill>
            <w14:solidFill>
              <w14:schemeClr w14:val="tx1"/>
            </w14:solidFill>
          </w14:textFill>
        </w:rPr>
        <w:t>有下列情形之一的，可以依法从轻或减轻处罚：</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（一）违法行为社会危害性较小或尚未造成实际危害后果的；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（二）尚未完全丧失辨认或者控制自己行为能力的精神病人、智力残疾人有违法行为的；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（三）积极配合文化市场综合执法机构调查，如实陈述违法事实并主动提供证据材料的；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（四）因残疾或重大疾病等原因生活确有困难的；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（五）当事人有证据足以证明不存在主观故意或者重大过失的；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（六）在共同违法行为中起次要或者辅助作用的；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（七）互联网上网服务营业场所、娱乐场所接纳年满十六周岁不满十八周岁，以自己的劳动收入为主要生活来源且非在校就读的未成年人的；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（八）旅游投诉达成调解协议的；</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（九）其他依法可以从轻或者减轻行政处罚的。</w:t>
      </w:r>
    </w:p>
    <w:p>
      <w:pPr>
        <w:spacing w:line="360" w:lineRule="auto"/>
        <w:ind w:firstLine="640" w:firstLineChars="200"/>
        <w:rPr>
          <w:rFonts w:hint="eastAsia"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val="en-US" w:eastAsia="zh-CN"/>
          <w14:textFill>
            <w14:solidFill>
              <w14:schemeClr w14:val="tx1"/>
            </w14:solidFill>
          </w14:textFill>
        </w:rPr>
        <w:t>二十五</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hAnsi="楷体" w:eastAsia="仿宋_GB2312"/>
          <w:bCs/>
          <w:color w:val="000000" w:themeColor="text1"/>
          <w:sz w:val="32"/>
          <w:szCs w:val="32"/>
          <w14:textFill>
            <w14:solidFill>
              <w14:schemeClr w14:val="tx1"/>
            </w14:solidFill>
          </w14:textFill>
        </w:rPr>
        <w:t>有下列情形之一的，应当依法从重处罚：</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（一）危害国家文化安全和意识形态安全，严重扰乱市场经营秩序的；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（二）在发生自然灾害、事故灾难、公共卫生或者社会安全事件期间实施违法行为的；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（三）扰乱公共秩序、妨害公共安全和社会管理，情节严重，尚未构成犯罪的；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（四）共同实施的违法行为中起主要作用或教唆、胁迫、诱骗他人实施违法行为的；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（五）经执法部门通过新闻媒体、发布公告等方式禁止或告诫后，继续实施违法行为的；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（六）责令改正违法行为后，继续实施同一违法行为的；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（七）因同种违法行为一年内受到三次及以上行政处罚的；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（八）隐匿、破坏、销毁、篡改违法行为证据，或者拒不配合、阻碍、以暴力威胁执法人员依法执行职务的；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（九）对证人、举报人或者执法人员打击报复的；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（十）违法行为引起群众强烈反映、引发群体性事件或者造成其他不良社会影响的；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（十一）违反未成年人保护相关规定且情节严重的；</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（十二）法律、法规、规章规定应当从重处罚的其他情形。</w:t>
      </w:r>
    </w:p>
    <w:p>
      <w:pPr>
        <w:spacing w:line="360" w:lineRule="auto"/>
        <w:ind w:firstLine="640" w:firstLineChars="200"/>
        <w:jc w:val="left"/>
        <w:rPr>
          <w:rFonts w:hint="eastAsia"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14:textFill>
            <w14:solidFill>
              <w14:schemeClr w14:val="tx1"/>
            </w14:solidFill>
          </w14:textFill>
        </w:rPr>
        <w:t>不得因当事人的陈述、申辩而给予更重的处罚。</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val="en-US" w:eastAsia="zh-CN"/>
          <w14:textFill>
            <w14:solidFill>
              <w14:schemeClr w14:val="tx1"/>
            </w14:solidFill>
          </w14:textFill>
        </w:rPr>
        <w:t>二十六</w:t>
      </w:r>
      <w:r>
        <w:rPr>
          <w:rFonts w:hint="eastAsia" w:ascii="黑体" w:hAnsi="黑体" w:eastAsia="黑体"/>
          <w:bCs/>
          <w:color w:val="000000" w:themeColor="text1"/>
          <w:sz w:val="32"/>
          <w:szCs w:val="32"/>
          <w14:textFill>
            <w14:solidFill>
              <w14:schemeClr w14:val="tx1"/>
            </w14:solidFill>
          </w14:textFill>
        </w:rPr>
        <w:t>条</w:t>
      </w:r>
      <w:r>
        <w:rPr>
          <w:rFonts w:hint="eastAsia" w:ascii="仿宋_GB2312" w:hAnsi="楷体" w:eastAsia="仿宋_GB2312"/>
          <w:bCs/>
          <w:color w:val="000000" w:themeColor="text1"/>
          <w:sz w:val="32"/>
          <w:szCs w:val="32"/>
          <w14:textFill>
            <w14:solidFill>
              <w14:schemeClr w14:val="tx1"/>
            </w14:solidFill>
          </w14:textFill>
        </w:rPr>
        <w:t xml:space="preserve"> </w:t>
      </w:r>
      <w:r>
        <w:rPr>
          <w:rFonts w:hint="eastAsia" w:ascii="仿宋_GB2312" w:hAnsi="楷体" w:eastAsia="仿宋_GB2312"/>
          <w:bCs/>
          <w:color w:val="000000" w:themeColor="text1"/>
          <w:sz w:val="32"/>
          <w:szCs w:val="32"/>
          <w:lang w:val="en-US" w:eastAsia="zh-CN"/>
          <w14:textFill>
            <w14:solidFill>
              <w14:schemeClr w14:val="tx1"/>
            </w14:solidFill>
          </w14:textFill>
        </w:rPr>
        <w:t>案件调查终结后，承办案件的执法人员应当在充分听取当事人的陈述、申辩后，对拟作出行政处罚的种类和幅度提出建议，并说明行使行政处罚裁量权的理由和依据；案件审核人员应当对行使行政处罚裁量权的情况提出审核意见，并逐级报批。</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仿宋_GB2312" w:hAnsi="楷体" w:eastAsia="仿宋_GB2312"/>
          <w:bCs/>
          <w:color w:val="000000" w:themeColor="text1"/>
          <w:sz w:val="32"/>
          <w:szCs w:val="32"/>
          <w:lang w:val="en-US" w:eastAsia="zh-CN"/>
          <w14:textFill>
            <w14:solidFill>
              <w14:schemeClr w14:val="tx1"/>
            </w14:solidFill>
          </w14:textFill>
        </w:rPr>
        <w:t>对适用一般程序的案件拟减轻行政处罚或者情节复杂、重大违法行为等情形给予行政处罚的，应当履行集体讨论程序，并在集体讨论笔录中说明理由和依据。</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val="en-US" w:eastAsia="zh-CN"/>
          <w14:textFill>
            <w14:solidFill>
              <w14:schemeClr w14:val="tx1"/>
            </w14:solidFill>
          </w14:textFill>
        </w:rPr>
        <w:t>二十七</w:t>
      </w:r>
      <w:r>
        <w:rPr>
          <w:rFonts w:hint="eastAsia" w:ascii="黑体" w:hAnsi="黑体" w:eastAsia="黑体"/>
          <w:bCs/>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楷体" w:eastAsia="仿宋_GB2312"/>
          <w:bCs/>
          <w:color w:val="000000" w:themeColor="text1"/>
          <w:sz w:val="32"/>
          <w:szCs w:val="32"/>
          <w:lang w:val="en-US" w:eastAsia="zh-CN"/>
          <w14:textFill>
            <w14:solidFill>
              <w14:schemeClr w14:val="tx1"/>
            </w14:solidFill>
          </w14:textFill>
        </w:rPr>
        <w:t>法制审核部门发现本执法机构行政处罚自由裁量权行使不当的，应当及时、主动纠正。市级执法机构应当对下级执法机构行使行政处罚自由裁量权的情况进行监督检查，发现下级执法机构行政处罚自由裁量权行使不当的，市级执法机构应当责令其及时纠正；情节严重的，给予通报批评，或依照有关规定追究行政责任。</w:t>
      </w:r>
    </w:p>
    <w:p>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w:t>
      </w:r>
      <w:r>
        <w:rPr>
          <w:rFonts w:hint="eastAsia" w:ascii="黑体" w:hAnsi="黑体" w:eastAsia="黑体"/>
          <w:color w:val="000000" w:themeColor="text1"/>
          <w:sz w:val="32"/>
          <w:szCs w:val="32"/>
          <w:lang w:val="en-US" w:eastAsia="zh-CN"/>
          <w14:textFill>
            <w14:solidFill>
              <w14:schemeClr w14:val="tx1"/>
            </w14:solidFill>
          </w14:textFill>
        </w:rPr>
        <w:t>八</w:t>
      </w:r>
      <w:r>
        <w:rPr>
          <w:rFonts w:hint="eastAsia" w:ascii="黑体" w:hAnsi="黑体" w:eastAsia="黑体"/>
          <w:color w:val="000000" w:themeColor="text1"/>
          <w:sz w:val="32"/>
          <w:szCs w:val="32"/>
          <w14:textFill>
            <w14:solidFill>
              <w14:schemeClr w14:val="tx1"/>
            </w14:solidFill>
          </w14:textFill>
        </w:rPr>
        <w:t>条</w:t>
      </w:r>
      <w:bookmarkStart w:id="3" w:name="_Hlk70001362"/>
      <w:r>
        <w:rPr>
          <w:rFonts w:hint="eastAsia" w:ascii="黑体" w:hAnsi="黑体" w:eastAsia="黑体"/>
          <w:color w:val="000000" w:themeColor="text1"/>
          <w:sz w:val="32"/>
          <w:szCs w:val="32"/>
          <w14:textFill>
            <w14:solidFill>
              <w14:schemeClr w14:val="tx1"/>
            </w14:solidFill>
          </w14:textFill>
        </w:rPr>
        <w:t xml:space="preserve"> </w:t>
      </w:r>
      <w:bookmarkEnd w:id="3"/>
      <w:r>
        <w:rPr>
          <w:rFonts w:hint="eastAsia" w:ascii="仿宋_GB2312" w:eastAsia="仿宋_GB2312"/>
          <w:color w:val="000000" w:themeColor="text1"/>
          <w:sz w:val="32"/>
          <w:szCs w:val="32"/>
          <w:lang w:val="en-US" w:eastAsia="zh-CN"/>
          <w14:textFill>
            <w14:solidFill>
              <w14:schemeClr w14:val="tx1"/>
            </w14:solidFill>
          </w14:textFill>
        </w:rPr>
        <w:t>本规则所含的实施标准中，“以上”包括本数，“以下”不包括本数，有特殊说明的除外。</w:t>
      </w:r>
    </w:p>
    <w:p>
      <w:pPr>
        <w:spacing w:line="360" w:lineRule="auto"/>
        <w:ind w:firstLine="640" w:firstLineChars="200"/>
        <w:rPr>
          <w:rFonts w:hint="default" w:ascii="仿宋_GB2312" w:hAnsi="楷体" w:eastAsia="仿宋_GB2312"/>
          <w:bCs/>
          <w:color w:val="000000" w:themeColor="text1"/>
          <w:sz w:val="32"/>
          <w:szCs w:val="32"/>
          <w:lang w:val="en-US"/>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w:t>
      </w:r>
      <w:r>
        <w:rPr>
          <w:rFonts w:hint="eastAsia" w:ascii="黑体" w:hAnsi="黑体" w:eastAsia="黑体"/>
          <w:bCs/>
          <w:color w:val="000000" w:themeColor="text1"/>
          <w:sz w:val="32"/>
          <w:szCs w:val="32"/>
          <w14:textFill>
            <w14:solidFill>
              <w14:schemeClr w14:val="tx1"/>
            </w14:solidFill>
          </w14:textFill>
        </w:rPr>
        <w:t>十</w:t>
      </w:r>
      <w:r>
        <w:rPr>
          <w:rFonts w:hint="eastAsia" w:ascii="黑体" w:hAnsi="黑体" w:eastAsia="黑体"/>
          <w:bCs/>
          <w:color w:val="000000" w:themeColor="text1"/>
          <w:sz w:val="32"/>
          <w:szCs w:val="32"/>
          <w:lang w:eastAsia="zh-CN"/>
          <w14:textFill>
            <w14:solidFill>
              <w14:schemeClr w14:val="tx1"/>
            </w14:solidFill>
          </w14:textFill>
        </w:rPr>
        <w:t>九</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hAnsi="楷体" w:eastAsia="仿宋_GB2312"/>
          <w:bCs/>
          <w:color w:val="000000" w:themeColor="text1"/>
          <w:sz w:val="32"/>
          <w:szCs w:val="32"/>
          <w:lang w:val="en-US" w:eastAsia="zh-CN"/>
          <w14:textFill>
            <w14:solidFill>
              <w14:schemeClr w14:val="tx1"/>
            </w14:solidFill>
          </w14:textFill>
        </w:rPr>
        <w:t>本规则所含的实施标准中，累计查处次数期限以违法行为发生之日起计算，有特殊说明的除外。</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三</w:t>
      </w:r>
      <w:r>
        <w:rPr>
          <w:rFonts w:hint="eastAsia" w:ascii="黑体" w:hAnsi="黑体" w:eastAsia="黑体"/>
          <w:bCs/>
          <w:color w:val="000000" w:themeColor="text1"/>
          <w:sz w:val="32"/>
          <w:szCs w:val="32"/>
          <w14:textFill>
            <w14:solidFill>
              <w14:schemeClr w14:val="tx1"/>
            </w14:solidFill>
          </w14:textFill>
        </w:rPr>
        <w:t xml:space="preserve">十条 </w:t>
      </w:r>
      <w:r>
        <w:rPr>
          <w:rFonts w:hint="eastAsia" w:ascii="仿宋_GB2312" w:hAnsi="楷体" w:eastAsia="仿宋_GB2312"/>
          <w:bCs/>
          <w:color w:val="000000" w:themeColor="text1"/>
          <w:sz w:val="32"/>
          <w:szCs w:val="32"/>
          <w14:textFill>
            <w14:solidFill>
              <w14:schemeClr w14:val="tx1"/>
            </w14:solidFill>
          </w14:textFill>
        </w:rPr>
        <w:t>本</w:t>
      </w:r>
      <w:r>
        <w:rPr>
          <w:rFonts w:hint="eastAsia" w:ascii="仿宋_GB2312" w:hAnsi="楷体" w:eastAsia="仿宋_GB2312"/>
          <w:bCs/>
          <w:color w:val="000000" w:themeColor="text1"/>
          <w:sz w:val="32"/>
          <w:szCs w:val="32"/>
          <w:lang w:val="en-US" w:eastAsia="zh-CN"/>
          <w14:textFill>
            <w14:solidFill>
              <w14:schemeClr w14:val="tx1"/>
            </w14:solidFill>
          </w14:textFill>
        </w:rPr>
        <w:t>规则及所含的各类行政处罚自由裁量权实施标准，由汕尾</w:t>
      </w:r>
      <w:r>
        <w:rPr>
          <w:rFonts w:hint="eastAsia" w:ascii="仿宋_GB2312" w:hAnsi="楷体" w:eastAsia="仿宋_GB2312"/>
          <w:bCs/>
          <w:color w:val="000000" w:themeColor="text1"/>
          <w:sz w:val="32"/>
          <w:szCs w:val="32"/>
          <w14:textFill>
            <w14:solidFill>
              <w14:schemeClr w14:val="tx1"/>
            </w14:solidFill>
          </w14:textFill>
        </w:rPr>
        <w:t>市文化</w:t>
      </w:r>
      <w:r>
        <w:rPr>
          <w:rFonts w:hint="eastAsia" w:ascii="仿宋_GB2312" w:hAnsi="楷体" w:eastAsia="仿宋_GB2312"/>
          <w:bCs/>
          <w:color w:val="000000" w:themeColor="text1"/>
          <w:sz w:val="32"/>
          <w:szCs w:val="32"/>
          <w:lang w:eastAsia="zh-CN"/>
          <w14:textFill>
            <w14:solidFill>
              <w14:schemeClr w14:val="tx1"/>
            </w14:solidFill>
          </w14:textFill>
        </w:rPr>
        <w:t>广电旅游体育局</w:t>
      </w:r>
      <w:r>
        <w:rPr>
          <w:rFonts w:hint="eastAsia" w:ascii="仿宋_GB2312" w:hAnsi="楷体" w:eastAsia="仿宋_GB2312"/>
          <w:bCs/>
          <w:color w:val="000000" w:themeColor="text1"/>
          <w:sz w:val="32"/>
          <w:szCs w:val="32"/>
          <w14:textFill>
            <w14:solidFill>
              <w14:schemeClr w14:val="tx1"/>
            </w14:solidFill>
          </w14:textFill>
        </w:rPr>
        <w:t>负责解释。</w:t>
      </w:r>
    </w:p>
    <w:p>
      <w:pPr>
        <w:spacing w:line="360" w:lineRule="auto"/>
        <w:ind w:firstLine="640" w:firstLineChars="200"/>
        <w:rPr>
          <w:rFonts w:ascii="仿宋_GB2312" w:hAnsi="楷体" w:eastAsia="仿宋_GB2312"/>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三</w:t>
      </w:r>
      <w:r>
        <w:rPr>
          <w:rFonts w:hint="eastAsia" w:ascii="黑体" w:hAnsi="黑体" w:eastAsia="黑体"/>
          <w:bCs/>
          <w:color w:val="000000" w:themeColor="text1"/>
          <w:sz w:val="32"/>
          <w:szCs w:val="32"/>
          <w14:textFill>
            <w14:solidFill>
              <w14:schemeClr w14:val="tx1"/>
            </w14:solidFill>
          </w14:textFill>
        </w:rPr>
        <w:t>十</w:t>
      </w:r>
      <w:r>
        <w:rPr>
          <w:rFonts w:hint="eastAsia" w:ascii="黑体" w:hAnsi="黑体" w:eastAsia="黑体"/>
          <w:bCs/>
          <w:color w:val="000000" w:themeColor="text1"/>
          <w:sz w:val="32"/>
          <w:szCs w:val="32"/>
          <w:lang w:eastAsia="zh-CN"/>
          <w14:textFill>
            <w14:solidFill>
              <w14:schemeClr w14:val="tx1"/>
            </w14:solidFill>
          </w14:textFill>
        </w:rPr>
        <w:t>一</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_GB2312" w:hAnsi="楷体" w:eastAsia="仿宋_GB2312"/>
          <w:bCs/>
          <w:color w:val="000000" w:themeColor="text1"/>
          <w:sz w:val="32"/>
          <w:szCs w:val="32"/>
          <w14:textFill>
            <w14:solidFill>
              <w14:schemeClr w14:val="tx1"/>
            </w14:solidFill>
          </w14:textFill>
        </w:rPr>
        <w:t>本</w:t>
      </w:r>
      <w:r>
        <w:rPr>
          <w:rFonts w:hint="eastAsia" w:ascii="仿宋_GB2312" w:hAnsi="楷体" w:eastAsia="仿宋_GB2312"/>
          <w:bCs/>
          <w:color w:val="000000" w:themeColor="text1"/>
          <w:sz w:val="32"/>
          <w:szCs w:val="32"/>
          <w:lang w:val="en-US" w:eastAsia="zh-CN"/>
          <w14:textFill>
            <w14:solidFill>
              <w14:schemeClr w14:val="tx1"/>
            </w14:solidFill>
          </w14:textFill>
        </w:rPr>
        <w:t>规则</w:t>
      </w:r>
      <w:r>
        <w:rPr>
          <w:rFonts w:hint="eastAsia" w:ascii="仿宋_GB2312" w:hAnsi="楷体" w:eastAsia="仿宋_GB2312"/>
          <w:bCs/>
          <w:color w:val="000000" w:themeColor="text1"/>
          <w:sz w:val="32"/>
          <w:szCs w:val="32"/>
          <w14:textFill>
            <w14:solidFill>
              <w14:schemeClr w14:val="tx1"/>
            </w14:solidFill>
          </w14:textFill>
        </w:rPr>
        <w:t>自印发之日起正式施行，有效期</w:t>
      </w:r>
      <w:r>
        <w:rPr>
          <w:rFonts w:hint="eastAsia" w:ascii="仿宋_GB2312" w:hAnsi="楷体" w:eastAsia="仿宋_GB2312"/>
          <w:bCs/>
          <w:color w:val="000000" w:themeColor="text1"/>
          <w:sz w:val="32"/>
          <w:szCs w:val="32"/>
          <w:lang w:val="en-US" w:eastAsia="zh-CN"/>
          <w14:textFill>
            <w14:solidFill>
              <w14:schemeClr w14:val="tx1"/>
            </w14:solidFill>
          </w14:textFill>
        </w:rPr>
        <w:t>五</w:t>
      </w:r>
      <w:r>
        <w:rPr>
          <w:rFonts w:hint="eastAsia" w:ascii="仿宋_GB2312" w:hAnsi="楷体" w:eastAsia="仿宋_GB2312"/>
          <w:bCs/>
          <w:color w:val="000000" w:themeColor="text1"/>
          <w:sz w:val="32"/>
          <w:szCs w:val="32"/>
          <w14:textFill>
            <w14:solidFill>
              <w14:schemeClr w14:val="tx1"/>
            </w14:solidFill>
          </w14:textFill>
        </w:rPr>
        <w:t>年。</w:t>
      </w:r>
    </w:p>
    <w:sectPr>
      <w:footerReference r:id="rId3" w:type="default"/>
      <w:pgSz w:w="11906" w:h="16838"/>
      <w:pgMar w:top="1440" w:right="1426" w:bottom="1440" w:left="15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18407"/>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hYmVjYzUwNzgwMDU4ZGIxYWM1ZmJhNGMxYzQ1ZmQifQ=="/>
  </w:docVars>
  <w:rsids>
    <w:rsidRoot w:val="000E0FF4"/>
    <w:rsid w:val="00000437"/>
    <w:rsid w:val="00001EBE"/>
    <w:rsid w:val="0000520E"/>
    <w:rsid w:val="0001216E"/>
    <w:rsid w:val="00015BAC"/>
    <w:rsid w:val="0002179E"/>
    <w:rsid w:val="00022EAE"/>
    <w:rsid w:val="0002670B"/>
    <w:rsid w:val="00031492"/>
    <w:rsid w:val="00032141"/>
    <w:rsid w:val="000423B0"/>
    <w:rsid w:val="0005042B"/>
    <w:rsid w:val="000662D2"/>
    <w:rsid w:val="000724D7"/>
    <w:rsid w:val="00086D78"/>
    <w:rsid w:val="00093E7C"/>
    <w:rsid w:val="000956F8"/>
    <w:rsid w:val="00097C1D"/>
    <w:rsid w:val="000A765D"/>
    <w:rsid w:val="000B00EF"/>
    <w:rsid w:val="000B6A4C"/>
    <w:rsid w:val="000C02DC"/>
    <w:rsid w:val="000D022F"/>
    <w:rsid w:val="000D0B26"/>
    <w:rsid w:val="000D6640"/>
    <w:rsid w:val="000D672E"/>
    <w:rsid w:val="000D686A"/>
    <w:rsid w:val="000D7B17"/>
    <w:rsid w:val="000E0FF4"/>
    <w:rsid w:val="00107D37"/>
    <w:rsid w:val="00122CE1"/>
    <w:rsid w:val="0012706F"/>
    <w:rsid w:val="001414DC"/>
    <w:rsid w:val="00146E0F"/>
    <w:rsid w:val="00147F37"/>
    <w:rsid w:val="0015012D"/>
    <w:rsid w:val="00155427"/>
    <w:rsid w:val="00163993"/>
    <w:rsid w:val="00165754"/>
    <w:rsid w:val="00166056"/>
    <w:rsid w:val="001663F7"/>
    <w:rsid w:val="00170FFA"/>
    <w:rsid w:val="0017152D"/>
    <w:rsid w:val="001731B5"/>
    <w:rsid w:val="0017372E"/>
    <w:rsid w:val="00177021"/>
    <w:rsid w:val="001A25CA"/>
    <w:rsid w:val="001A57BE"/>
    <w:rsid w:val="001A7CFF"/>
    <w:rsid w:val="001A7FBD"/>
    <w:rsid w:val="001B12B0"/>
    <w:rsid w:val="001B6B73"/>
    <w:rsid w:val="001B74FC"/>
    <w:rsid w:val="001B7583"/>
    <w:rsid w:val="001C1F21"/>
    <w:rsid w:val="001D0098"/>
    <w:rsid w:val="001D1D2B"/>
    <w:rsid w:val="001E0A09"/>
    <w:rsid w:val="001E18B0"/>
    <w:rsid w:val="001E3088"/>
    <w:rsid w:val="00205271"/>
    <w:rsid w:val="00206934"/>
    <w:rsid w:val="00223C51"/>
    <w:rsid w:val="0022471A"/>
    <w:rsid w:val="00224FE6"/>
    <w:rsid w:val="00232400"/>
    <w:rsid w:val="00233AFC"/>
    <w:rsid w:val="002360C1"/>
    <w:rsid w:val="00236488"/>
    <w:rsid w:val="00247221"/>
    <w:rsid w:val="00247E6C"/>
    <w:rsid w:val="00250728"/>
    <w:rsid w:val="00266170"/>
    <w:rsid w:val="00271E9B"/>
    <w:rsid w:val="002728B8"/>
    <w:rsid w:val="00274AFB"/>
    <w:rsid w:val="002B3DB0"/>
    <w:rsid w:val="002C6456"/>
    <w:rsid w:val="002C7FA1"/>
    <w:rsid w:val="002D1C02"/>
    <w:rsid w:val="002D2E9D"/>
    <w:rsid w:val="002D3214"/>
    <w:rsid w:val="002D5FE0"/>
    <w:rsid w:val="002D7B8E"/>
    <w:rsid w:val="002E00FF"/>
    <w:rsid w:val="002E12D2"/>
    <w:rsid w:val="002E6103"/>
    <w:rsid w:val="002F4B7C"/>
    <w:rsid w:val="002F6976"/>
    <w:rsid w:val="0030187C"/>
    <w:rsid w:val="00302D3A"/>
    <w:rsid w:val="00303EBD"/>
    <w:rsid w:val="0031137D"/>
    <w:rsid w:val="0031214F"/>
    <w:rsid w:val="00320599"/>
    <w:rsid w:val="00323ACC"/>
    <w:rsid w:val="00327830"/>
    <w:rsid w:val="0033324B"/>
    <w:rsid w:val="00337D71"/>
    <w:rsid w:val="00340C6C"/>
    <w:rsid w:val="00342A04"/>
    <w:rsid w:val="00342D31"/>
    <w:rsid w:val="0034593F"/>
    <w:rsid w:val="0035208C"/>
    <w:rsid w:val="00357849"/>
    <w:rsid w:val="0036281A"/>
    <w:rsid w:val="003630DD"/>
    <w:rsid w:val="003659C5"/>
    <w:rsid w:val="00366BDB"/>
    <w:rsid w:val="003702A5"/>
    <w:rsid w:val="003721F0"/>
    <w:rsid w:val="00375AA9"/>
    <w:rsid w:val="0039015B"/>
    <w:rsid w:val="00394A7B"/>
    <w:rsid w:val="003A2DB8"/>
    <w:rsid w:val="003B155C"/>
    <w:rsid w:val="003B212F"/>
    <w:rsid w:val="003C0976"/>
    <w:rsid w:val="003E1E62"/>
    <w:rsid w:val="00402878"/>
    <w:rsid w:val="00405847"/>
    <w:rsid w:val="004152E7"/>
    <w:rsid w:val="00415E68"/>
    <w:rsid w:val="0041659F"/>
    <w:rsid w:val="00423D40"/>
    <w:rsid w:val="00424075"/>
    <w:rsid w:val="004272D3"/>
    <w:rsid w:val="004338BF"/>
    <w:rsid w:val="004359DD"/>
    <w:rsid w:val="00444DD2"/>
    <w:rsid w:val="004511C2"/>
    <w:rsid w:val="004565A1"/>
    <w:rsid w:val="00457FC7"/>
    <w:rsid w:val="0047109C"/>
    <w:rsid w:val="00472CC0"/>
    <w:rsid w:val="004758C6"/>
    <w:rsid w:val="00482D86"/>
    <w:rsid w:val="00484394"/>
    <w:rsid w:val="00485E64"/>
    <w:rsid w:val="0049074A"/>
    <w:rsid w:val="00492219"/>
    <w:rsid w:val="00496A35"/>
    <w:rsid w:val="004A2C9B"/>
    <w:rsid w:val="004A5257"/>
    <w:rsid w:val="004C087B"/>
    <w:rsid w:val="004C335C"/>
    <w:rsid w:val="004C38AF"/>
    <w:rsid w:val="004C6A11"/>
    <w:rsid w:val="004D1790"/>
    <w:rsid w:val="004E6DC8"/>
    <w:rsid w:val="004F3ED3"/>
    <w:rsid w:val="004F4E2D"/>
    <w:rsid w:val="004F739F"/>
    <w:rsid w:val="00500D60"/>
    <w:rsid w:val="00520717"/>
    <w:rsid w:val="00523EAC"/>
    <w:rsid w:val="00524967"/>
    <w:rsid w:val="00531B6B"/>
    <w:rsid w:val="00533550"/>
    <w:rsid w:val="00534982"/>
    <w:rsid w:val="0054013A"/>
    <w:rsid w:val="00542F2B"/>
    <w:rsid w:val="00550D8E"/>
    <w:rsid w:val="005575DF"/>
    <w:rsid w:val="00563B79"/>
    <w:rsid w:val="005648E3"/>
    <w:rsid w:val="00577144"/>
    <w:rsid w:val="005774B9"/>
    <w:rsid w:val="00582931"/>
    <w:rsid w:val="00584AA0"/>
    <w:rsid w:val="0059073F"/>
    <w:rsid w:val="00592464"/>
    <w:rsid w:val="00595E05"/>
    <w:rsid w:val="005A2EEA"/>
    <w:rsid w:val="005A45F0"/>
    <w:rsid w:val="005B6096"/>
    <w:rsid w:val="005C00BE"/>
    <w:rsid w:val="005E0B44"/>
    <w:rsid w:val="005E1BEE"/>
    <w:rsid w:val="005E71E6"/>
    <w:rsid w:val="005F06CA"/>
    <w:rsid w:val="005F5517"/>
    <w:rsid w:val="005F6CF7"/>
    <w:rsid w:val="005F7BB8"/>
    <w:rsid w:val="0060443F"/>
    <w:rsid w:val="00605B73"/>
    <w:rsid w:val="00614FF7"/>
    <w:rsid w:val="00620787"/>
    <w:rsid w:val="00620A46"/>
    <w:rsid w:val="00621265"/>
    <w:rsid w:val="00625071"/>
    <w:rsid w:val="006301B8"/>
    <w:rsid w:val="006335EA"/>
    <w:rsid w:val="00637AA3"/>
    <w:rsid w:val="006434F0"/>
    <w:rsid w:val="00663800"/>
    <w:rsid w:val="00675C0A"/>
    <w:rsid w:val="0067705F"/>
    <w:rsid w:val="00677B19"/>
    <w:rsid w:val="006831D6"/>
    <w:rsid w:val="00684A9A"/>
    <w:rsid w:val="00685F2C"/>
    <w:rsid w:val="00691B7D"/>
    <w:rsid w:val="00692F38"/>
    <w:rsid w:val="006A0A36"/>
    <w:rsid w:val="006A2C5B"/>
    <w:rsid w:val="006A3042"/>
    <w:rsid w:val="006A3AD8"/>
    <w:rsid w:val="006B14BA"/>
    <w:rsid w:val="006B7F33"/>
    <w:rsid w:val="006D2A7F"/>
    <w:rsid w:val="006D7288"/>
    <w:rsid w:val="006E0112"/>
    <w:rsid w:val="006F74C7"/>
    <w:rsid w:val="00714B72"/>
    <w:rsid w:val="00715EE7"/>
    <w:rsid w:val="00726291"/>
    <w:rsid w:val="00727C1D"/>
    <w:rsid w:val="007367DF"/>
    <w:rsid w:val="00737131"/>
    <w:rsid w:val="00740496"/>
    <w:rsid w:val="00745F21"/>
    <w:rsid w:val="00745F7D"/>
    <w:rsid w:val="00746BDA"/>
    <w:rsid w:val="00750A27"/>
    <w:rsid w:val="00751521"/>
    <w:rsid w:val="0075397F"/>
    <w:rsid w:val="007560A9"/>
    <w:rsid w:val="00757DB9"/>
    <w:rsid w:val="00766184"/>
    <w:rsid w:val="00767902"/>
    <w:rsid w:val="00776281"/>
    <w:rsid w:val="00782C2A"/>
    <w:rsid w:val="007845D1"/>
    <w:rsid w:val="00786EF1"/>
    <w:rsid w:val="00794C84"/>
    <w:rsid w:val="007975BA"/>
    <w:rsid w:val="007A5B4B"/>
    <w:rsid w:val="007A6914"/>
    <w:rsid w:val="007B066A"/>
    <w:rsid w:val="007B5CD2"/>
    <w:rsid w:val="007B713A"/>
    <w:rsid w:val="007B7D91"/>
    <w:rsid w:val="007C4519"/>
    <w:rsid w:val="007C521D"/>
    <w:rsid w:val="007C7AE5"/>
    <w:rsid w:val="007D7F5C"/>
    <w:rsid w:val="007F06CC"/>
    <w:rsid w:val="007F1E41"/>
    <w:rsid w:val="007F259C"/>
    <w:rsid w:val="007F281C"/>
    <w:rsid w:val="00801271"/>
    <w:rsid w:val="0080303E"/>
    <w:rsid w:val="00816547"/>
    <w:rsid w:val="00821C8C"/>
    <w:rsid w:val="00825395"/>
    <w:rsid w:val="0082668A"/>
    <w:rsid w:val="00830F93"/>
    <w:rsid w:val="00843D47"/>
    <w:rsid w:val="008548EC"/>
    <w:rsid w:val="008567A1"/>
    <w:rsid w:val="00861A9B"/>
    <w:rsid w:val="00866B5A"/>
    <w:rsid w:val="008871C9"/>
    <w:rsid w:val="0089081B"/>
    <w:rsid w:val="0089220B"/>
    <w:rsid w:val="008A0096"/>
    <w:rsid w:val="008B09F5"/>
    <w:rsid w:val="008B31E7"/>
    <w:rsid w:val="008B49BB"/>
    <w:rsid w:val="008B63AA"/>
    <w:rsid w:val="008C1F5E"/>
    <w:rsid w:val="008C598A"/>
    <w:rsid w:val="008D06C0"/>
    <w:rsid w:val="008D18DF"/>
    <w:rsid w:val="008D4DB4"/>
    <w:rsid w:val="008D4F9C"/>
    <w:rsid w:val="008E26C3"/>
    <w:rsid w:val="008E4E95"/>
    <w:rsid w:val="008E5AEB"/>
    <w:rsid w:val="008F184D"/>
    <w:rsid w:val="008F3F7C"/>
    <w:rsid w:val="009214F4"/>
    <w:rsid w:val="00922B36"/>
    <w:rsid w:val="00927587"/>
    <w:rsid w:val="00933B60"/>
    <w:rsid w:val="009402ED"/>
    <w:rsid w:val="009420B6"/>
    <w:rsid w:val="00953661"/>
    <w:rsid w:val="00956B35"/>
    <w:rsid w:val="00964709"/>
    <w:rsid w:val="00966DC8"/>
    <w:rsid w:val="00971387"/>
    <w:rsid w:val="009853C3"/>
    <w:rsid w:val="009A1AC1"/>
    <w:rsid w:val="009A576A"/>
    <w:rsid w:val="009A66B8"/>
    <w:rsid w:val="009A714F"/>
    <w:rsid w:val="009B2541"/>
    <w:rsid w:val="009B5879"/>
    <w:rsid w:val="009C0D84"/>
    <w:rsid w:val="009C1C5A"/>
    <w:rsid w:val="009C1DCC"/>
    <w:rsid w:val="009D1843"/>
    <w:rsid w:val="009D427C"/>
    <w:rsid w:val="009D5CD7"/>
    <w:rsid w:val="009E6190"/>
    <w:rsid w:val="009F615D"/>
    <w:rsid w:val="009F7573"/>
    <w:rsid w:val="00A11F7F"/>
    <w:rsid w:val="00A32AB0"/>
    <w:rsid w:val="00A33936"/>
    <w:rsid w:val="00A363D5"/>
    <w:rsid w:val="00A430A9"/>
    <w:rsid w:val="00A4615A"/>
    <w:rsid w:val="00A53C79"/>
    <w:rsid w:val="00A604A7"/>
    <w:rsid w:val="00A6273B"/>
    <w:rsid w:val="00A648FD"/>
    <w:rsid w:val="00A72181"/>
    <w:rsid w:val="00A739AF"/>
    <w:rsid w:val="00A73A4D"/>
    <w:rsid w:val="00A97334"/>
    <w:rsid w:val="00A97E54"/>
    <w:rsid w:val="00AA2F0B"/>
    <w:rsid w:val="00AA7CFB"/>
    <w:rsid w:val="00AB250F"/>
    <w:rsid w:val="00AB7BDA"/>
    <w:rsid w:val="00AC63ED"/>
    <w:rsid w:val="00AC679F"/>
    <w:rsid w:val="00AC6E01"/>
    <w:rsid w:val="00AE4A8A"/>
    <w:rsid w:val="00AE5981"/>
    <w:rsid w:val="00AF7360"/>
    <w:rsid w:val="00B07B20"/>
    <w:rsid w:val="00B13AF4"/>
    <w:rsid w:val="00B223E3"/>
    <w:rsid w:val="00B25F41"/>
    <w:rsid w:val="00B32FB0"/>
    <w:rsid w:val="00B44F41"/>
    <w:rsid w:val="00B5207E"/>
    <w:rsid w:val="00B54AC7"/>
    <w:rsid w:val="00B74835"/>
    <w:rsid w:val="00B76CF8"/>
    <w:rsid w:val="00B8153C"/>
    <w:rsid w:val="00B85912"/>
    <w:rsid w:val="00B9023B"/>
    <w:rsid w:val="00B90E12"/>
    <w:rsid w:val="00B93AE0"/>
    <w:rsid w:val="00BC5F64"/>
    <w:rsid w:val="00BD27E5"/>
    <w:rsid w:val="00BD34F5"/>
    <w:rsid w:val="00BE7976"/>
    <w:rsid w:val="00BF161D"/>
    <w:rsid w:val="00C002D8"/>
    <w:rsid w:val="00C01B29"/>
    <w:rsid w:val="00C07F0A"/>
    <w:rsid w:val="00C11CA2"/>
    <w:rsid w:val="00C16A41"/>
    <w:rsid w:val="00C300D2"/>
    <w:rsid w:val="00C457F1"/>
    <w:rsid w:val="00C47CAE"/>
    <w:rsid w:val="00C5002D"/>
    <w:rsid w:val="00C64106"/>
    <w:rsid w:val="00C659CF"/>
    <w:rsid w:val="00C71471"/>
    <w:rsid w:val="00C7690A"/>
    <w:rsid w:val="00C84596"/>
    <w:rsid w:val="00C85AD9"/>
    <w:rsid w:val="00C87922"/>
    <w:rsid w:val="00C90915"/>
    <w:rsid w:val="00CA5E7A"/>
    <w:rsid w:val="00CB258F"/>
    <w:rsid w:val="00CD3BF8"/>
    <w:rsid w:val="00CD49BB"/>
    <w:rsid w:val="00CD5F22"/>
    <w:rsid w:val="00CF0D7B"/>
    <w:rsid w:val="00CF4885"/>
    <w:rsid w:val="00D040A6"/>
    <w:rsid w:val="00D10797"/>
    <w:rsid w:val="00D16D7D"/>
    <w:rsid w:val="00D23090"/>
    <w:rsid w:val="00D24FEE"/>
    <w:rsid w:val="00D2688D"/>
    <w:rsid w:val="00D26DD3"/>
    <w:rsid w:val="00D32A85"/>
    <w:rsid w:val="00D3624D"/>
    <w:rsid w:val="00D4280E"/>
    <w:rsid w:val="00D4613E"/>
    <w:rsid w:val="00D472DF"/>
    <w:rsid w:val="00D5117C"/>
    <w:rsid w:val="00D53853"/>
    <w:rsid w:val="00D5608C"/>
    <w:rsid w:val="00D62E62"/>
    <w:rsid w:val="00D65BA7"/>
    <w:rsid w:val="00D71C30"/>
    <w:rsid w:val="00D727DD"/>
    <w:rsid w:val="00D80501"/>
    <w:rsid w:val="00D822D0"/>
    <w:rsid w:val="00D831EF"/>
    <w:rsid w:val="00D91BCB"/>
    <w:rsid w:val="00D92A33"/>
    <w:rsid w:val="00D95D19"/>
    <w:rsid w:val="00D96A3F"/>
    <w:rsid w:val="00DA5921"/>
    <w:rsid w:val="00DA6468"/>
    <w:rsid w:val="00DB0B85"/>
    <w:rsid w:val="00DC6403"/>
    <w:rsid w:val="00DC7C77"/>
    <w:rsid w:val="00DC7F4D"/>
    <w:rsid w:val="00DD1AE7"/>
    <w:rsid w:val="00DE65E1"/>
    <w:rsid w:val="00DF237D"/>
    <w:rsid w:val="00DF6D73"/>
    <w:rsid w:val="00DF7C26"/>
    <w:rsid w:val="00E02499"/>
    <w:rsid w:val="00E03F11"/>
    <w:rsid w:val="00E05B18"/>
    <w:rsid w:val="00E077AE"/>
    <w:rsid w:val="00E2773E"/>
    <w:rsid w:val="00E27F50"/>
    <w:rsid w:val="00E34DAC"/>
    <w:rsid w:val="00E430E6"/>
    <w:rsid w:val="00E50BE5"/>
    <w:rsid w:val="00E50ECA"/>
    <w:rsid w:val="00E534FB"/>
    <w:rsid w:val="00E54D80"/>
    <w:rsid w:val="00E56314"/>
    <w:rsid w:val="00E60FBF"/>
    <w:rsid w:val="00E62F04"/>
    <w:rsid w:val="00E7088E"/>
    <w:rsid w:val="00E7427E"/>
    <w:rsid w:val="00E763AC"/>
    <w:rsid w:val="00E81691"/>
    <w:rsid w:val="00E87F46"/>
    <w:rsid w:val="00E96A3A"/>
    <w:rsid w:val="00EA053B"/>
    <w:rsid w:val="00EA33FF"/>
    <w:rsid w:val="00EB06C0"/>
    <w:rsid w:val="00EB7371"/>
    <w:rsid w:val="00EB7B4D"/>
    <w:rsid w:val="00EC3448"/>
    <w:rsid w:val="00EC43D9"/>
    <w:rsid w:val="00EC4C85"/>
    <w:rsid w:val="00ED383E"/>
    <w:rsid w:val="00ED47B3"/>
    <w:rsid w:val="00EE2401"/>
    <w:rsid w:val="00EF53D2"/>
    <w:rsid w:val="00F03D80"/>
    <w:rsid w:val="00F056AF"/>
    <w:rsid w:val="00F106BC"/>
    <w:rsid w:val="00F12734"/>
    <w:rsid w:val="00F135F1"/>
    <w:rsid w:val="00F177C2"/>
    <w:rsid w:val="00F2333D"/>
    <w:rsid w:val="00F25D77"/>
    <w:rsid w:val="00F31A9F"/>
    <w:rsid w:val="00F42939"/>
    <w:rsid w:val="00F4728E"/>
    <w:rsid w:val="00F47F17"/>
    <w:rsid w:val="00F73ED4"/>
    <w:rsid w:val="00F80536"/>
    <w:rsid w:val="00F81426"/>
    <w:rsid w:val="00F82295"/>
    <w:rsid w:val="00F85EED"/>
    <w:rsid w:val="00F95E90"/>
    <w:rsid w:val="00FA0779"/>
    <w:rsid w:val="00FA3A94"/>
    <w:rsid w:val="00FA4DEE"/>
    <w:rsid w:val="00FA6A73"/>
    <w:rsid w:val="00FC185B"/>
    <w:rsid w:val="00FC298E"/>
    <w:rsid w:val="00FC4A67"/>
    <w:rsid w:val="00FC74BD"/>
    <w:rsid w:val="00FD76B2"/>
    <w:rsid w:val="00FE354F"/>
    <w:rsid w:val="00FE4304"/>
    <w:rsid w:val="00FF2A95"/>
    <w:rsid w:val="00FF400B"/>
    <w:rsid w:val="01FE097C"/>
    <w:rsid w:val="02ED7DA8"/>
    <w:rsid w:val="04D3275E"/>
    <w:rsid w:val="05922FA0"/>
    <w:rsid w:val="067D0139"/>
    <w:rsid w:val="09234442"/>
    <w:rsid w:val="09245472"/>
    <w:rsid w:val="09246998"/>
    <w:rsid w:val="0BE9493B"/>
    <w:rsid w:val="0C573255"/>
    <w:rsid w:val="0F20161D"/>
    <w:rsid w:val="11162CD7"/>
    <w:rsid w:val="128136A8"/>
    <w:rsid w:val="140432BB"/>
    <w:rsid w:val="15450DC8"/>
    <w:rsid w:val="15933A63"/>
    <w:rsid w:val="174D2227"/>
    <w:rsid w:val="1C022EEE"/>
    <w:rsid w:val="1CC63804"/>
    <w:rsid w:val="1CFC53F0"/>
    <w:rsid w:val="1F1C596E"/>
    <w:rsid w:val="1F972029"/>
    <w:rsid w:val="26341DF0"/>
    <w:rsid w:val="268E0445"/>
    <w:rsid w:val="270A0968"/>
    <w:rsid w:val="298E56A9"/>
    <w:rsid w:val="2A9554F0"/>
    <w:rsid w:val="2AF7727E"/>
    <w:rsid w:val="2C9A25B7"/>
    <w:rsid w:val="2EC609DF"/>
    <w:rsid w:val="2FCF4325"/>
    <w:rsid w:val="2FFB1F43"/>
    <w:rsid w:val="342804A8"/>
    <w:rsid w:val="34B22884"/>
    <w:rsid w:val="35306C55"/>
    <w:rsid w:val="377C1996"/>
    <w:rsid w:val="383270B5"/>
    <w:rsid w:val="3964354D"/>
    <w:rsid w:val="3CB650D2"/>
    <w:rsid w:val="3DED69EA"/>
    <w:rsid w:val="3F8E2113"/>
    <w:rsid w:val="418C72E5"/>
    <w:rsid w:val="432D2C5B"/>
    <w:rsid w:val="46140FDF"/>
    <w:rsid w:val="490B5FAA"/>
    <w:rsid w:val="4D2B79DE"/>
    <w:rsid w:val="4E1F48D1"/>
    <w:rsid w:val="4EAD5C7D"/>
    <w:rsid w:val="4F590161"/>
    <w:rsid w:val="50483F54"/>
    <w:rsid w:val="53A635C4"/>
    <w:rsid w:val="53B8313E"/>
    <w:rsid w:val="5A733572"/>
    <w:rsid w:val="5D232B87"/>
    <w:rsid w:val="614E6EF1"/>
    <w:rsid w:val="61E85ABB"/>
    <w:rsid w:val="627E2B65"/>
    <w:rsid w:val="63B53529"/>
    <w:rsid w:val="65DF45BB"/>
    <w:rsid w:val="6630570C"/>
    <w:rsid w:val="663F15CE"/>
    <w:rsid w:val="665F2FB0"/>
    <w:rsid w:val="680C31D7"/>
    <w:rsid w:val="696D7BC1"/>
    <w:rsid w:val="6AD1277A"/>
    <w:rsid w:val="6BCF0C2E"/>
    <w:rsid w:val="6F333530"/>
    <w:rsid w:val="704D100A"/>
    <w:rsid w:val="70670209"/>
    <w:rsid w:val="716C1728"/>
    <w:rsid w:val="721E0A1C"/>
    <w:rsid w:val="72556331"/>
    <w:rsid w:val="72B62B48"/>
    <w:rsid w:val="73791574"/>
    <w:rsid w:val="73CC3D7C"/>
    <w:rsid w:val="740E335C"/>
    <w:rsid w:val="749E2864"/>
    <w:rsid w:val="76832D41"/>
    <w:rsid w:val="78362F38"/>
    <w:rsid w:val="7B6C0494"/>
    <w:rsid w:val="7B89704B"/>
    <w:rsid w:val="7B8E0E7F"/>
    <w:rsid w:val="7BBF0CE0"/>
    <w:rsid w:val="7BE10C35"/>
    <w:rsid w:val="7BFD5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28"/>
      <w:szCs w:val="28"/>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页眉 字符"/>
    <w:basedOn w:val="8"/>
    <w:link w:val="5"/>
    <w:qFormat/>
    <w:uiPriority w:val="99"/>
    <w:rPr>
      <w:rFonts w:cs="仿宋_GB2312" w:asciiTheme="minorHAnsi" w:hAnsiTheme="minorHAnsi" w:eastAsiaTheme="minorEastAsia"/>
      <w:sz w:val="18"/>
      <w:szCs w:val="18"/>
    </w:rPr>
  </w:style>
  <w:style w:type="character" w:customStyle="1" w:styleId="11">
    <w:name w:val="页脚 字符"/>
    <w:basedOn w:val="8"/>
    <w:link w:val="4"/>
    <w:qFormat/>
    <w:uiPriority w:val="99"/>
    <w:rPr>
      <w:rFonts w:cs="仿宋_GB2312" w:asciiTheme="minorHAnsi" w:hAnsiTheme="minorHAnsi" w:eastAsiaTheme="minorEastAsia"/>
      <w:sz w:val="18"/>
      <w:szCs w:val="18"/>
    </w:rPr>
  </w:style>
  <w:style w:type="character" w:customStyle="1" w:styleId="12">
    <w:name w:val="Body text|1_"/>
    <w:basedOn w:val="8"/>
    <w:link w:val="13"/>
    <w:qFormat/>
    <w:locked/>
    <w:uiPriority w:val="0"/>
    <w:rPr>
      <w:rFonts w:ascii="宋体" w:hAnsi="宋体" w:cs="宋体"/>
      <w:sz w:val="30"/>
      <w:szCs w:val="30"/>
      <w:lang w:val="zh-TW" w:eastAsia="zh-TW" w:bidi="zh-TW"/>
    </w:rPr>
  </w:style>
  <w:style w:type="paragraph" w:customStyle="1" w:styleId="13">
    <w:name w:val="Body text|1"/>
    <w:basedOn w:val="1"/>
    <w:link w:val="12"/>
    <w:qFormat/>
    <w:uiPriority w:val="0"/>
    <w:pPr>
      <w:spacing w:line="290" w:lineRule="auto"/>
      <w:ind w:firstLine="400"/>
      <w:jc w:val="left"/>
    </w:pPr>
    <w:rPr>
      <w:rFonts w:ascii="宋体" w:hAnsi="宋体" w:eastAsia="宋体" w:cs="宋体"/>
      <w:sz w:val="30"/>
      <w:szCs w:val="30"/>
      <w:lang w:val="zh-TW" w:eastAsia="zh-TW" w:bidi="zh-TW"/>
    </w:rPr>
  </w:style>
  <w:style w:type="character" w:customStyle="1" w:styleId="14">
    <w:name w:val="要点 New"/>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5770</Words>
  <Characters>5831</Characters>
  <Lines>32</Lines>
  <Paragraphs>9</Paragraphs>
  <TotalTime>25</TotalTime>
  <ScaleCrop>false</ScaleCrop>
  <LinksUpToDate>false</LinksUpToDate>
  <CharactersWithSpaces>5894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2021-06-08T07:52:00Z</dcterms:created>
  <dc:creator>HP</dc:creator>
  <cp:lastModifiedBy>指南针</cp:lastModifiedBy>
  <cp:lastPrinted>2022-12-22T00:53:00Z</cp:lastPrinted>
  <dcterms:modified xsi:type="dcterms:W3CDTF">2022-12-22T09:05:19Z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38FBC2F9EA154F9BBB703FE6EAED560C</vt:lpwstr>
  </property>
</Properties>
</file>