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60" w:right="480" w:firstLine="480"/>
      </w:pPr>
    </w:p>
    <w:p>
      <w:pPr>
        <w:ind w:left="960" w:right="480" w:firstLine="480"/>
      </w:pPr>
    </w:p>
    <w:p>
      <w:pPr>
        <w:ind w:left="960" w:right="480" w:firstLine="480"/>
      </w:pPr>
    </w:p>
    <w:p>
      <w:pPr>
        <w:ind w:left="960" w:right="480" w:firstLine="480"/>
      </w:pPr>
    </w:p>
    <w:p>
      <w:pPr>
        <w:ind w:left="960" w:right="480" w:firstLine="480"/>
      </w:pPr>
    </w:p>
    <w:p>
      <w:pPr>
        <w:ind w:left="960" w:right="480" w:firstLine="480"/>
      </w:pPr>
    </w:p>
    <w:p>
      <w:pPr>
        <w:ind w:left="960" w:right="480" w:firstLine="480"/>
      </w:pPr>
    </w:p>
    <w:p>
      <w:pPr>
        <w:ind w:left="0" w:leftChars="0" w:right="0" w:rightChars="0" w:firstLine="0" w:firstLineChars="0"/>
        <w:jc w:val="center"/>
        <w:rPr>
          <w:rFonts w:ascii="黑体" w:hAnsi="黑体" w:eastAsia="黑体"/>
          <w:b/>
          <w:sz w:val="52"/>
          <w:szCs w:val="52"/>
        </w:rPr>
      </w:pPr>
      <w:r>
        <w:rPr>
          <w:rFonts w:hint="eastAsia" w:ascii="黑体" w:hAnsi="黑体" w:eastAsia="黑体"/>
          <w:b/>
          <w:sz w:val="52"/>
          <w:szCs w:val="52"/>
        </w:rPr>
        <w:t>汕尾市绿色建筑发展专项规划（2022-2035年）</w:t>
      </w:r>
    </w:p>
    <w:p>
      <w:pPr>
        <w:ind w:left="0" w:leftChars="0" w:right="0" w:rightChars="0" w:firstLine="0" w:firstLineChars="0"/>
        <w:jc w:val="center"/>
        <w:rPr>
          <w:rFonts w:ascii="黑体" w:hAnsi="黑体" w:eastAsia="黑体"/>
          <w:sz w:val="32"/>
          <w:szCs w:val="32"/>
        </w:rPr>
      </w:pPr>
      <w:r>
        <w:rPr>
          <w:rFonts w:hint="eastAsia" w:ascii="黑体" w:hAnsi="黑体" w:eastAsia="黑体"/>
          <w:sz w:val="32"/>
          <w:szCs w:val="32"/>
        </w:rPr>
        <w:t>（</w:t>
      </w:r>
      <w:r>
        <w:rPr>
          <w:rFonts w:hint="eastAsia" w:ascii="黑体" w:hAnsi="黑体" w:eastAsia="黑体"/>
          <w:sz w:val="32"/>
          <w:szCs w:val="32"/>
          <w:lang w:val="en-US" w:eastAsia="zh-CN"/>
        </w:rPr>
        <w:t>征求意见稿</w:t>
      </w:r>
      <w:r>
        <w:rPr>
          <w:rFonts w:hint="eastAsia" w:ascii="黑体" w:hAnsi="黑体" w:eastAsia="黑体"/>
          <w:sz w:val="32"/>
          <w:szCs w:val="32"/>
        </w:rPr>
        <w:t>）</w:t>
      </w:r>
    </w:p>
    <w:p>
      <w:pPr>
        <w:ind w:left="0" w:leftChars="0" w:right="0" w:rightChars="0" w:firstLine="0" w:firstLineChars="0"/>
        <w:jc w:val="center"/>
        <w:rPr>
          <w:rFonts w:ascii="黑体" w:hAnsi="黑体" w:eastAsia="黑体"/>
          <w:sz w:val="52"/>
          <w:szCs w:val="52"/>
        </w:rPr>
      </w:pPr>
    </w:p>
    <w:p>
      <w:pPr>
        <w:ind w:left="0" w:leftChars="0" w:right="0" w:rightChars="0" w:firstLine="0" w:firstLineChars="0"/>
        <w:jc w:val="center"/>
        <w:rPr>
          <w:rFonts w:ascii="黑体" w:hAnsi="黑体" w:eastAsia="黑体"/>
          <w:sz w:val="52"/>
          <w:szCs w:val="52"/>
        </w:rPr>
      </w:pPr>
    </w:p>
    <w:p>
      <w:pPr>
        <w:ind w:left="0" w:leftChars="0" w:right="0" w:rightChars="0" w:firstLine="0" w:firstLineChars="0"/>
        <w:jc w:val="center"/>
        <w:rPr>
          <w:rFonts w:ascii="黑体" w:hAnsi="黑体" w:eastAsia="黑体"/>
          <w:sz w:val="52"/>
          <w:szCs w:val="52"/>
        </w:rPr>
      </w:pPr>
    </w:p>
    <w:p>
      <w:pPr>
        <w:ind w:left="0" w:leftChars="0" w:right="0" w:rightChars="0" w:firstLine="0" w:firstLineChars="0"/>
        <w:jc w:val="center"/>
        <w:rPr>
          <w:rFonts w:ascii="黑体" w:hAnsi="黑体" w:eastAsia="黑体"/>
          <w:sz w:val="52"/>
          <w:szCs w:val="52"/>
        </w:rPr>
      </w:pPr>
    </w:p>
    <w:p>
      <w:pPr>
        <w:ind w:left="0" w:leftChars="0" w:right="0" w:rightChars="0" w:firstLine="0" w:firstLineChars="0"/>
        <w:jc w:val="center"/>
        <w:rPr>
          <w:rFonts w:ascii="黑体" w:hAnsi="黑体" w:eastAsia="黑体"/>
          <w:sz w:val="52"/>
          <w:szCs w:val="52"/>
        </w:rPr>
      </w:pPr>
    </w:p>
    <w:p>
      <w:pPr>
        <w:ind w:left="0" w:leftChars="0" w:right="0" w:rightChars="0" w:firstLine="0" w:firstLineChars="0"/>
        <w:jc w:val="center"/>
        <w:rPr>
          <w:rFonts w:ascii="黑体" w:hAnsi="黑体" w:eastAsia="黑体"/>
          <w:sz w:val="30"/>
          <w:szCs w:val="30"/>
        </w:rPr>
      </w:pPr>
    </w:p>
    <w:p>
      <w:pPr>
        <w:ind w:left="0" w:leftChars="0" w:right="0" w:rightChars="0" w:firstLine="0" w:firstLineChars="0"/>
        <w:jc w:val="center"/>
        <w:rPr>
          <w:rFonts w:ascii="黑体" w:hAnsi="黑体" w:eastAsia="黑体"/>
          <w:sz w:val="30"/>
          <w:szCs w:val="30"/>
        </w:rPr>
      </w:pPr>
    </w:p>
    <w:p>
      <w:pPr>
        <w:spacing w:line="440" w:lineRule="exact"/>
        <w:ind w:left="0" w:leftChars="0" w:right="0" w:rightChars="0" w:firstLine="0" w:firstLineChars="0"/>
        <w:jc w:val="center"/>
        <w:rPr>
          <w:rFonts w:ascii="黑体" w:hAnsi="黑体" w:eastAsia="黑体"/>
          <w:b/>
          <w:sz w:val="28"/>
          <w:szCs w:val="30"/>
        </w:rPr>
      </w:pPr>
    </w:p>
    <w:p>
      <w:pPr>
        <w:spacing w:line="440" w:lineRule="exact"/>
        <w:ind w:left="0" w:leftChars="0" w:right="0" w:rightChars="0" w:firstLine="0" w:firstLineChars="0"/>
        <w:jc w:val="center"/>
        <w:rPr>
          <w:rFonts w:ascii="黑体" w:hAnsi="黑体" w:eastAsia="黑体"/>
          <w:b/>
          <w:sz w:val="28"/>
          <w:szCs w:val="30"/>
        </w:rPr>
      </w:pPr>
      <w:r>
        <w:rPr>
          <w:rFonts w:hint="eastAsia" w:ascii="黑体" w:hAnsi="黑体" w:eastAsia="黑体"/>
          <w:b/>
          <w:sz w:val="28"/>
          <w:szCs w:val="30"/>
        </w:rPr>
        <w:t>2</w:t>
      </w:r>
      <w:r>
        <w:rPr>
          <w:rFonts w:ascii="黑体" w:hAnsi="黑体" w:eastAsia="黑体"/>
          <w:b/>
          <w:sz w:val="28"/>
          <w:szCs w:val="30"/>
        </w:rPr>
        <w:t>022</w:t>
      </w:r>
      <w:r>
        <w:rPr>
          <w:rFonts w:hint="eastAsia" w:ascii="黑体" w:hAnsi="黑体" w:eastAsia="黑体"/>
          <w:b/>
          <w:sz w:val="28"/>
          <w:szCs w:val="30"/>
        </w:rPr>
        <w:t>年</w:t>
      </w:r>
      <w:r>
        <w:rPr>
          <w:rFonts w:ascii="黑体" w:hAnsi="黑体" w:eastAsia="黑体"/>
          <w:b/>
          <w:sz w:val="28"/>
          <w:szCs w:val="30"/>
        </w:rPr>
        <w:t>10月</w:t>
      </w:r>
    </w:p>
    <w:p>
      <w:pPr>
        <w:pageBreakBefore/>
        <w:tabs>
          <w:tab w:val="left" w:pos="3263"/>
          <w:tab w:val="right" w:leader="middleDot" w:pos="9048"/>
        </w:tabs>
        <w:spacing w:before="93" w:after="93" w:line="240" w:lineRule="auto"/>
        <w:ind w:left="2407" w:leftChars="66" w:right="480" w:hanging="2249" w:hangingChars="800"/>
        <w:rPr>
          <w:rFonts w:ascii="黑体" w:hAnsi="黑体" w:eastAsia="黑体"/>
          <w:sz w:val="28"/>
        </w:rPr>
      </w:pPr>
      <w:r>
        <w:rPr>
          <w:rFonts w:ascii="黑体" w:hAnsi="黑体" w:eastAsia="黑体"/>
          <w:b/>
          <w:bCs/>
          <w:sz w:val="28"/>
        </w:rPr>
        <w:t>项  目  名  称：</w:t>
      </w:r>
      <w:r>
        <w:rPr>
          <w:rFonts w:hint="eastAsia" w:ascii="黑体" w:hAnsi="黑体" w:eastAsia="黑体"/>
          <w:sz w:val="28"/>
        </w:rPr>
        <w:t>汕尾市绿色建筑发展专项规划（2022-2035年）</w:t>
      </w:r>
    </w:p>
    <w:p>
      <w:pPr>
        <w:tabs>
          <w:tab w:val="left" w:pos="3263"/>
          <w:tab w:val="right" w:leader="middleDot" w:pos="9048"/>
        </w:tabs>
        <w:spacing w:before="93" w:after="93" w:line="240" w:lineRule="auto"/>
        <w:ind w:left="0" w:leftChars="0" w:right="480" w:firstLine="186" w:firstLineChars="66"/>
        <w:rPr>
          <w:rFonts w:ascii="黑体" w:hAnsi="黑体" w:eastAsia="黑体"/>
          <w:sz w:val="28"/>
        </w:rPr>
      </w:pPr>
      <w:r>
        <w:rPr>
          <w:rFonts w:ascii="黑体" w:hAnsi="黑体" w:eastAsia="黑体"/>
          <w:b/>
          <w:bCs/>
          <w:sz w:val="28"/>
        </w:rPr>
        <w:t>委  托  单  位：</w:t>
      </w:r>
      <w:r>
        <w:rPr>
          <w:rFonts w:hint="eastAsia" w:ascii="黑体" w:hAnsi="黑体" w:eastAsia="黑体"/>
          <w:bCs/>
          <w:sz w:val="28"/>
        </w:rPr>
        <w:t>汕尾市住房和城乡建设局</w:t>
      </w:r>
    </w:p>
    <w:p>
      <w:pPr>
        <w:tabs>
          <w:tab w:val="left" w:pos="3263"/>
          <w:tab w:val="right" w:leader="middleDot" w:pos="9048"/>
        </w:tabs>
        <w:spacing w:before="93" w:after="93" w:line="240" w:lineRule="auto"/>
        <w:ind w:left="0" w:leftChars="0" w:right="480" w:firstLine="186" w:firstLineChars="66"/>
        <w:rPr>
          <w:rFonts w:ascii="黑体" w:hAnsi="黑体" w:eastAsia="黑体"/>
          <w:sz w:val="28"/>
        </w:rPr>
      </w:pPr>
      <w:r>
        <w:rPr>
          <w:rFonts w:ascii="黑体" w:hAnsi="黑体" w:eastAsia="黑体"/>
          <w:b/>
          <w:bCs/>
          <w:sz w:val="28"/>
        </w:rPr>
        <w:t>编  制  单  位：</w:t>
      </w:r>
      <w:r>
        <w:rPr>
          <w:rFonts w:ascii="黑体" w:hAnsi="黑体" w:eastAsia="黑体"/>
          <w:sz w:val="28"/>
        </w:rPr>
        <w:t>广东省建科建筑设计院有限公司</w:t>
      </w:r>
    </w:p>
    <w:p>
      <w:pPr>
        <w:tabs>
          <w:tab w:val="left" w:pos="3012"/>
          <w:tab w:val="right" w:leader="middleDot" w:pos="9048"/>
        </w:tabs>
        <w:spacing w:before="93" w:after="93" w:line="240" w:lineRule="auto"/>
        <w:ind w:left="0" w:leftChars="0" w:right="480" w:firstLine="186" w:firstLineChars="66"/>
        <w:rPr>
          <w:rFonts w:ascii="黑体" w:hAnsi="黑体" w:eastAsia="黑体"/>
          <w:sz w:val="28"/>
        </w:rPr>
      </w:pPr>
      <w:r>
        <w:rPr>
          <w:rFonts w:ascii="黑体" w:hAnsi="黑体" w:eastAsia="黑体"/>
          <w:b/>
          <w:bCs/>
          <w:sz w:val="28"/>
        </w:rPr>
        <w:t>城乡规划编制资质证书等级：</w:t>
      </w:r>
      <w:r>
        <w:rPr>
          <w:rFonts w:ascii="黑体" w:hAnsi="黑体" w:eastAsia="黑体"/>
          <w:sz w:val="28"/>
        </w:rPr>
        <w:t>甲   级</w:t>
      </w:r>
    </w:p>
    <w:p>
      <w:pPr>
        <w:tabs>
          <w:tab w:val="left" w:pos="3012"/>
          <w:tab w:val="right" w:leader="middleDot" w:pos="9048"/>
        </w:tabs>
        <w:spacing w:before="93" w:after="93" w:line="240" w:lineRule="auto"/>
        <w:ind w:left="0" w:leftChars="0" w:right="480" w:firstLine="186" w:firstLineChars="66"/>
        <w:rPr>
          <w:rFonts w:ascii="黑体" w:hAnsi="黑体" w:eastAsia="黑体"/>
          <w:sz w:val="28"/>
        </w:rPr>
      </w:pPr>
      <w:r>
        <w:rPr>
          <w:rFonts w:ascii="黑体" w:hAnsi="黑体" w:eastAsia="黑体"/>
          <w:b/>
          <w:bCs/>
          <w:sz w:val="28"/>
        </w:rPr>
        <w:t>城乡规划编制资质证书编号：</w:t>
      </w:r>
      <w:r>
        <w:rPr>
          <w:rFonts w:ascii="黑体" w:hAnsi="黑体" w:eastAsia="黑体"/>
          <w:sz w:val="28"/>
        </w:rPr>
        <w:t>［建］城规编（141229）</w:t>
      </w:r>
    </w:p>
    <w:p>
      <w:pPr>
        <w:tabs>
          <w:tab w:val="left" w:pos="3012"/>
          <w:tab w:val="right" w:leader="middleDot" w:pos="9048"/>
        </w:tabs>
        <w:spacing w:before="93" w:after="93" w:line="240" w:lineRule="auto"/>
        <w:ind w:left="0" w:leftChars="0" w:right="480" w:firstLine="186" w:firstLineChars="66"/>
        <w:rPr>
          <w:rFonts w:ascii="黑体" w:hAnsi="黑体" w:eastAsia="黑体"/>
          <w:sz w:val="28"/>
        </w:rPr>
      </w:pPr>
      <w:r>
        <w:rPr>
          <w:rFonts w:ascii="黑体" w:hAnsi="黑体" w:eastAsia="黑体"/>
          <w:b/>
          <w:bCs/>
          <w:sz w:val="28"/>
        </w:rPr>
        <w:t>院    长：</w:t>
      </w:r>
      <w:r>
        <w:rPr>
          <w:rFonts w:hint="eastAsia" w:ascii="黑体" w:hAnsi="黑体" w:eastAsia="黑体"/>
          <w:sz w:val="28"/>
        </w:rPr>
        <w:t xml:space="preserve">郭俊杰  教授级高级工程师 </w:t>
      </w:r>
      <w:r>
        <w:rPr>
          <w:rFonts w:ascii="黑体" w:hAnsi="黑体" w:eastAsia="黑体"/>
          <w:sz w:val="28"/>
        </w:rPr>
        <w:t xml:space="preserve"> </w:t>
      </w:r>
      <w:r>
        <w:rPr>
          <w:rFonts w:hint="eastAsia" w:ascii="黑体" w:hAnsi="黑体" w:eastAsia="黑体"/>
          <w:sz w:val="28"/>
        </w:rPr>
        <w:t>注册城市规划师</w:t>
      </w:r>
    </w:p>
    <w:p>
      <w:pPr>
        <w:tabs>
          <w:tab w:val="left" w:pos="3012"/>
          <w:tab w:val="right" w:leader="middleDot" w:pos="9048"/>
        </w:tabs>
        <w:spacing w:before="93" w:after="93" w:line="240" w:lineRule="auto"/>
        <w:ind w:left="0" w:leftChars="0" w:right="480" w:firstLine="186" w:firstLineChars="66"/>
        <w:rPr>
          <w:rFonts w:ascii="黑体" w:hAnsi="黑体" w:eastAsia="黑体"/>
          <w:b/>
          <w:bCs/>
          <w:sz w:val="28"/>
        </w:rPr>
      </w:pPr>
      <w:r>
        <w:rPr>
          <w:rFonts w:ascii="黑体" w:hAnsi="黑体" w:eastAsia="黑体"/>
          <w:b/>
          <w:bCs/>
          <w:sz w:val="28"/>
        </w:rPr>
        <w:t>总工程师：</w:t>
      </w:r>
      <w:r>
        <w:rPr>
          <w:rFonts w:ascii="黑体" w:hAnsi="黑体" w:eastAsia="黑体"/>
          <w:sz w:val="28"/>
        </w:rPr>
        <w:t>徐其功</w:t>
      </w:r>
      <w:r>
        <w:rPr>
          <w:rFonts w:hint="eastAsia" w:ascii="黑体" w:hAnsi="黑体" w:eastAsia="黑体"/>
          <w:sz w:val="28"/>
        </w:rPr>
        <w:t xml:space="preserve"> </w:t>
      </w:r>
      <w:r>
        <w:rPr>
          <w:rFonts w:ascii="黑体" w:hAnsi="黑体" w:eastAsia="黑体"/>
          <w:sz w:val="28"/>
        </w:rPr>
        <w:t xml:space="preserve"> 教授级高级工程师</w:t>
      </w:r>
    </w:p>
    <w:p>
      <w:pPr>
        <w:tabs>
          <w:tab w:val="left" w:pos="3012"/>
          <w:tab w:val="right" w:leader="middleDot" w:pos="9048"/>
        </w:tabs>
        <w:spacing w:before="93" w:after="93" w:line="240" w:lineRule="auto"/>
        <w:ind w:left="0" w:leftChars="0" w:right="480" w:firstLine="186" w:firstLineChars="66"/>
        <w:rPr>
          <w:rFonts w:ascii="黑体" w:hAnsi="黑体" w:eastAsia="黑体"/>
          <w:b/>
          <w:bCs/>
          <w:sz w:val="28"/>
        </w:rPr>
      </w:pPr>
    </w:p>
    <w:p>
      <w:pPr>
        <w:tabs>
          <w:tab w:val="left" w:pos="3012"/>
          <w:tab w:val="right" w:leader="middleDot" w:pos="9048"/>
        </w:tabs>
        <w:spacing w:before="93" w:after="93" w:line="240" w:lineRule="auto"/>
        <w:ind w:left="0" w:leftChars="0" w:right="480" w:firstLine="186" w:firstLineChars="66"/>
        <w:rPr>
          <w:rFonts w:ascii="黑体" w:hAnsi="黑体" w:eastAsia="黑体"/>
          <w:b/>
          <w:bCs/>
          <w:sz w:val="28"/>
        </w:rPr>
      </w:pPr>
      <w:r>
        <w:rPr>
          <w:rFonts w:ascii="黑体" w:hAnsi="黑体" w:eastAsia="黑体"/>
          <w:b/>
          <w:bCs/>
          <w:sz w:val="28"/>
        </w:rPr>
        <w:t>院城乡规划设计成果专用章：</w:t>
      </w:r>
    </w:p>
    <w:p>
      <w:pPr>
        <w:tabs>
          <w:tab w:val="left" w:pos="3012"/>
          <w:tab w:val="right" w:leader="middleDot" w:pos="9048"/>
        </w:tabs>
        <w:spacing w:before="93" w:after="93" w:line="240" w:lineRule="auto"/>
        <w:ind w:left="0" w:leftChars="0" w:right="480" w:firstLine="643"/>
        <w:rPr>
          <w:rFonts w:ascii="黑体" w:hAnsi="黑体" w:eastAsia="黑体"/>
          <w:b/>
          <w:bCs/>
          <w:sz w:val="32"/>
        </w:rPr>
      </w:pPr>
    </w:p>
    <w:p>
      <w:pPr>
        <w:tabs>
          <w:tab w:val="left" w:pos="3012"/>
          <w:tab w:val="right" w:leader="middleDot" w:pos="9048"/>
        </w:tabs>
        <w:spacing w:before="93" w:after="93" w:line="240" w:lineRule="auto"/>
        <w:ind w:left="0" w:leftChars="0" w:right="480" w:firstLine="643"/>
        <w:rPr>
          <w:rFonts w:ascii="黑体" w:hAnsi="黑体" w:eastAsia="黑体"/>
          <w:b/>
          <w:bCs/>
          <w:sz w:val="32"/>
        </w:rPr>
      </w:pPr>
    </w:p>
    <w:p>
      <w:pPr>
        <w:tabs>
          <w:tab w:val="left" w:pos="3012"/>
          <w:tab w:val="right" w:leader="middleDot" w:pos="9048"/>
        </w:tabs>
        <w:spacing w:before="93" w:after="93" w:line="240" w:lineRule="auto"/>
        <w:ind w:left="0" w:leftChars="0" w:right="480" w:firstLine="643"/>
        <w:rPr>
          <w:rFonts w:ascii="黑体" w:hAnsi="黑体" w:eastAsia="黑体"/>
          <w:b/>
          <w:bCs/>
          <w:sz w:val="32"/>
        </w:rPr>
      </w:pPr>
    </w:p>
    <w:p>
      <w:pPr>
        <w:tabs>
          <w:tab w:val="left" w:pos="3012"/>
          <w:tab w:val="right" w:leader="middleDot" w:pos="9048"/>
        </w:tabs>
        <w:spacing w:before="93" w:after="93" w:line="240" w:lineRule="auto"/>
        <w:ind w:left="0" w:leftChars="0" w:right="480" w:firstLine="643"/>
        <w:rPr>
          <w:rFonts w:ascii="黑体" w:hAnsi="黑体" w:eastAsia="黑体"/>
          <w:b/>
          <w:bCs/>
          <w:sz w:val="32"/>
        </w:rPr>
      </w:pPr>
    </w:p>
    <w:p>
      <w:pPr>
        <w:tabs>
          <w:tab w:val="left" w:pos="2320"/>
          <w:tab w:val="left" w:pos="2529"/>
          <w:tab w:val="right" w:pos="4292"/>
          <w:tab w:val="left" w:pos="5480"/>
          <w:tab w:val="right" w:leader="middleDot" w:pos="9048"/>
        </w:tabs>
        <w:spacing w:before="93" w:after="93"/>
        <w:ind w:left="0" w:leftChars="0" w:right="480" w:firstLine="228" w:firstLineChars="71"/>
        <w:jc w:val="center"/>
        <w:rPr>
          <w:rFonts w:ascii="黑体" w:hAnsi="黑体" w:eastAsia="黑体"/>
          <w:b/>
          <w:bCs/>
          <w:sz w:val="32"/>
        </w:rPr>
      </w:pPr>
      <w:r>
        <w:rPr>
          <w:rFonts w:ascii="黑体" w:hAnsi="黑体" w:eastAsia="黑体"/>
          <w:b/>
          <w:bCs/>
          <w:sz w:val="32"/>
        </w:rPr>
        <w:drawing>
          <wp:inline distT="0" distB="0" distL="0" distR="0">
            <wp:extent cx="5400675" cy="381952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675" cy="3819525"/>
                    </a:xfrm>
                    <a:prstGeom prst="rect">
                      <a:avLst/>
                    </a:prstGeom>
                  </pic:spPr>
                </pic:pic>
              </a:graphicData>
            </a:graphic>
          </wp:inline>
        </w:drawing>
      </w:r>
    </w:p>
    <w:p>
      <w:pPr>
        <w:tabs>
          <w:tab w:val="left" w:pos="3012"/>
          <w:tab w:val="right" w:leader="middleDot" w:pos="9048"/>
        </w:tabs>
        <w:spacing w:before="93" w:after="93" w:line="240" w:lineRule="auto"/>
        <w:ind w:left="0" w:leftChars="0" w:right="480" w:firstLine="0" w:firstLineChars="0"/>
        <w:rPr>
          <w:rFonts w:ascii="黑体" w:hAnsi="黑体" w:eastAsia="黑体"/>
          <w:b/>
          <w:bCs/>
          <w:sz w:val="32"/>
        </w:rPr>
      </w:pPr>
    </w:p>
    <w:p>
      <w:pPr>
        <w:tabs>
          <w:tab w:val="left" w:pos="3012"/>
          <w:tab w:val="right" w:leader="middleDot" w:pos="9048"/>
        </w:tabs>
        <w:spacing w:before="93" w:after="93" w:line="240" w:lineRule="auto"/>
        <w:ind w:left="0" w:leftChars="0" w:right="480" w:firstLine="0" w:firstLineChars="0"/>
        <w:rPr>
          <w:rFonts w:ascii="黑体" w:hAnsi="黑体" w:eastAsia="黑体"/>
          <w:sz w:val="28"/>
        </w:rPr>
      </w:pPr>
      <w:r>
        <w:rPr>
          <w:rFonts w:ascii="黑体" w:hAnsi="黑体" w:eastAsia="黑体"/>
          <w:b/>
          <w:bCs/>
          <w:sz w:val="28"/>
        </w:rPr>
        <w:t>规划设计编制完成时间：</w:t>
      </w:r>
      <w:r>
        <w:rPr>
          <w:rFonts w:ascii="黑体" w:hAnsi="黑体" w:eastAsia="黑体"/>
          <w:sz w:val="28"/>
        </w:rPr>
        <w:t>2022年10月</w:t>
      </w:r>
    </w:p>
    <w:tbl>
      <w:tblPr>
        <w:tblStyle w:val="39"/>
        <w:tblW w:w="5000" w:type="pct"/>
        <w:jc w:val="center"/>
        <w:tblLayout w:type="autofit"/>
        <w:tblCellMar>
          <w:top w:w="0" w:type="dxa"/>
          <w:left w:w="108" w:type="dxa"/>
          <w:bottom w:w="0" w:type="dxa"/>
          <w:right w:w="108" w:type="dxa"/>
        </w:tblCellMar>
      </w:tblPr>
      <w:tblGrid>
        <w:gridCol w:w="2180"/>
        <w:gridCol w:w="1455"/>
        <w:gridCol w:w="2325"/>
        <w:gridCol w:w="2761"/>
      </w:tblGrid>
      <w:tr>
        <w:tblPrEx>
          <w:tblCellMar>
            <w:top w:w="0" w:type="dxa"/>
            <w:left w:w="108" w:type="dxa"/>
            <w:bottom w:w="0" w:type="dxa"/>
            <w:right w:w="108" w:type="dxa"/>
          </w:tblCellMar>
        </w:tblPrEx>
        <w:trPr>
          <w:jc w:val="center"/>
        </w:trPr>
        <w:tc>
          <w:tcPr>
            <w:tcW w:w="1250"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b/>
                <w:bCs/>
                <w:kern w:val="0"/>
              </w:rPr>
            </w:pPr>
            <w:r>
              <w:rPr>
                <w:rFonts w:ascii="黑体" w:hAnsi="黑体" w:eastAsia="黑体"/>
                <w:b/>
                <w:bCs/>
                <w:kern w:val="0"/>
              </w:rPr>
              <w:t>项目审核人：</w:t>
            </w:r>
          </w:p>
        </w:tc>
        <w:tc>
          <w:tcPr>
            <w:tcW w:w="834"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ascii="黑体" w:hAnsi="黑体" w:eastAsia="黑体"/>
              </w:rPr>
              <w:t>曾胜庭</w:t>
            </w:r>
          </w:p>
        </w:tc>
        <w:tc>
          <w:tcPr>
            <w:tcW w:w="133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ascii="黑体" w:hAnsi="黑体" w:eastAsia="黑体"/>
              </w:rPr>
              <w:t>所</w:t>
            </w:r>
            <w:r>
              <w:rPr>
                <w:rFonts w:hint="eastAsia" w:ascii="黑体" w:hAnsi="黑体" w:eastAsia="黑体"/>
              </w:rPr>
              <w:t xml:space="preserve"> </w:t>
            </w:r>
            <w:r>
              <w:rPr>
                <w:rFonts w:ascii="黑体" w:hAnsi="黑体" w:eastAsia="黑体"/>
              </w:rPr>
              <w:t xml:space="preserve"> 长</w:t>
            </w:r>
          </w:p>
        </w:tc>
        <w:tc>
          <w:tcPr>
            <w:tcW w:w="158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ascii="黑体" w:hAnsi="黑体" w:eastAsia="黑体"/>
              </w:rPr>
              <w:t>高级工程师</w:t>
            </w:r>
            <w:r>
              <w:rPr>
                <w:rFonts w:hint="eastAsia" w:ascii="黑体" w:hAnsi="黑体" w:eastAsia="黑体"/>
              </w:rPr>
              <w:t>、</w:t>
            </w:r>
            <w:r>
              <w:rPr>
                <w:rFonts w:ascii="黑体" w:hAnsi="黑体" w:eastAsia="黑体"/>
              </w:rPr>
              <w:t>注册城乡规划师</w:t>
            </w:r>
          </w:p>
        </w:tc>
      </w:tr>
      <w:tr>
        <w:tblPrEx>
          <w:tblCellMar>
            <w:top w:w="0" w:type="dxa"/>
            <w:left w:w="108" w:type="dxa"/>
            <w:bottom w:w="0" w:type="dxa"/>
            <w:right w:w="108" w:type="dxa"/>
          </w:tblCellMar>
        </w:tblPrEx>
        <w:trPr>
          <w:jc w:val="center"/>
        </w:trPr>
        <w:tc>
          <w:tcPr>
            <w:tcW w:w="1250"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b/>
                <w:bCs/>
                <w:kern w:val="0"/>
              </w:rPr>
            </w:pPr>
            <w:r>
              <w:rPr>
                <w:rFonts w:ascii="黑体" w:hAnsi="黑体" w:eastAsia="黑体"/>
                <w:b/>
                <w:bCs/>
                <w:kern w:val="0"/>
              </w:rPr>
              <w:t>项目校对人</w:t>
            </w:r>
            <w:r>
              <w:rPr>
                <w:rFonts w:hint="eastAsia" w:ascii="黑体" w:hAnsi="黑体" w:eastAsia="黑体"/>
                <w:b/>
                <w:bCs/>
                <w:kern w:val="0"/>
              </w:rPr>
              <w:t>：</w:t>
            </w:r>
          </w:p>
        </w:tc>
        <w:tc>
          <w:tcPr>
            <w:tcW w:w="834"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ascii="黑体" w:hAnsi="黑体" w:eastAsia="黑体"/>
              </w:rPr>
              <w:t>陈龙喜</w:t>
            </w:r>
          </w:p>
        </w:tc>
        <w:tc>
          <w:tcPr>
            <w:tcW w:w="133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ascii="黑体" w:hAnsi="黑体" w:eastAsia="黑体"/>
              </w:rPr>
              <w:t>所副总工程师</w:t>
            </w:r>
          </w:p>
        </w:tc>
        <w:tc>
          <w:tcPr>
            <w:tcW w:w="158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ascii="黑体" w:hAnsi="黑体" w:eastAsia="黑体"/>
              </w:rPr>
              <w:t>高级工程师</w:t>
            </w:r>
          </w:p>
        </w:tc>
      </w:tr>
      <w:tr>
        <w:tblPrEx>
          <w:tblCellMar>
            <w:top w:w="0" w:type="dxa"/>
            <w:left w:w="108" w:type="dxa"/>
            <w:bottom w:w="0" w:type="dxa"/>
            <w:right w:w="108" w:type="dxa"/>
          </w:tblCellMar>
        </w:tblPrEx>
        <w:trPr>
          <w:jc w:val="center"/>
        </w:trPr>
        <w:tc>
          <w:tcPr>
            <w:tcW w:w="1250"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b/>
                <w:bCs/>
                <w:kern w:val="0"/>
              </w:rPr>
            </w:pPr>
            <w:r>
              <w:rPr>
                <w:rFonts w:ascii="黑体" w:hAnsi="黑体" w:eastAsia="黑体"/>
                <w:b/>
                <w:bCs/>
                <w:kern w:val="0"/>
              </w:rPr>
              <w:t>项目负责人：</w:t>
            </w:r>
          </w:p>
        </w:tc>
        <w:tc>
          <w:tcPr>
            <w:tcW w:w="834"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ascii="黑体" w:hAnsi="黑体" w:eastAsia="黑体"/>
              </w:rPr>
              <w:t>徐志标</w:t>
            </w:r>
          </w:p>
        </w:tc>
        <w:tc>
          <w:tcPr>
            <w:tcW w:w="133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ascii="黑体" w:hAnsi="黑体" w:eastAsia="黑体"/>
              </w:rPr>
              <w:t>所总工程师</w:t>
            </w:r>
          </w:p>
        </w:tc>
        <w:tc>
          <w:tcPr>
            <w:tcW w:w="158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ascii="黑体" w:hAnsi="黑体" w:eastAsia="黑体"/>
              </w:rPr>
              <w:t>高级工程师</w:t>
            </w:r>
            <w:r>
              <w:rPr>
                <w:rFonts w:hint="eastAsia" w:ascii="黑体" w:hAnsi="黑体" w:eastAsia="黑体"/>
              </w:rPr>
              <w:t>、</w:t>
            </w:r>
            <w:r>
              <w:rPr>
                <w:rFonts w:ascii="黑体" w:hAnsi="黑体" w:eastAsia="黑体"/>
              </w:rPr>
              <w:t>注册公用设备工程师</w:t>
            </w:r>
          </w:p>
        </w:tc>
      </w:tr>
      <w:tr>
        <w:tblPrEx>
          <w:tblCellMar>
            <w:top w:w="0" w:type="dxa"/>
            <w:left w:w="108" w:type="dxa"/>
            <w:bottom w:w="0" w:type="dxa"/>
            <w:right w:w="108" w:type="dxa"/>
          </w:tblCellMar>
        </w:tblPrEx>
        <w:trPr>
          <w:jc w:val="center"/>
        </w:trPr>
        <w:tc>
          <w:tcPr>
            <w:tcW w:w="1250"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b/>
                <w:bCs/>
                <w:kern w:val="0"/>
              </w:rPr>
            </w:pPr>
            <w:r>
              <w:rPr>
                <w:rFonts w:ascii="黑体" w:hAnsi="黑体" w:eastAsia="黑体"/>
                <w:b/>
                <w:bCs/>
                <w:kern w:val="0"/>
              </w:rPr>
              <w:t>项目组成员：</w:t>
            </w:r>
          </w:p>
        </w:tc>
        <w:tc>
          <w:tcPr>
            <w:tcW w:w="834"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hint="eastAsia" w:ascii="黑体" w:hAnsi="黑体" w:eastAsia="黑体"/>
              </w:rPr>
              <w:t>萧颖莹</w:t>
            </w:r>
          </w:p>
        </w:tc>
        <w:tc>
          <w:tcPr>
            <w:tcW w:w="133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p>
        </w:tc>
        <w:tc>
          <w:tcPr>
            <w:tcW w:w="158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bookmarkStart w:id="0" w:name="OLE_LINK99"/>
            <w:bookmarkStart w:id="1" w:name="OLE_LINK96"/>
            <w:bookmarkStart w:id="2" w:name="OLE_LINK95"/>
            <w:bookmarkStart w:id="3" w:name="OLE_LINK97"/>
            <w:bookmarkStart w:id="4" w:name="OLE_LINK98"/>
            <w:bookmarkStart w:id="5" w:name="OLE_LINK94"/>
            <w:r>
              <w:rPr>
                <w:rFonts w:ascii="黑体" w:hAnsi="黑体" w:eastAsia="黑体"/>
              </w:rPr>
              <w:t>工</w:t>
            </w:r>
            <w:r>
              <w:rPr>
                <w:rFonts w:hint="eastAsia" w:ascii="黑体" w:hAnsi="黑体" w:eastAsia="黑体"/>
              </w:rPr>
              <w:t xml:space="preserve"> </w:t>
            </w:r>
            <w:r>
              <w:rPr>
                <w:rFonts w:ascii="黑体" w:hAnsi="黑体" w:eastAsia="黑体"/>
              </w:rPr>
              <w:t xml:space="preserve"> 程</w:t>
            </w:r>
            <w:r>
              <w:rPr>
                <w:rFonts w:hint="eastAsia" w:ascii="黑体" w:hAnsi="黑体" w:eastAsia="黑体"/>
              </w:rPr>
              <w:t xml:space="preserve">  </w:t>
            </w:r>
            <w:r>
              <w:rPr>
                <w:rFonts w:ascii="黑体" w:hAnsi="黑体" w:eastAsia="黑体"/>
              </w:rPr>
              <w:t>师</w:t>
            </w:r>
            <w:bookmarkEnd w:id="0"/>
            <w:bookmarkEnd w:id="1"/>
            <w:bookmarkEnd w:id="2"/>
            <w:bookmarkEnd w:id="3"/>
            <w:bookmarkEnd w:id="4"/>
            <w:bookmarkEnd w:id="5"/>
          </w:p>
        </w:tc>
      </w:tr>
      <w:tr>
        <w:tblPrEx>
          <w:tblCellMar>
            <w:top w:w="0" w:type="dxa"/>
            <w:left w:w="108" w:type="dxa"/>
            <w:bottom w:w="0" w:type="dxa"/>
            <w:right w:w="108" w:type="dxa"/>
          </w:tblCellMar>
        </w:tblPrEx>
        <w:trPr>
          <w:jc w:val="center"/>
        </w:trPr>
        <w:tc>
          <w:tcPr>
            <w:tcW w:w="1250"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b/>
                <w:bCs/>
                <w:kern w:val="0"/>
              </w:rPr>
            </w:pPr>
          </w:p>
        </w:tc>
        <w:tc>
          <w:tcPr>
            <w:tcW w:w="834"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hint="eastAsia" w:ascii="黑体" w:hAnsi="黑体" w:eastAsia="黑体"/>
              </w:rPr>
              <w:t xml:space="preserve">刘 </w:t>
            </w:r>
            <w:r>
              <w:rPr>
                <w:rFonts w:ascii="黑体" w:hAnsi="黑体" w:eastAsia="黑体"/>
              </w:rPr>
              <w:t xml:space="preserve"> </w:t>
            </w:r>
            <w:r>
              <w:rPr>
                <w:rFonts w:hint="eastAsia" w:ascii="黑体" w:hAnsi="黑体" w:eastAsia="黑体"/>
              </w:rPr>
              <w:t>琳</w:t>
            </w:r>
          </w:p>
        </w:tc>
        <w:tc>
          <w:tcPr>
            <w:tcW w:w="133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p>
        </w:tc>
        <w:tc>
          <w:tcPr>
            <w:tcW w:w="158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ascii="黑体" w:hAnsi="黑体" w:eastAsia="黑体"/>
              </w:rPr>
              <w:t>工</w:t>
            </w:r>
            <w:r>
              <w:rPr>
                <w:rFonts w:hint="eastAsia" w:ascii="黑体" w:hAnsi="黑体" w:eastAsia="黑体"/>
              </w:rPr>
              <w:t xml:space="preserve"> </w:t>
            </w:r>
            <w:r>
              <w:rPr>
                <w:rFonts w:ascii="黑体" w:hAnsi="黑体" w:eastAsia="黑体"/>
              </w:rPr>
              <w:t xml:space="preserve"> 程</w:t>
            </w:r>
            <w:r>
              <w:rPr>
                <w:rFonts w:hint="eastAsia" w:ascii="黑体" w:hAnsi="黑体" w:eastAsia="黑体"/>
              </w:rPr>
              <w:t xml:space="preserve">  </w:t>
            </w:r>
            <w:r>
              <w:rPr>
                <w:rFonts w:ascii="黑体" w:hAnsi="黑体" w:eastAsia="黑体"/>
              </w:rPr>
              <w:t>师</w:t>
            </w:r>
          </w:p>
        </w:tc>
      </w:tr>
      <w:tr>
        <w:tblPrEx>
          <w:tblCellMar>
            <w:top w:w="0" w:type="dxa"/>
            <w:left w:w="108" w:type="dxa"/>
            <w:bottom w:w="0" w:type="dxa"/>
            <w:right w:w="108" w:type="dxa"/>
          </w:tblCellMar>
        </w:tblPrEx>
        <w:trPr>
          <w:jc w:val="center"/>
        </w:trPr>
        <w:tc>
          <w:tcPr>
            <w:tcW w:w="1250"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b/>
                <w:bCs/>
                <w:kern w:val="0"/>
              </w:rPr>
            </w:pPr>
          </w:p>
        </w:tc>
        <w:tc>
          <w:tcPr>
            <w:tcW w:w="834"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hint="eastAsia" w:ascii="黑体" w:hAnsi="黑体" w:eastAsia="黑体"/>
              </w:rPr>
              <w:t>田晓平</w:t>
            </w:r>
          </w:p>
        </w:tc>
        <w:tc>
          <w:tcPr>
            <w:tcW w:w="133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p>
        </w:tc>
        <w:tc>
          <w:tcPr>
            <w:tcW w:w="158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ascii="黑体" w:hAnsi="黑体" w:eastAsia="黑体"/>
              </w:rPr>
              <w:t>助理工程师</w:t>
            </w:r>
          </w:p>
        </w:tc>
      </w:tr>
      <w:tr>
        <w:tblPrEx>
          <w:tblCellMar>
            <w:top w:w="0" w:type="dxa"/>
            <w:left w:w="108" w:type="dxa"/>
            <w:bottom w:w="0" w:type="dxa"/>
            <w:right w:w="108" w:type="dxa"/>
          </w:tblCellMar>
        </w:tblPrEx>
        <w:trPr>
          <w:jc w:val="center"/>
        </w:trPr>
        <w:tc>
          <w:tcPr>
            <w:tcW w:w="1250"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b/>
                <w:bCs/>
                <w:kern w:val="0"/>
              </w:rPr>
            </w:pPr>
          </w:p>
        </w:tc>
        <w:tc>
          <w:tcPr>
            <w:tcW w:w="834"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hint="eastAsia" w:ascii="黑体" w:hAnsi="黑体" w:eastAsia="黑体"/>
              </w:rPr>
              <w:t>周明明</w:t>
            </w:r>
          </w:p>
        </w:tc>
        <w:tc>
          <w:tcPr>
            <w:tcW w:w="133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p>
        </w:tc>
        <w:tc>
          <w:tcPr>
            <w:tcW w:w="158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ascii="黑体" w:hAnsi="黑体" w:eastAsia="黑体"/>
              </w:rPr>
              <w:t>工</w:t>
            </w:r>
            <w:r>
              <w:rPr>
                <w:rFonts w:hint="eastAsia" w:ascii="黑体" w:hAnsi="黑体" w:eastAsia="黑体"/>
              </w:rPr>
              <w:t xml:space="preserve"> </w:t>
            </w:r>
            <w:r>
              <w:rPr>
                <w:rFonts w:ascii="黑体" w:hAnsi="黑体" w:eastAsia="黑体"/>
              </w:rPr>
              <w:t xml:space="preserve"> 程</w:t>
            </w:r>
            <w:r>
              <w:rPr>
                <w:rFonts w:hint="eastAsia" w:ascii="黑体" w:hAnsi="黑体" w:eastAsia="黑体"/>
              </w:rPr>
              <w:t xml:space="preserve">  </w:t>
            </w:r>
            <w:r>
              <w:rPr>
                <w:rFonts w:ascii="黑体" w:hAnsi="黑体" w:eastAsia="黑体"/>
              </w:rPr>
              <w:t>师</w:t>
            </w:r>
          </w:p>
        </w:tc>
      </w:tr>
      <w:tr>
        <w:tblPrEx>
          <w:tblCellMar>
            <w:top w:w="0" w:type="dxa"/>
            <w:left w:w="108" w:type="dxa"/>
            <w:bottom w:w="0" w:type="dxa"/>
            <w:right w:w="108" w:type="dxa"/>
          </w:tblCellMar>
        </w:tblPrEx>
        <w:trPr>
          <w:jc w:val="center"/>
        </w:trPr>
        <w:tc>
          <w:tcPr>
            <w:tcW w:w="1250"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b/>
                <w:bCs/>
                <w:kern w:val="0"/>
              </w:rPr>
            </w:pPr>
          </w:p>
        </w:tc>
        <w:tc>
          <w:tcPr>
            <w:tcW w:w="834"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ascii="黑体" w:hAnsi="黑体" w:eastAsia="黑体"/>
              </w:rPr>
              <w:t>麦</w:t>
            </w:r>
            <w:r>
              <w:rPr>
                <w:rFonts w:hint="eastAsia" w:ascii="黑体" w:hAnsi="黑体" w:eastAsia="黑体"/>
              </w:rPr>
              <w:t xml:space="preserve"> </w:t>
            </w:r>
            <w:r>
              <w:rPr>
                <w:rFonts w:ascii="黑体" w:hAnsi="黑体" w:eastAsia="黑体"/>
              </w:rPr>
              <w:t xml:space="preserve"> 琳</w:t>
            </w:r>
          </w:p>
        </w:tc>
        <w:tc>
          <w:tcPr>
            <w:tcW w:w="133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p>
        </w:tc>
        <w:tc>
          <w:tcPr>
            <w:tcW w:w="158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ascii="黑体" w:hAnsi="黑体" w:eastAsia="黑体"/>
              </w:rPr>
              <w:t>助理工程师</w:t>
            </w:r>
          </w:p>
        </w:tc>
      </w:tr>
      <w:tr>
        <w:tblPrEx>
          <w:tblCellMar>
            <w:top w:w="0" w:type="dxa"/>
            <w:left w:w="108" w:type="dxa"/>
            <w:bottom w:w="0" w:type="dxa"/>
            <w:right w:w="108" w:type="dxa"/>
          </w:tblCellMar>
        </w:tblPrEx>
        <w:trPr>
          <w:jc w:val="center"/>
        </w:trPr>
        <w:tc>
          <w:tcPr>
            <w:tcW w:w="1250"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b/>
                <w:bCs/>
                <w:kern w:val="0"/>
              </w:rPr>
            </w:pPr>
          </w:p>
        </w:tc>
        <w:tc>
          <w:tcPr>
            <w:tcW w:w="834"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hint="eastAsia" w:ascii="黑体" w:hAnsi="黑体" w:eastAsia="黑体"/>
              </w:rPr>
              <w:t>张梓豪</w:t>
            </w:r>
          </w:p>
        </w:tc>
        <w:tc>
          <w:tcPr>
            <w:tcW w:w="133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p>
        </w:tc>
        <w:tc>
          <w:tcPr>
            <w:tcW w:w="158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r>
              <w:rPr>
                <w:rFonts w:ascii="黑体" w:hAnsi="黑体" w:eastAsia="黑体"/>
              </w:rPr>
              <w:t>助理工程师</w:t>
            </w:r>
          </w:p>
        </w:tc>
      </w:tr>
      <w:tr>
        <w:tblPrEx>
          <w:tblCellMar>
            <w:top w:w="0" w:type="dxa"/>
            <w:left w:w="108" w:type="dxa"/>
            <w:bottom w:w="0" w:type="dxa"/>
            <w:right w:w="108" w:type="dxa"/>
          </w:tblCellMar>
        </w:tblPrEx>
        <w:trPr>
          <w:jc w:val="center"/>
        </w:trPr>
        <w:tc>
          <w:tcPr>
            <w:tcW w:w="1250"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b/>
                <w:bCs/>
                <w:kern w:val="0"/>
              </w:rPr>
            </w:pPr>
          </w:p>
        </w:tc>
        <w:tc>
          <w:tcPr>
            <w:tcW w:w="834"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p>
        </w:tc>
        <w:tc>
          <w:tcPr>
            <w:tcW w:w="133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p>
        </w:tc>
        <w:tc>
          <w:tcPr>
            <w:tcW w:w="158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p>
        </w:tc>
      </w:tr>
      <w:tr>
        <w:tblPrEx>
          <w:tblCellMar>
            <w:top w:w="0" w:type="dxa"/>
            <w:left w:w="108" w:type="dxa"/>
            <w:bottom w:w="0" w:type="dxa"/>
            <w:right w:w="108" w:type="dxa"/>
          </w:tblCellMar>
        </w:tblPrEx>
        <w:trPr>
          <w:jc w:val="center"/>
        </w:trPr>
        <w:tc>
          <w:tcPr>
            <w:tcW w:w="1250"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b/>
                <w:bCs/>
                <w:kern w:val="0"/>
              </w:rPr>
            </w:pPr>
          </w:p>
        </w:tc>
        <w:tc>
          <w:tcPr>
            <w:tcW w:w="834"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p>
        </w:tc>
        <w:tc>
          <w:tcPr>
            <w:tcW w:w="133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p>
        </w:tc>
        <w:tc>
          <w:tcPr>
            <w:tcW w:w="1583" w:type="pct"/>
          </w:tcPr>
          <w:p>
            <w:pPr>
              <w:tabs>
                <w:tab w:val="left" w:pos="2320"/>
                <w:tab w:val="left" w:pos="2773"/>
                <w:tab w:val="left" w:pos="4200"/>
                <w:tab w:val="left" w:pos="7209"/>
                <w:tab w:val="right" w:leader="middleDot" w:pos="9048"/>
              </w:tabs>
              <w:spacing w:before="120" w:after="120" w:line="240" w:lineRule="auto"/>
              <w:ind w:left="0" w:leftChars="0" w:right="480" w:firstLine="0" w:firstLineChars="0"/>
              <w:rPr>
                <w:rFonts w:ascii="黑体" w:hAnsi="黑体" w:eastAsia="黑体"/>
              </w:rPr>
            </w:pPr>
          </w:p>
        </w:tc>
      </w:tr>
    </w:tbl>
    <w:p>
      <w:pPr>
        <w:tabs>
          <w:tab w:val="left" w:pos="2320"/>
          <w:tab w:val="left" w:pos="2773"/>
          <w:tab w:val="left" w:pos="4200"/>
          <w:tab w:val="left" w:pos="7209"/>
          <w:tab w:val="right" w:leader="middleDot" w:pos="9048"/>
        </w:tabs>
        <w:spacing w:before="120" w:after="120" w:line="600" w:lineRule="exact"/>
        <w:ind w:left="0" w:leftChars="0" w:right="480" w:firstLine="0" w:firstLineChars="0"/>
        <w:jc w:val="center"/>
        <w:rPr>
          <w:sz w:val="28"/>
        </w:rPr>
      </w:pPr>
    </w:p>
    <w:p>
      <w:pPr>
        <w:keepNext/>
        <w:keepLines/>
        <w:pageBreakBefore/>
        <w:ind w:left="0" w:leftChars="0" w:right="0" w:rightChars="0" w:firstLine="11" w:firstLineChars="3"/>
        <w:jc w:val="center"/>
        <w:rPr>
          <w:rFonts w:ascii="黑体" w:hAnsi="黑体" w:eastAsia="黑体"/>
          <w:b/>
          <w:kern w:val="0"/>
          <w:sz w:val="36"/>
          <w:szCs w:val="32"/>
        </w:rPr>
      </w:pPr>
      <w:r>
        <w:rPr>
          <w:rFonts w:ascii="黑体" w:hAnsi="黑体" w:eastAsia="黑体"/>
          <w:b/>
          <w:kern w:val="0"/>
          <w:sz w:val="36"/>
          <w:szCs w:val="32"/>
        </w:rPr>
        <w:t>目  录</w:t>
      </w:r>
    </w:p>
    <w:p>
      <w:pPr>
        <w:pStyle w:val="27"/>
        <w:tabs>
          <w:tab w:val="left" w:pos="1680"/>
          <w:tab w:val="right" w:leader="dot" w:pos="8495"/>
        </w:tabs>
        <w:ind w:leftChars="0" w:right="240" w:firstLine="198" w:firstLineChars="82"/>
        <w:rPr>
          <w:rFonts w:asciiTheme="minorHAnsi" w:hAnsiTheme="minorHAnsi" w:eastAsiaTheme="minorEastAsia" w:cstheme="minorBidi"/>
          <w:b w:val="0"/>
          <w:bCs w:val="0"/>
          <w:caps w:val="0"/>
          <w:sz w:val="21"/>
          <w:szCs w:val="22"/>
        </w:rPr>
      </w:pPr>
      <w:r>
        <w:rPr>
          <w:kern w:val="0"/>
          <w:szCs w:val="24"/>
        </w:rPr>
        <w:fldChar w:fldCharType="begin"/>
      </w:r>
      <w:r>
        <w:rPr>
          <w:kern w:val="0"/>
          <w:szCs w:val="24"/>
        </w:rPr>
        <w:instrText xml:space="preserve"> TOC \o "1-2" \h \z \u </w:instrText>
      </w:r>
      <w:r>
        <w:rPr>
          <w:kern w:val="0"/>
          <w:szCs w:val="24"/>
        </w:rPr>
        <w:fldChar w:fldCharType="separate"/>
      </w:r>
      <w:r>
        <w:fldChar w:fldCharType="begin"/>
      </w:r>
      <w:r>
        <w:instrText xml:space="preserve"> HYPERLINK \l "_Toc117875430" </w:instrText>
      </w:r>
      <w:r>
        <w:fldChar w:fldCharType="separate"/>
      </w:r>
      <w:r>
        <w:rPr>
          <w:rStyle w:val="47"/>
          <w:rFonts w:hint="eastAsia" w:ascii="黑体" w:hAnsi="黑体" w:eastAsia="黑体"/>
        </w:rPr>
        <w:t>第1章</w:t>
      </w:r>
      <w:r>
        <w:rPr>
          <w:rFonts w:asciiTheme="minorHAnsi" w:hAnsiTheme="minorHAnsi" w:eastAsiaTheme="minorEastAsia" w:cstheme="minorBidi"/>
          <w:b w:val="0"/>
          <w:bCs w:val="0"/>
          <w:caps w:val="0"/>
          <w:sz w:val="21"/>
          <w:szCs w:val="22"/>
        </w:rPr>
        <w:tab/>
      </w:r>
      <w:r>
        <w:rPr>
          <w:rStyle w:val="47"/>
          <w:rFonts w:hint="eastAsia" w:ascii="黑体" w:hAnsi="黑体" w:eastAsia="黑体"/>
        </w:rPr>
        <w:t>规划总则</w:t>
      </w:r>
      <w:r>
        <w:tab/>
      </w:r>
      <w:r>
        <w:fldChar w:fldCharType="begin"/>
      </w:r>
      <w:r>
        <w:instrText xml:space="preserve"> PAGEREF _Toc117875430 \h </w:instrText>
      </w:r>
      <w:r>
        <w:fldChar w:fldCharType="separate"/>
      </w:r>
      <w:r>
        <w:t>5</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"_Toc117875431" </w:instrText>
      </w:r>
      <w:r>
        <w:fldChar w:fldCharType="separate"/>
      </w:r>
      <w:r>
        <w:rPr>
          <w:rStyle w:val="47"/>
          <w:rFonts w:ascii="黑体" w:hAnsi="黑体"/>
        </w:rPr>
        <w:t>1.1</w:t>
      </w:r>
      <w:r>
        <w:rPr>
          <w:rFonts w:asciiTheme="minorHAnsi" w:hAnsiTheme="minorHAnsi" w:eastAsiaTheme="minorEastAsia" w:cstheme="minorBidi"/>
          <w:smallCaps w:val="0"/>
          <w:szCs w:val="22"/>
        </w:rPr>
        <w:tab/>
      </w:r>
      <w:r>
        <w:rPr>
          <w:rStyle w:val="47"/>
          <w:rFonts w:hint="eastAsia" w:ascii="黑体" w:hAnsi="黑体"/>
        </w:rPr>
        <w:t>规划背景</w:t>
      </w:r>
      <w:r>
        <w:tab/>
      </w:r>
      <w:r>
        <w:fldChar w:fldCharType="begin"/>
      </w:r>
      <w:r>
        <w:instrText xml:space="preserve"> PAGEREF _Toc117875431 \h </w:instrText>
      </w:r>
      <w:r>
        <w:fldChar w:fldCharType="separate"/>
      </w:r>
      <w:r>
        <w:t>5</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"_Toc117875432" </w:instrText>
      </w:r>
      <w:r>
        <w:fldChar w:fldCharType="separate"/>
      </w:r>
      <w:r>
        <w:rPr>
          <w:rStyle w:val="47"/>
          <w:rFonts w:ascii="黑体" w:hAnsi="黑体"/>
        </w:rPr>
        <w:t>1.2</w:t>
      </w:r>
      <w:r>
        <w:rPr>
          <w:rFonts w:asciiTheme="minorHAnsi" w:hAnsiTheme="minorHAnsi" w:eastAsiaTheme="minorEastAsia" w:cstheme="minorBidi"/>
          <w:smallCaps w:val="0"/>
          <w:szCs w:val="22"/>
        </w:rPr>
        <w:tab/>
      </w:r>
      <w:r>
        <w:rPr>
          <w:rStyle w:val="47"/>
          <w:rFonts w:hint="eastAsia" w:ascii="黑体" w:hAnsi="黑体"/>
        </w:rPr>
        <w:t>指导思想</w:t>
      </w:r>
      <w:r>
        <w:tab/>
      </w:r>
      <w:r>
        <w:fldChar w:fldCharType="begin"/>
      </w:r>
      <w:r>
        <w:instrText xml:space="preserve"> PAGEREF _Toc117875432 \h </w:instrText>
      </w:r>
      <w:r>
        <w:fldChar w:fldCharType="separate"/>
      </w:r>
      <w:r>
        <w:t>6</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"_Toc117875433" </w:instrText>
      </w:r>
      <w:r>
        <w:fldChar w:fldCharType="separate"/>
      </w:r>
      <w:r>
        <w:rPr>
          <w:rStyle w:val="47"/>
          <w:rFonts w:ascii="黑体" w:hAnsi="黑体"/>
        </w:rPr>
        <w:t>1.3</w:t>
      </w:r>
      <w:r>
        <w:rPr>
          <w:rFonts w:asciiTheme="minorHAnsi" w:hAnsiTheme="minorHAnsi" w:eastAsiaTheme="minorEastAsia" w:cstheme="minorBidi"/>
          <w:smallCaps w:val="0"/>
          <w:szCs w:val="22"/>
        </w:rPr>
        <w:tab/>
      </w:r>
      <w:r>
        <w:rPr>
          <w:rStyle w:val="47"/>
          <w:rFonts w:hint="eastAsia" w:ascii="黑体" w:hAnsi="黑体"/>
        </w:rPr>
        <w:t>规划意义</w:t>
      </w:r>
      <w:r>
        <w:tab/>
      </w:r>
      <w:r>
        <w:fldChar w:fldCharType="begin"/>
      </w:r>
      <w:r>
        <w:instrText xml:space="preserve"> PAGEREF _Toc117875433 \h </w:instrText>
      </w:r>
      <w:r>
        <w:fldChar w:fldCharType="separate"/>
      </w:r>
      <w:r>
        <w:t>6</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"_Toc117875434" </w:instrText>
      </w:r>
      <w:r>
        <w:fldChar w:fldCharType="separate"/>
      </w:r>
      <w:r>
        <w:rPr>
          <w:rStyle w:val="47"/>
          <w:rFonts w:ascii="黑体" w:hAnsi="黑体"/>
        </w:rPr>
        <w:t>1.4</w:t>
      </w:r>
      <w:r>
        <w:rPr>
          <w:rFonts w:asciiTheme="minorHAnsi" w:hAnsiTheme="minorHAnsi" w:eastAsiaTheme="minorEastAsia" w:cstheme="minorBidi"/>
          <w:smallCaps w:val="0"/>
          <w:szCs w:val="22"/>
        </w:rPr>
        <w:tab/>
      </w:r>
      <w:r>
        <w:rPr>
          <w:rStyle w:val="47"/>
          <w:rFonts w:hint="eastAsia" w:ascii="黑体" w:hAnsi="黑体"/>
        </w:rPr>
        <w:t>规划原则</w:t>
      </w:r>
      <w:r>
        <w:tab/>
      </w:r>
      <w:r>
        <w:fldChar w:fldCharType="begin"/>
      </w:r>
      <w:r>
        <w:instrText xml:space="preserve"> PAGEREF _Toc117875434 \h </w:instrText>
      </w:r>
      <w:r>
        <w:fldChar w:fldCharType="separate"/>
      </w:r>
      <w:r>
        <w:t>7</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"_Toc117875435" </w:instrText>
      </w:r>
      <w:r>
        <w:fldChar w:fldCharType="separate"/>
      </w:r>
      <w:r>
        <w:rPr>
          <w:rStyle w:val="47"/>
          <w:rFonts w:ascii="黑体" w:hAnsi="黑体"/>
        </w:rPr>
        <w:t>1.5</w:t>
      </w:r>
      <w:r>
        <w:rPr>
          <w:rFonts w:asciiTheme="minorHAnsi" w:hAnsiTheme="minorHAnsi" w:eastAsiaTheme="minorEastAsia" w:cstheme="minorBidi"/>
          <w:smallCaps w:val="0"/>
          <w:szCs w:val="22"/>
        </w:rPr>
        <w:tab/>
      </w:r>
      <w:r>
        <w:rPr>
          <w:rStyle w:val="47"/>
          <w:rFonts w:hint="eastAsia" w:ascii="黑体" w:hAnsi="黑体"/>
        </w:rPr>
        <w:t>规划依据</w:t>
      </w:r>
      <w:r>
        <w:tab/>
      </w:r>
      <w:r>
        <w:fldChar w:fldCharType="begin"/>
      </w:r>
      <w:r>
        <w:instrText xml:space="preserve"> PAGEREF _Toc117875435 \h </w:instrText>
      </w:r>
      <w:r>
        <w:fldChar w:fldCharType="separate"/>
      </w:r>
      <w:r>
        <w:t>8</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"_Toc117875436" </w:instrText>
      </w:r>
      <w:r>
        <w:fldChar w:fldCharType="separate"/>
      </w:r>
      <w:r>
        <w:rPr>
          <w:rStyle w:val="47"/>
          <w:rFonts w:ascii="黑体" w:hAnsi="黑体"/>
        </w:rPr>
        <w:t>1.6</w:t>
      </w:r>
      <w:r>
        <w:rPr>
          <w:rFonts w:asciiTheme="minorHAnsi" w:hAnsiTheme="minorHAnsi" w:eastAsiaTheme="minorEastAsia" w:cstheme="minorBidi"/>
          <w:smallCaps w:val="0"/>
          <w:szCs w:val="22"/>
        </w:rPr>
        <w:tab/>
      </w:r>
      <w:r>
        <w:rPr>
          <w:rStyle w:val="47"/>
          <w:rFonts w:hint="eastAsia" w:ascii="黑体" w:hAnsi="黑体"/>
        </w:rPr>
        <w:t>规划范围与期限</w:t>
      </w:r>
      <w:r>
        <w:tab/>
      </w:r>
      <w:r>
        <w:fldChar w:fldCharType="begin"/>
      </w:r>
      <w:r>
        <w:instrText xml:space="preserve"> PAGEREF _Toc117875436 \h </w:instrText>
      </w:r>
      <w:r>
        <w:fldChar w:fldCharType="separate"/>
      </w:r>
      <w:r>
        <w:t>10</w:t>
      </w:r>
      <w:r>
        <w:fldChar w:fldCharType="end"/>
      </w:r>
      <w:r>
        <w:fldChar w:fldCharType="end"/>
      </w:r>
    </w:p>
    <w:p>
      <w:pPr>
        <w:pStyle w:val="27"/>
        <w:tabs>
          <w:tab w:val="left" w:pos="1680"/>
          <w:tab w:val="right" w:leader="dot" w:pos="8495"/>
        </w:tabs>
        <w:ind w:leftChars="0" w:right="240" w:firstLine="198" w:firstLineChars="82"/>
        <w:rPr>
          <w:rFonts w:asciiTheme="minorHAnsi" w:hAnsiTheme="minorHAnsi" w:eastAsiaTheme="minorEastAsia" w:cstheme="minorBidi"/>
          <w:b w:val="0"/>
          <w:bCs w:val="0"/>
          <w:caps w:val="0"/>
          <w:sz w:val="21"/>
          <w:szCs w:val="22"/>
        </w:rPr>
      </w:pPr>
      <w:r>
        <w:fldChar w:fldCharType="begin"/>
      </w:r>
      <w:r>
        <w:instrText xml:space="preserve"> HYPERLINK \l "_Toc117875437" </w:instrText>
      </w:r>
      <w:r>
        <w:fldChar w:fldCharType="separate"/>
      </w:r>
      <w:r>
        <w:rPr>
          <w:rStyle w:val="47"/>
          <w:rFonts w:hint="eastAsia" w:ascii="黑体" w:hAnsi="黑体" w:eastAsia="黑体"/>
        </w:rPr>
        <w:t>第2章</w:t>
      </w:r>
      <w:r>
        <w:rPr>
          <w:rFonts w:asciiTheme="minorHAnsi" w:hAnsiTheme="minorHAnsi" w:eastAsiaTheme="minorEastAsia" w:cstheme="minorBidi"/>
          <w:b w:val="0"/>
          <w:bCs w:val="0"/>
          <w:caps w:val="0"/>
          <w:sz w:val="21"/>
          <w:szCs w:val="22"/>
        </w:rPr>
        <w:tab/>
      </w:r>
      <w:r>
        <w:rPr>
          <w:rStyle w:val="47"/>
          <w:rFonts w:hint="eastAsia" w:ascii="黑体" w:hAnsi="黑体" w:eastAsia="黑体"/>
        </w:rPr>
        <w:t>城市概况</w:t>
      </w:r>
      <w:r>
        <w:tab/>
      </w:r>
      <w:r>
        <w:fldChar w:fldCharType="begin"/>
      </w:r>
      <w:r>
        <w:instrText xml:space="preserve"> PAGEREF _Toc117875437 \h </w:instrText>
      </w:r>
      <w:r>
        <w:fldChar w:fldCharType="separate"/>
      </w:r>
      <w:r>
        <w:t>12</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"_Toc117875438" </w:instrText>
      </w:r>
      <w:r>
        <w:fldChar w:fldCharType="separate"/>
      </w:r>
      <w:r>
        <w:rPr>
          <w:rStyle w:val="47"/>
          <w:rFonts w:ascii="黑体" w:hAnsi="黑体"/>
        </w:rPr>
        <w:t>2.1</w:t>
      </w:r>
      <w:r>
        <w:rPr>
          <w:rFonts w:asciiTheme="minorHAnsi" w:hAnsiTheme="minorHAnsi" w:eastAsiaTheme="minorEastAsia" w:cstheme="minorBidi"/>
          <w:smallCaps w:val="0"/>
          <w:szCs w:val="22"/>
        </w:rPr>
        <w:tab/>
      </w:r>
      <w:r>
        <w:rPr>
          <w:rStyle w:val="47"/>
          <w:rFonts w:hint="eastAsia" w:ascii="黑体" w:hAnsi="黑体"/>
        </w:rPr>
        <w:t>区位条件</w:t>
      </w:r>
      <w:r>
        <w:tab/>
      </w:r>
      <w:r>
        <w:fldChar w:fldCharType="begin"/>
      </w:r>
      <w:r>
        <w:instrText xml:space="preserve"> PAGEREF _Toc117875438 \h </w:instrText>
      </w:r>
      <w:r>
        <w:fldChar w:fldCharType="separate"/>
      </w:r>
      <w:r>
        <w:t>12</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"_Toc117875439" </w:instrText>
      </w:r>
      <w:r>
        <w:fldChar w:fldCharType="separate"/>
      </w:r>
      <w:r>
        <w:rPr>
          <w:rStyle w:val="47"/>
          <w:rFonts w:ascii="黑体" w:hAnsi="黑体"/>
        </w:rPr>
        <w:t>2.2</w:t>
      </w:r>
      <w:r>
        <w:rPr>
          <w:rFonts w:asciiTheme="minorHAnsi" w:hAnsiTheme="minorHAnsi" w:eastAsiaTheme="minorEastAsia" w:cstheme="minorBidi"/>
          <w:smallCaps w:val="0"/>
          <w:szCs w:val="22"/>
        </w:rPr>
        <w:tab/>
      </w:r>
      <w:r>
        <w:rPr>
          <w:rStyle w:val="47"/>
          <w:rFonts w:hint="eastAsia" w:ascii="黑体" w:hAnsi="黑体"/>
        </w:rPr>
        <w:t>行政区划</w:t>
      </w:r>
      <w:r>
        <w:tab/>
      </w:r>
      <w:r>
        <w:fldChar w:fldCharType="begin"/>
      </w:r>
      <w:r>
        <w:instrText xml:space="preserve"> PAGEREF _Toc117875439 \h </w:instrText>
      </w:r>
      <w:r>
        <w:fldChar w:fldCharType="separate"/>
      </w:r>
      <w:r>
        <w:t>12</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"_Toc117875440" </w:instrText>
      </w:r>
      <w:r>
        <w:fldChar w:fldCharType="separate"/>
      </w:r>
      <w:r>
        <w:rPr>
          <w:rStyle w:val="47"/>
          <w:rFonts w:ascii="黑体" w:hAnsi="黑体"/>
        </w:rPr>
        <w:t>2.3</w:t>
      </w:r>
      <w:r>
        <w:rPr>
          <w:rFonts w:asciiTheme="minorHAnsi" w:hAnsiTheme="minorHAnsi" w:eastAsiaTheme="minorEastAsia" w:cstheme="minorBidi"/>
          <w:smallCaps w:val="0"/>
          <w:szCs w:val="22"/>
        </w:rPr>
        <w:tab/>
      </w:r>
      <w:r>
        <w:rPr>
          <w:rStyle w:val="47"/>
          <w:rFonts w:hint="eastAsia" w:ascii="黑体" w:hAnsi="黑体"/>
        </w:rPr>
        <w:t>人口与社会经济</w:t>
      </w:r>
      <w:r>
        <w:tab/>
      </w:r>
      <w:r>
        <w:fldChar w:fldCharType="begin"/>
      </w:r>
      <w:r>
        <w:instrText xml:space="preserve"> PAGEREF _Toc117875440 \h </w:instrText>
      </w:r>
      <w:r>
        <w:fldChar w:fldCharType="separate"/>
      </w:r>
      <w:r>
        <w:t>14</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"_Toc117875441" </w:instrText>
      </w:r>
      <w:r>
        <w:fldChar w:fldCharType="separate"/>
      </w:r>
      <w:r>
        <w:rPr>
          <w:rStyle w:val="47"/>
          <w:rFonts w:ascii="黑体" w:hAnsi="黑体"/>
        </w:rPr>
        <w:t>2.4</w:t>
      </w:r>
      <w:r>
        <w:rPr>
          <w:rFonts w:asciiTheme="minorHAnsi" w:hAnsiTheme="minorHAnsi" w:eastAsiaTheme="minorEastAsia" w:cstheme="minorBidi"/>
          <w:smallCaps w:val="0"/>
          <w:szCs w:val="22"/>
        </w:rPr>
        <w:tab/>
      </w:r>
      <w:r>
        <w:rPr>
          <w:rStyle w:val="47"/>
          <w:rFonts w:hint="eastAsia" w:ascii="黑体" w:hAnsi="黑体"/>
        </w:rPr>
        <w:t>环境资源</w:t>
      </w:r>
      <w:r>
        <w:tab/>
      </w:r>
      <w:r>
        <w:fldChar w:fldCharType="begin"/>
      </w:r>
      <w:r>
        <w:instrText xml:space="preserve"> PAGEREF _Toc117875441 \h </w:instrText>
      </w:r>
      <w:r>
        <w:fldChar w:fldCharType="separate"/>
      </w:r>
      <w:r>
        <w:t>15</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"_Toc117875442" </w:instrText>
      </w:r>
      <w:r>
        <w:fldChar w:fldCharType="separate"/>
      </w:r>
      <w:r>
        <w:rPr>
          <w:rStyle w:val="47"/>
          <w:rFonts w:ascii="黑体" w:hAnsi="黑体"/>
        </w:rPr>
        <w:t>2.5</w:t>
      </w:r>
      <w:r>
        <w:rPr>
          <w:rFonts w:asciiTheme="minorHAnsi" w:hAnsiTheme="minorHAnsi" w:eastAsiaTheme="minorEastAsia" w:cstheme="minorBidi"/>
          <w:smallCaps w:val="0"/>
          <w:szCs w:val="22"/>
        </w:rPr>
        <w:tab/>
      </w:r>
      <w:r>
        <w:rPr>
          <w:rStyle w:val="47"/>
          <w:rFonts w:hint="eastAsia" w:ascii="黑体" w:hAnsi="黑体"/>
        </w:rPr>
        <w:t>交通状况</w:t>
      </w:r>
      <w:r>
        <w:tab/>
      </w:r>
      <w:r>
        <w:fldChar w:fldCharType="begin"/>
      </w:r>
      <w:r>
        <w:instrText xml:space="preserve"> PAGEREF _Toc117875442 \h </w:instrText>
      </w:r>
      <w:r>
        <w:fldChar w:fldCharType="separate"/>
      </w:r>
      <w:r>
        <w:t>16</w:t>
      </w:r>
      <w:r>
        <w:fldChar w:fldCharType="end"/>
      </w:r>
      <w:r>
        <w:fldChar w:fldCharType="end"/>
      </w:r>
    </w:p>
    <w:p>
      <w:pPr>
        <w:pStyle w:val="27"/>
        <w:tabs>
          <w:tab w:val="left" w:pos="1680"/>
          <w:tab w:val="right" w:leader="dot" w:pos="8495"/>
        </w:tabs>
        <w:ind w:leftChars="0" w:right="240" w:firstLine="198" w:firstLineChars="82"/>
        <w:rPr>
          <w:rFonts w:asciiTheme="minorHAnsi" w:hAnsiTheme="minorHAnsi" w:eastAsiaTheme="minorEastAsia" w:cstheme="minorBidi"/>
          <w:b w:val="0"/>
          <w:bCs w:val="0"/>
          <w:caps w:val="0"/>
          <w:sz w:val="21"/>
          <w:szCs w:val="22"/>
        </w:rPr>
      </w:pPr>
      <w:r>
        <w:fldChar w:fldCharType="begin"/>
      </w:r>
      <w:r>
        <w:instrText xml:space="preserve"> HYPERLINK \l "_Toc117875443" </w:instrText>
      </w:r>
      <w:r>
        <w:fldChar w:fldCharType="separate"/>
      </w:r>
      <w:r>
        <w:rPr>
          <w:rStyle w:val="47"/>
          <w:rFonts w:hint="eastAsia" w:ascii="黑体" w:hAnsi="黑体" w:eastAsia="黑体"/>
        </w:rPr>
        <w:t>第3章</w:t>
      </w:r>
      <w:r>
        <w:rPr>
          <w:rFonts w:asciiTheme="minorHAnsi" w:hAnsiTheme="minorHAnsi" w:eastAsiaTheme="minorEastAsia" w:cstheme="minorBidi"/>
          <w:b w:val="0"/>
          <w:bCs w:val="0"/>
          <w:caps w:val="0"/>
          <w:sz w:val="21"/>
          <w:szCs w:val="22"/>
        </w:rPr>
        <w:tab/>
      </w:r>
      <w:r>
        <w:rPr>
          <w:rStyle w:val="47"/>
          <w:rFonts w:hint="eastAsia" w:ascii="黑体" w:hAnsi="黑体" w:eastAsia="黑体"/>
        </w:rPr>
        <w:t>相关政策与规划解读</w:t>
      </w:r>
      <w:r>
        <w:tab/>
      </w:r>
      <w:r>
        <w:fldChar w:fldCharType="begin"/>
      </w:r>
      <w:r>
        <w:instrText xml:space="preserve"> PAGEREF _Toc117875443 \h </w:instrText>
      </w:r>
      <w:r>
        <w:fldChar w:fldCharType="separate"/>
      </w:r>
      <w:r>
        <w:t>18</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"_Toc117875444" </w:instrText>
      </w:r>
      <w:r>
        <w:fldChar w:fldCharType="separate"/>
      </w:r>
      <w:r>
        <w:rPr>
          <w:rStyle w:val="47"/>
          <w:rFonts w:ascii="黑体" w:hAnsi="黑体"/>
        </w:rPr>
        <w:t>3.1</w:t>
      </w:r>
      <w:r>
        <w:rPr>
          <w:rFonts w:asciiTheme="minorHAnsi" w:hAnsiTheme="minorHAnsi" w:eastAsiaTheme="minorEastAsia" w:cstheme="minorBidi"/>
          <w:smallCaps w:val="0"/>
          <w:szCs w:val="22"/>
        </w:rPr>
        <w:tab/>
      </w:r>
      <w:r>
        <w:rPr>
          <w:rStyle w:val="47"/>
          <w:rFonts w:hint="eastAsia" w:ascii="黑体" w:hAnsi="黑体"/>
        </w:rPr>
        <w:t>相关政策解读</w:t>
      </w:r>
      <w:r>
        <w:tab/>
      </w:r>
      <w:r>
        <w:fldChar w:fldCharType="begin"/>
      </w:r>
      <w:r>
        <w:instrText xml:space="preserve"> PAGEREF _Toc117875444 \h </w:instrText>
      </w:r>
      <w:r>
        <w:fldChar w:fldCharType="separate"/>
      </w:r>
      <w:r>
        <w:t>18</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"_Toc117875445" </w:instrText>
      </w:r>
      <w:r>
        <w:fldChar w:fldCharType="separate"/>
      </w:r>
      <w:r>
        <w:rPr>
          <w:rStyle w:val="47"/>
          <w:rFonts w:ascii="黑体" w:hAnsi="黑体"/>
        </w:rPr>
        <w:t>3.2</w:t>
      </w:r>
      <w:r>
        <w:rPr>
          <w:rFonts w:asciiTheme="minorHAnsi" w:hAnsiTheme="minorHAnsi" w:eastAsiaTheme="minorEastAsia" w:cstheme="minorBidi"/>
          <w:smallCaps w:val="0"/>
          <w:szCs w:val="22"/>
        </w:rPr>
        <w:tab/>
      </w:r>
      <w:r>
        <w:rPr>
          <w:rStyle w:val="47"/>
          <w:rFonts w:hint="eastAsia" w:ascii="黑体" w:hAnsi="黑体"/>
        </w:rPr>
        <w:t>相关规划解读</w:t>
      </w:r>
      <w:r>
        <w:tab/>
      </w:r>
      <w:r>
        <w:fldChar w:fldCharType="begin"/>
      </w:r>
      <w:r>
        <w:instrText xml:space="preserve"> PAGEREF _Toc117875445 \h </w:instrText>
      </w:r>
      <w:r>
        <w:fldChar w:fldCharType="separate"/>
      </w:r>
      <w:r>
        <w:t>24</w:t>
      </w:r>
      <w:r>
        <w:fldChar w:fldCharType="end"/>
      </w:r>
      <w:r>
        <w:fldChar w:fldCharType="end"/>
      </w:r>
    </w:p>
    <w:p>
      <w:pPr>
        <w:pStyle w:val="27"/>
        <w:tabs>
          <w:tab w:val="left" w:pos="1680"/>
          <w:tab w:val="right" w:leader="dot" w:pos="8495"/>
        </w:tabs>
        <w:ind w:leftChars="0" w:right="240" w:firstLine="198" w:firstLineChars="82"/>
        <w:rPr>
          <w:rFonts w:asciiTheme="minorHAnsi" w:hAnsiTheme="minorHAnsi" w:eastAsiaTheme="minorEastAsia" w:cstheme="minorBidi"/>
          <w:b w:val="0"/>
          <w:bCs w:val="0"/>
          <w:caps w:val="0"/>
          <w:sz w:val="21"/>
          <w:szCs w:val="22"/>
        </w:rPr>
      </w:pPr>
      <w:r>
        <w:fldChar w:fldCharType="begin"/>
      </w:r>
      <w:r>
        <w:instrText xml:space="preserve"> HYPERLINK \l "_Toc117875446" </w:instrText>
      </w:r>
      <w:r>
        <w:fldChar w:fldCharType="separate"/>
      </w:r>
      <w:r>
        <w:rPr>
          <w:rStyle w:val="47"/>
          <w:rFonts w:hint="eastAsia" w:ascii="黑体" w:hAnsi="黑体" w:eastAsia="黑体"/>
        </w:rPr>
        <w:t>第4章</w:t>
      </w:r>
      <w:r>
        <w:rPr>
          <w:rFonts w:asciiTheme="minorHAnsi" w:hAnsiTheme="minorHAnsi" w:eastAsiaTheme="minorEastAsia" w:cstheme="minorBidi"/>
          <w:b w:val="0"/>
          <w:bCs w:val="0"/>
          <w:caps w:val="0"/>
          <w:sz w:val="21"/>
          <w:szCs w:val="22"/>
        </w:rPr>
        <w:tab/>
      </w:r>
      <w:r>
        <w:rPr>
          <w:rStyle w:val="47"/>
          <w:rFonts w:hint="eastAsia" w:ascii="黑体" w:hAnsi="黑体" w:eastAsia="黑体"/>
        </w:rPr>
        <w:t>绿色建筑发展现状分析</w:t>
      </w:r>
      <w:r>
        <w:tab/>
      </w:r>
      <w:r>
        <w:fldChar w:fldCharType="begin"/>
      </w:r>
      <w:r>
        <w:instrText xml:space="preserve"> PAGEREF _Toc117875446 \h </w:instrText>
      </w:r>
      <w:r>
        <w:fldChar w:fldCharType="separate"/>
      </w:r>
      <w:r>
        <w:t>27</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"_Toc117875447" </w:instrText>
      </w:r>
      <w:r>
        <w:fldChar w:fldCharType="separate"/>
      </w:r>
      <w:r>
        <w:rPr>
          <w:rStyle w:val="47"/>
          <w:rFonts w:ascii="黑体" w:hAnsi="黑体"/>
        </w:rPr>
        <w:t>4.1</w:t>
      </w:r>
      <w:r>
        <w:rPr>
          <w:rFonts w:asciiTheme="minorHAnsi" w:hAnsiTheme="minorHAnsi" w:eastAsiaTheme="minorEastAsia" w:cstheme="minorBidi"/>
          <w:smallCaps w:val="0"/>
          <w:szCs w:val="22"/>
        </w:rPr>
        <w:tab/>
      </w:r>
      <w:r>
        <w:rPr>
          <w:rStyle w:val="47"/>
          <w:rFonts w:hint="eastAsia" w:ascii="黑体" w:hAnsi="黑体"/>
        </w:rPr>
        <w:t>绿色建筑现状</w:t>
      </w:r>
      <w:r>
        <w:tab/>
      </w:r>
      <w:r>
        <w:fldChar w:fldCharType="begin"/>
      </w:r>
      <w:r>
        <w:instrText xml:space="preserve"> PAGEREF _Toc117875447 \h </w:instrText>
      </w:r>
      <w:r>
        <w:fldChar w:fldCharType="separate"/>
      </w:r>
      <w:r>
        <w:t>27</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"_Toc117875448" </w:instrText>
      </w:r>
      <w:r>
        <w:fldChar w:fldCharType="separate"/>
      </w:r>
      <w:r>
        <w:rPr>
          <w:rStyle w:val="47"/>
          <w:rFonts w:ascii="黑体" w:hAnsi="黑体"/>
        </w:rPr>
        <w:t>4.2</w:t>
      </w:r>
      <w:r>
        <w:rPr>
          <w:rFonts w:asciiTheme="minorHAnsi" w:hAnsiTheme="minorHAnsi" w:eastAsiaTheme="minorEastAsia" w:cstheme="minorBidi"/>
          <w:smallCaps w:val="0"/>
          <w:szCs w:val="22"/>
        </w:rPr>
        <w:tab/>
      </w:r>
      <w:r>
        <w:rPr>
          <w:rStyle w:val="47"/>
          <w:rFonts w:hint="eastAsia" w:ascii="黑体" w:hAnsi="黑体"/>
        </w:rPr>
        <w:t>装配式建筑现状</w:t>
      </w:r>
      <w:r>
        <w:tab/>
      </w:r>
      <w:r>
        <w:fldChar w:fldCharType="begin"/>
      </w:r>
      <w:r>
        <w:instrText xml:space="preserve"> PAGEREF _Toc117875448 \h </w:instrText>
      </w:r>
      <w:r>
        <w:fldChar w:fldCharType="separate"/>
      </w:r>
      <w:r>
        <w:t>29</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"_Toc117875449" </w:instrText>
      </w:r>
      <w:r>
        <w:fldChar w:fldCharType="separate"/>
      </w:r>
      <w:r>
        <w:rPr>
          <w:rStyle w:val="47"/>
          <w:rFonts w:ascii="黑体" w:hAnsi="黑体"/>
        </w:rPr>
        <w:t>4.3</w:t>
      </w:r>
      <w:r>
        <w:rPr>
          <w:rFonts w:asciiTheme="minorHAnsi" w:hAnsiTheme="minorHAnsi" w:eastAsiaTheme="minorEastAsia" w:cstheme="minorBidi"/>
          <w:smallCaps w:val="0"/>
          <w:szCs w:val="22"/>
        </w:rPr>
        <w:tab/>
      </w:r>
      <w:r>
        <w:rPr>
          <w:rStyle w:val="47"/>
          <w:rFonts w:hint="eastAsia" w:ascii="黑体" w:hAnsi="黑体"/>
        </w:rPr>
        <w:t>既有建筑绿色化改造现状</w:t>
      </w:r>
      <w:r>
        <w:tab/>
      </w:r>
      <w:r>
        <w:fldChar w:fldCharType="begin"/>
      </w:r>
      <w:r>
        <w:instrText xml:space="preserve"> PAGEREF _Toc117875449 \h </w:instrText>
      </w:r>
      <w:r>
        <w:fldChar w:fldCharType="separate"/>
      </w:r>
      <w:r>
        <w:t>30</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"_Toc117875450" </w:instrText>
      </w:r>
      <w:r>
        <w:fldChar w:fldCharType="separate"/>
      </w:r>
      <w:r>
        <w:rPr>
          <w:rStyle w:val="47"/>
          <w:rFonts w:ascii="黑体" w:hAnsi="黑体"/>
        </w:rPr>
        <w:t>4.4</w:t>
      </w:r>
      <w:r>
        <w:rPr>
          <w:rFonts w:asciiTheme="minorHAnsi" w:hAnsiTheme="minorHAnsi" w:eastAsiaTheme="minorEastAsia" w:cstheme="minorBidi"/>
          <w:smallCaps w:val="0"/>
          <w:szCs w:val="22"/>
        </w:rPr>
        <w:tab/>
      </w:r>
      <w:r>
        <w:rPr>
          <w:rStyle w:val="47"/>
          <w:rFonts w:hint="eastAsia" w:ascii="黑体" w:hAnsi="黑体"/>
        </w:rPr>
        <w:t>可再生能源建筑应用现状</w:t>
      </w:r>
      <w:r>
        <w:tab/>
      </w:r>
      <w:r>
        <w:fldChar w:fldCharType="begin"/>
      </w:r>
      <w:r>
        <w:instrText xml:space="preserve"> PAGEREF _Toc117875450 \h </w:instrText>
      </w:r>
      <w:r>
        <w:fldChar w:fldCharType="separate"/>
      </w:r>
      <w:r>
        <w:t>30</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"_Toc117875451" </w:instrText>
      </w:r>
      <w:r>
        <w:fldChar w:fldCharType="separate"/>
      </w:r>
      <w:r>
        <w:rPr>
          <w:rStyle w:val="47"/>
          <w:rFonts w:ascii="黑体" w:hAnsi="黑体"/>
        </w:rPr>
        <w:t>4.5</w:t>
      </w:r>
      <w:r>
        <w:rPr>
          <w:rFonts w:asciiTheme="minorHAnsi" w:hAnsiTheme="minorHAnsi" w:eastAsiaTheme="minorEastAsia" w:cstheme="minorBidi"/>
          <w:smallCaps w:val="0"/>
          <w:szCs w:val="22"/>
        </w:rPr>
        <w:tab/>
      </w:r>
      <w:r>
        <w:rPr>
          <w:rStyle w:val="47"/>
          <w:rFonts w:hint="eastAsia" w:ascii="黑体" w:hAnsi="黑体"/>
        </w:rPr>
        <w:t>绿色建材现状</w:t>
      </w:r>
      <w:r>
        <w:tab/>
      </w:r>
      <w:r>
        <w:fldChar w:fldCharType="begin"/>
      </w:r>
      <w:r>
        <w:instrText xml:space="preserve"> PAGEREF _Toc117875451 \h </w:instrText>
      </w:r>
      <w:r>
        <w:fldChar w:fldCharType="separate"/>
      </w:r>
      <w:r>
        <w:t>31</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"_Toc117875452" </w:instrText>
      </w:r>
      <w:r>
        <w:fldChar w:fldCharType="separate"/>
      </w:r>
      <w:r>
        <w:rPr>
          <w:rStyle w:val="47"/>
          <w:rFonts w:ascii="黑体" w:hAnsi="黑体"/>
        </w:rPr>
        <w:t>4.6</w:t>
      </w:r>
      <w:r>
        <w:rPr>
          <w:rFonts w:asciiTheme="minorHAnsi" w:hAnsiTheme="minorHAnsi" w:eastAsiaTheme="minorEastAsia" w:cstheme="minorBidi"/>
          <w:smallCaps w:val="0"/>
          <w:szCs w:val="22"/>
        </w:rPr>
        <w:tab/>
      </w:r>
      <w:r>
        <w:rPr>
          <w:rStyle w:val="47"/>
          <w:rFonts w:hint="eastAsia" w:ascii="黑体" w:hAnsi="黑体"/>
        </w:rPr>
        <w:t>发展形势</w:t>
      </w:r>
      <w:r>
        <w:tab/>
      </w:r>
      <w:r>
        <w:fldChar w:fldCharType="begin"/>
      </w:r>
      <w:r>
        <w:instrText xml:space="preserve"> PAGEREF _Toc117875452 \h </w:instrText>
      </w:r>
      <w:r>
        <w:fldChar w:fldCharType="separate"/>
      </w:r>
      <w:r>
        <w:t>34</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"_Toc117875453" </w:instrText>
      </w:r>
      <w:r>
        <w:fldChar w:fldCharType="separate"/>
      </w:r>
      <w:r>
        <w:rPr>
          <w:rStyle w:val="47"/>
          <w:rFonts w:ascii="黑体" w:hAnsi="黑体"/>
        </w:rPr>
        <w:t>4.7</w:t>
      </w:r>
      <w:r>
        <w:rPr>
          <w:rFonts w:asciiTheme="minorHAnsi" w:hAnsiTheme="minorHAnsi" w:eastAsiaTheme="minorEastAsia" w:cstheme="minorBidi"/>
          <w:smallCaps w:val="0"/>
          <w:szCs w:val="22"/>
        </w:rPr>
        <w:tab/>
      </w:r>
      <w:r>
        <w:rPr>
          <w:rStyle w:val="47"/>
          <w:rFonts w:hint="eastAsia" w:ascii="黑体" w:hAnsi="黑体"/>
        </w:rPr>
        <w:t>存在问题</w:t>
      </w:r>
      <w:r>
        <w:tab/>
      </w:r>
      <w:r>
        <w:fldChar w:fldCharType="begin"/>
      </w:r>
      <w:r>
        <w:instrText xml:space="preserve"> PAGEREF _Toc117875453 \h </w:instrText>
      </w:r>
      <w:r>
        <w:fldChar w:fldCharType="separate"/>
      </w:r>
      <w:r>
        <w:t>36</w:t>
      </w:r>
      <w:r>
        <w:fldChar w:fldCharType="end"/>
      </w:r>
      <w:r>
        <w:fldChar w:fldCharType="end"/>
      </w:r>
    </w:p>
    <w:p>
      <w:pPr>
        <w:pStyle w:val="27"/>
        <w:tabs>
          <w:tab w:val="left" w:pos="1680"/>
          <w:tab w:val="right" w:leader="dot" w:pos="8495"/>
        </w:tabs>
        <w:ind w:leftChars="0" w:right="240" w:firstLine="198" w:firstLineChars="82"/>
        <w:rPr>
          <w:rFonts w:asciiTheme="minorHAnsi" w:hAnsiTheme="minorHAnsi" w:eastAsiaTheme="minorEastAsia" w:cstheme="minorBidi"/>
          <w:b w:val="0"/>
          <w:bCs w:val="0"/>
          <w:caps w:val="0"/>
          <w:sz w:val="21"/>
          <w:szCs w:val="22"/>
        </w:rPr>
      </w:pPr>
      <w:r>
        <w:fldChar w:fldCharType="begin"/>
      </w:r>
      <w:r>
        <w:instrText xml:space="preserve"> HYPERLINK \l "_Toc117875454" </w:instrText>
      </w:r>
      <w:r>
        <w:fldChar w:fldCharType="separate"/>
      </w:r>
      <w:r>
        <w:rPr>
          <w:rStyle w:val="47"/>
          <w:rFonts w:hint="eastAsia" w:ascii="黑体" w:hAnsi="黑体" w:eastAsia="黑体"/>
        </w:rPr>
        <w:t>第5章</w:t>
      </w:r>
      <w:r>
        <w:rPr>
          <w:rFonts w:asciiTheme="minorHAnsi" w:hAnsiTheme="minorHAnsi" w:eastAsiaTheme="minorEastAsia" w:cstheme="minorBidi"/>
          <w:b w:val="0"/>
          <w:bCs w:val="0"/>
          <w:caps w:val="0"/>
          <w:sz w:val="21"/>
          <w:szCs w:val="22"/>
        </w:rPr>
        <w:tab/>
      </w:r>
      <w:r>
        <w:rPr>
          <w:rStyle w:val="47"/>
          <w:rFonts w:hint="eastAsia" w:ascii="黑体" w:hAnsi="黑体" w:eastAsia="黑体"/>
        </w:rPr>
        <w:t>绿色建筑发展目标</w:t>
      </w:r>
      <w:r>
        <w:tab/>
      </w:r>
      <w:r>
        <w:fldChar w:fldCharType="begin"/>
      </w:r>
      <w:r>
        <w:instrText xml:space="preserve"> PAGEREF _Toc117875454 \h </w:instrText>
      </w:r>
      <w:r>
        <w:fldChar w:fldCharType="separate"/>
      </w:r>
      <w:r>
        <w:t>37</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"_Toc117875455" </w:instrText>
      </w:r>
      <w:r>
        <w:fldChar w:fldCharType="separate"/>
      </w:r>
      <w:r>
        <w:rPr>
          <w:rStyle w:val="47"/>
          <w:rFonts w:ascii="黑体" w:hAnsi="黑体"/>
        </w:rPr>
        <w:t>5.1</w:t>
      </w:r>
      <w:r>
        <w:rPr>
          <w:rFonts w:asciiTheme="minorHAnsi" w:hAnsiTheme="minorHAnsi" w:eastAsiaTheme="minorEastAsia" w:cstheme="minorBidi"/>
          <w:smallCaps w:val="0"/>
          <w:szCs w:val="22"/>
        </w:rPr>
        <w:tab/>
      </w:r>
      <w:r>
        <w:rPr>
          <w:rStyle w:val="47"/>
          <w:rFonts w:hint="eastAsia" w:ascii="黑体" w:hAnsi="黑体"/>
        </w:rPr>
        <w:t>发展定位</w:t>
      </w:r>
      <w:r>
        <w:tab/>
      </w:r>
      <w:r>
        <w:fldChar w:fldCharType="begin"/>
      </w:r>
      <w:r>
        <w:instrText xml:space="preserve"> PAGEREF _Toc117875455 \h </w:instrText>
      </w:r>
      <w:r>
        <w:fldChar w:fldCharType="separate"/>
      </w:r>
      <w:r>
        <w:t>37</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"_Toc117875456" </w:instrText>
      </w:r>
      <w:r>
        <w:fldChar w:fldCharType="separate"/>
      </w:r>
      <w:r>
        <w:rPr>
          <w:rStyle w:val="47"/>
          <w:rFonts w:ascii="黑体" w:hAnsi="黑体"/>
        </w:rPr>
        <w:t>5.2</w:t>
      </w:r>
      <w:r>
        <w:rPr>
          <w:rFonts w:asciiTheme="minorHAnsi" w:hAnsiTheme="minorHAnsi" w:eastAsiaTheme="minorEastAsia" w:cstheme="minorBidi"/>
          <w:smallCaps w:val="0"/>
          <w:szCs w:val="22"/>
        </w:rPr>
        <w:tab/>
      </w:r>
      <w:r>
        <w:rPr>
          <w:rStyle w:val="47"/>
          <w:rFonts w:hint="eastAsia" w:ascii="黑体" w:hAnsi="黑体"/>
        </w:rPr>
        <w:t>发展目标</w:t>
      </w:r>
      <w:r>
        <w:tab/>
      </w:r>
      <w:r>
        <w:fldChar w:fldCharType="begin"/>
      </w:r>
      <w:r>
        <w:instrText xml:space="preserve"> PAGEREF _Toc117875456 \h </w:instrText>
      </w:r>
      <w:r>
        <w:fldChar w:fldCharType="separate"/>
      </w:r>
      <w:r>
        <w:t>37</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"_Toc117875457" </w:instrText>
      </w:r>
      <w:r>
        <w:fldChar w:fldCharType="separate"/>
      </w:r>
      <w:r>
        <w:rPr>
          <w:rStyle w:val="47"/>
          <w:rFonts w:ascii="黑体" w:hAnsi="黑体"/>
        </w:rPr>
        <w:t>5.3</w:t>
      </w:r>
      <w:r>
        <w:rPr>
          <w:rFonts w:asciiTheme="minorHAnsi" w:hAnsiTheme="minorHAnsi" w:eastAsiaTheme="minorEastAsia" w:cstheme="minorBidi"/>
          <w:smallCaps w:val="0"/>
          <w:szCs w:val="22"/>
        </w:rPr>
        <w:tab/>
      </w:r>
      <w:r>
        <w:rPr>
          <w:rStyle w:val="47"/>
          <w:rFonts w:hint="eastAsia" w:ascii="黑体" w:hAnsi="黑体"/>
        </w:rPr>
        <w:t>总体发展战略与技术路线</w:t>
      </w:r>
      <w:r>
        <w:tab/>
      </w:r>
      <w:r>
        <w:fldChar w:fldCharType="begin"/>
      </w:r>
      <w:r>
        <w:instrText xml:space="preserve"> PAGEREF _Toc117875457 \h </w:instrText>
      </w:r>
      <w:r>
        <w:fldChar w:fldCharType="separate"/>
      </w:r>
      <w:r>
        <w:t>39</w:t>
      </w:r>
      <w:r>
        <w:fldChar w:fldCharType="end"/>
      </w:r>
      <w:r>
        <w:fldChar w:fldCharType="end"/>
      </w:r>
    </w:p>
    <w:p>
      <w:pPr>
        <w:pStyle w:val="27"/>
        <w:tabs>
          <w:tab w:val="left" w:pos="1680"/>
          <w:tab w:val="right" w:leader="dot" w:pos="8495"/>
        </w:tabs>
        <w:ind w:leftChars="0" w:right="240" w:firstLine="198" w:firstLineChars="82"/>
        <w:rPr>
          <w:rFonts w:asciiTheme="minorHAnsi" w:hAnsiTheme="minorHAnsi" w:eastAsiaTheme="minorEastAsia" w:cstheme="minorBidi"/>
          <w:b w:val="0"/>
          <w:bCs w:val="0"/>
          <w:caps w:val="0"/>
          <w:sz w:val="21"/>
          <w:szCs w:val="22"/>
        </w:rPr>
      </w:pPr>
      <w:r>
        <w:fldChar w:fldCharType="begin"/>
      </w:r>
      <w:r>
        <w:instrText xml:space="preserve"> HYPERLINK \l "_Toc117875458" </w:instrText>
      </w:r>
      <w:r>
        <w:fldChar w:fldCharType="separate"/>
      </w:r>
      <w:r>
        <w:rPr>
          <w:rStyle w:val="47"/>
          <w:rFonts w:hint="eastAsia" w:ascii="黑体" w:hAnsi="黑体" w:eastAsia="黑体"/>
        </w:rPr>
        <w:t>第6章</w:t>
      </w:r>
      <w:r>
        <w:rPr>
          <w:rFonts w:asciiTheme="minorHAnsi" w:hAnsiTheme="minorHAnsi" w:eastAsiaTheme="minorEastAsia" w:cstheme="minorBidi"/>
          <w:b w:val="0"/>
          <w:bCs w:val="0"/>
          <w:caps w:val="0"/>
          <w:sz w:val="21"/>
          <w:szCs w:val="22"/>
        </w:rPr>
        <w:tab/>
      </w:r>
      <w:r>
        <w:rPr>
          <w:rStyle w:val="47"/>
          <w:rFonts w:hint="eastAsia" w:ascii="黑体" w:hAnsi="黑体" w:eastAsia="黑体"/>
        </w:rPr>
        <w:t>总体格局与指引</w:t>
      </w:r>
      <w:r>
        <w:tab/>
      </w:r>
      <w:r>
        <w:fldChar w:fldCharType="begin"/>
      </w:r>
      <w:r>
        <w:instrText xml:space="preserve"> PAGEREF _Toc117875458 \h </w:instrText>
      </w:r>
      <w:r>
        <w:fldChar w:fldCharType="separate"/>
      </w:r>
      <w:r>
        <w:t>58</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"_Toc117875459" </w:instrText>
      </w:r>
      <w:r>
        <w:fldChar w:fldCharType="separate"/>
      </w:r>
      <w:r>
        <w:rPr>
          <w:rStyle w:val="47"/>
          <w:rFonts w:ascii="黑体" w:hAnsi="黑体"/>
        </w:rPr>
        <w:t>6.1</w:t>
      </w:r>
      <w:r>
        <w:rPr>
          <w:rFonts w:asciiTheme="minorHAnsi" w:hAnsiTheme="minorHAnsi" w:eastAsiaTheme="minorEastAsia" w:cstheme="minorBidi"/>
          <w:smallCaps w:val="0"/>
          <w:szCs w:val="22"/>
        </w:rPr>
        <w:tab/>
      </w:r>
      <w:r>
        <w:rPr>
          <w:rStyle w:val="47"/>
          <w:rFonts w:hint="eastAsia" w:ascii="黑体" w:hAnsi="黑体"/>
        </w:rPr>
        <w:t>总体思路</w:t>
      </w:r>
      <w:r>
        <w:tab/>
      </w:r>
      <w:r>
        <w:fldChar w:fldCharType="begin"/>
      </w:r>
      <w:r>
        <w:instrText xml:space="preserve"> PAGEREF _Toc117875459 \h </w:instrText>
      </w:r>
      <w:r>
        <w:fldChar w:fldCharType="separate"/>
      </w:r>
      <w:r>
        <w:t>58</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"_Toc117875460" </w:instrText>
      </w:r>
      <w:r>
        <w:fldChar w:fldCharType="separate"/>
      </w:r>
      <w:r>
        <w:rPr>
          <w:rStyle w:val="47"/>
          <w:rFonts w:ascii="黑体" w:hAnsi="黑体"/>
        </w:rPr>
        <w:t>6.2</w:t>
      </w:r>
      <w:r>
        <w:rPr>
          <w:rFonts w:asciiTheme="minorHAnsi" w:hAnsiTheme="minorHAnsi" w:eastAsiaTheme="minorEastAsia" w:cstheme="minorBidi"/>
          <w:smallCaps w:val="0"/>
          <w:szCs w:val="22"/>
        </w:rPr>
        <w:tab/>
      </w:r>
      <w:r>
        <w:rPr>
          <w:rStyle w:val="47"/>
          <w:rFonts w:hint="eastAsia" w:ascii="黑体" w:hAnsi="黑体"/>
        </w:rPr>
        <w:t>规划格局</w:t>
      </w:r>
      <w:r>
        <w:tab/>
      </w:r>
      <w:r>
        <w:fldChar w:fldCharType="begin"/>
      </w:r>
      <w:r>
        <w:instrText xml:space="preserve"> PAGEREF _Toc117875460 \h </w:instrText>
      </w:r>
      <w:r>
        <w:fldChar w:fldCharType="separate"/>
      </w:r>
      <w:r>
        <w:t>58</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"_Toc117875461" </w:instrText>
      </w:r>
      <w:r>
        <w:fldChar w:fldCharType="separate"/>
      </w:r>
      <w:r>
        <w:rPr>
          <w:rStyle w:val="47"/>
          <w:rFonts w:ascii="黑体" w:hAnsi="黑体"/>
        </w:rPr>
        <w:t>6.3</w:t>
      </w:r>
      <w:r>
        <w:rPr>
          <w:rFonts w:asciiTheme="minorHAnsi" w:hAnsiTheme="minorHAnsi" w:eastAsiaTheme="minorEastAsia" w:cstheme="minorBidi"/>
          <w:smallCaps w:val="0"/>
          <w:szCs w:val="22"/>
        </w:rPr>
        <w:tab/>
      </w:r>
      <w:r>
        <w:rPr>
          <w:rStyle w:val="47"/>
          <w:rFonts w:hint="eastAsia" w:ascii="黑体" w:hAnsi="黑体"/>
        </w:rPr>
        <w:t>管理分区</w:t>
      </w:r>
      <w:r>
        <w:tab/>
      </w:r>
      <w:r>
        <w:fldChar w:fldCharType="begin"/>
      </w:r>
      <w:r>
        <w:instrText xml:space="preserve"> PAGEREF _Toc117875461 \h </w:instrText>
      </w:r>
      <w:r>
        <w:fldChar w:fldCharType="separate"/>
      </w:r>
      <w:r>
        <w:t>59</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"_Toc117875462" </w:instrText>
      </w:r>
      <w:r>
        <w:fldChar w:fldCharType="separate"/>
      </w:r>
      <w:r>
        <w:rPr>
          <w:rStyle w:val="47"/>
          <w:rFonts w:ascii="黑体" w:hAnsi="黑体"/>
        </w:rPr>
        <w:t>6.4</w:t>
      </w:r>
      <w:r>
        <w:rPr>
          <w:rFonts w:asciiTheme="minorHAnsi" w:hAnsiTheme="minorHAnsi" w:eastAsiaTheme="minorEastAsia" w:cstheme="minorBidi"/>
          <w:smallCaps w:val="0"/>
          <w:szCs w:val="22"/>
        </w:rPr>
        <w:tab/>
      </w:r>
      <w:r>
        <w:rPr>
          <w:rStyle w:val="47"/>
          <w:rFonts w:hint="eastAsia" w:ascii="黑体" w:hAnsi="黑体"/>
        </w:rPr>
        <w:t>目标单元</w:t>
      </w:r>
      <w:r>
        <w:tab/>
      </w:r>
      <w:r>
        <w:fldChar w:fldCharType="begin"/>
      </w:r>
      <w:r>
        <w:instrText xml:space="preserve"> PAGEREF _Toc117875462 \h </w:instrText>
      </w:r>
      <w:r>
        <w:fldChar w:fldCharType="separate"/>
      </w:r>
      <w:r>
        <w:t>62</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"_Toc117875463" </w:instrText>
      </w:r>
      <w:r>
        <w:fldChar w:fldCharType="separate"/>
      </w:r>
      <w:r>
        <w:rPr>
          <w:rStyle w:val="47"/>
          <w:rFonts w:ascii="黑体" w:hAnsi="黑体"/>
        </w:rPr>
        <w:t>6.5</w:t>
      </w:r>
      <w:r>
        <w:rPr>
          <w:rFonts w:asciiTheme="minorHAnsi" w:hAnsiTheme="minorHAnsi" w:eastAsiaTheme="minorEastAsia" w:cstheme="minorBidi"/>
          <w:smallCaps w:val="0"/>
          <w:szCs w:val="22"/>
        </w:rPr>
        <w:tab/>
      </w:r>
      <w:r>
        <w:rPr>
          <w:rStyle w:val="47"/>
          <w:rFonts w:hint="eastAsia" w:ascii="黑体" w:hAnsi="黑体"/>
        </w:rPr>
        <w:t>重点发展区域</w:t>
      </w:r>
      <w:r>
        <w:tab/>
      </w:r>
      <w:r>
        <w:fldChar w:fldCharType="begin"/>
      </w:r>
      <w:r>
        <w:instrText xml:space="preserve"> PAGEREF _Toc117875463 \h </w:instrText>
      </w:r>
      <w:r>
        <w:fldChar w:fldCharType="separate"/>
      </w:r>
      <w:r>
        <w:t>67</w:t>
      </w:r>
      <w:r>
        <w:fldChar w:fldCharType="end"/>
      </w:r>
      <w:r>
        <w:fldChar w:fldCharType="end"/>
      </w:r>
    </w:p>
    <w:p>
      <w:pPr>
        <w:pStyle w:val="27"/>
        <w:tabs>
          <w:tab w:val="left" w:pos="1680"/>
          <w:tab w:val="right" w:leader="dot" w:pos="8495"/>
        </w:tabs>
        <w:ind w:leftChars="0" w:right="240" w:firstLine="198" w:firstLineChars="82"/>
        <w:rPr>
          <w:rFonts w:asciiTheme="minorHAnsi" w:hAnsiTheme="minorHAnsi" w:eastAsiaTheme="minorEastAsia" w:cstheme="minorBidi"/>
          <w:b w:val="0"/>
          <w:bCs w:val="0"/>
          <w:caps w:val="0"/>
          <w:sz w:val="21"/>
          <w:szCs w:val="22"/>
        </w:rPr>
      </w:pPr>
      <w:r>
        <w:fldChar w:fldCharType="begin"/>
      </w:r>
      <w:r>
        <w:instrText xml:space="preserve"> HYPERLINK \l "_Toc117875464" </w:instrText>
      </w:r>
      <w:r>
        <w:fldChar w:fldCharType="separate"/>
      </w:r>
      <w:r>
        <w:rPr>
          <w:rStyle w:val="47"/>
          <w:rFonts w:hint="eastAsia" w:ascii="黑体" w:hAnsi="黑体" w:eastAsia="黑体"/>
        </w:rPr>
        <w:t>第7章</w:t>
      </w:r>
      <w:r>
        <w:rPr>
          <w:rFonts w:asciiTheme="minorHAnsi" w:hAnsiTheme="minorHAnsi" w:eastAsiaTheme="minorEastAsia" w:cstheme="minorBidi"/>
          <w:b w:val="0"/>
          <w:bCs w:val="0"/>
          <w:caps w:val="0"/>
          <w:sz w:val="21"/>
          <w:szCs w:val="22"/>
        </w:rPr>
        <w:tab/>
      </w:r>
      <w:r>
        <w:rPr>
          <w:rStyle w:val="47"/>
          <w:rFonts w:hint="eastAsia" w:ascii="黑体" w:hAnsi="黑体" w:eastAsia="黑体"/>
        </w:rPr>
        <w:t>重点任务</w:t>
      </w:r>
      <w:r>
        <w:tab/>
      </w:r>
      <w:r>
        <w:fldChar w:fldCharType="begin"/>
      </w:r>
      <w:r>
        <w:instrText xml:space="preserve"> PAGEREF _Toc117875464 \h </w:instrText>
      </w:r>
      <w:r>
        <w:fldChar w:fldCharType="separate"/>
      </w:r>
      <w:r>
        <w:t>68</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"_Toc117875465" </w:instrText>
      </w:r>
      <w:r>
        <w:fldChar w:fldCharType="separate"/>
      </w:r>
      <w:r>
        <w:rPr>
          <w:rStyle w:val="47"/>
          <w:rFonts w:ascii="黑体" w:hAnsi="黑体"/>
        </w:rPr>
        <w:t>7.1</w:t>
      </w:r>
      <w:r>
        <w:rPr>
          <w:rFonts w:asciiTheme="minorHAnsi" w:hAnsiTheme="minorHAnsi" w:eastAsiaTheme="minorEastAsia" w:cstheme="minorBidi"/>
          <w:smallCaps w:val="0"/>
          <w:szCs w:val="22"/>
        </w:rPr>
        <w:tab/>
      </w:r>
      <w:r>
        <w:rPr>
          <w:rStyle w:val="47"/>
          <w:rFonts w:hint="eastAsia" w:ascii="黑体" w:hAnsi="黑体"/>
        </w:rPr>
        <w:t>推动绿色建筑高质量发展</w:t>
      </w:r>
      <w:r>
        <w:tab/>
      </w:r>
      <w:r>
        <w:fldChar w:fldCharType="begin"/>
      </w:r>
      <w:r>
        <w:instrText xml:space="preserve"> PAGEREF _Toc117875465 \h </w:instrText>
      </w:r>
      <w:r>
        <w:fldChar w:fldCharType="separate"/>
      </w:r>
      <w:r>
        <w:t>68</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"_Toc117875466" </w:instrText>
      </w:r>
      <w:r>
        <w:fldChar w:fldCharType="separate"/>
      </w:r>
      <w:r>
        <w:rPr>
          <w:rStyle w:val="47"/>
          <w:rFonts w:ascii="黑体" w:hAnsi="黑体"/>
        </w:rPr>
        <w:t>7.2</w:t>
      </w:r>
      <w:r>
        <w:rPr>
          <w:rFonts w:asciiTheme="minorHAnsi" w:hAnsiTheme="minorHAnsi" w:eastAsiaTheme="minorEastAsia" w:cstheme="minorBidi"/>
          <w:smallCaps w:val="0"/>
          <w:szCs w:val="22"/>
        </w:rPr>
        <w:tab/>
      </w:r>
      <w:r>
        <w:rPr>
          <w:rStyle w:val="47"/>
          <w:rFonts w:hint="eastAsia" w:ascii="黑体" w:hAnsi="黑体"/>
        </w:rPr>
        <w:t>实施既有建筑节能绿色化改造</w:t>
      </w:r>
      <w:r>
        <w:tab/>
      </w:r>
      <w:r>
        <w:fldChar w:fldCharType="begin"/>
      </w:r>
      <w:r>
        <w:instrText xml:space="preserve"> PAGEREF _Toc117875466 \h </w:instrText>
      </w:r>
      <w:r>
        <w:fldChar w:fldCharType="separate"/>
      </w:r>
      <w:r>
        <w:t>70</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"_Toc117875467" </w:instrText>
      </w:r>
      <w:r>
        <w:fldChar w:fldCharType="separate"/>
      </w:r>
      <w:r>
        <w:rPr>
          <w:rStyle w:val="47"/>
          <w:rFonts w:ascii="黑体" w:hAnsi="黑体"/>
        </w:rPr>
        <w:t>7.3</w:t>
      </w:r>
      <w:r>
        <w:rPr>
          <w:rFonts w:asciiTheme="minorHAnsi" w:hAnsiTheme="minorHAnsi" w:eastAsiaTheme="minorEastAsia" w:cstheme="minorBidi"/>
          <w:smallCaps w:val="0"/>
          <w:szCs w:val="22"/>
        </w:rPr>
        <w:tab/>
      </w:r>
      <w:r>
        <w:rPr>
          <w:rStyle w:val="47"/>
          <w:rFonts w:hint="eastAsia" w:ascii="黑体" w:hAnsi="黑体"/>
        </w:rPr>
        <w:t>推广新型绿色建造方式</w:t>
      </w:r>
      <w:r>
        <w:tab/>
      </w:r>
      <w:r>
        <w:fldChar w:fldCharType="begin"/>
      </w:r>
      <w:r>
        <w:instrText xml:space="preserve"> PAGEREF _Toc117875467 \h </w:instrText>
      </w:r>
      <w:r>
        <w:fldChar w:fldCharType="separate"/>
      </w:r>
      <w:r>
        <w:t>71</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"_Toc117875468" </w:instrText>
      </w:r>
      <w:r>
        <w:fldChar w:fldCharType="separate"/>
      </w:r>
      <w:r>
        <w:rPr>
          <w:rStyle w:val="47"/>
          <w:rFonts w:ascii="黑体" w:hAnsi="黑体"/>
        </w:rPr>
        <w:t>7.4</w:t>
      </w:r>
      <w:r>
        <w:rPr>
          <w:rFonts w:asciiTheme="minorHAnsi" w:hAnsiTheme="minorHAnsi" w:eastAsiaTheme="minorEastAsia" w:cstheme="minorBidi"/>
          <w:smallCaps w:val="0"/>
          <w:szCs w:val="22"/>
        </w:rPr>
        <w:tab/>
      </w:r>
      <w:r>
        <w:rPr>
          <w:rStyle w:val="47"/>
          <w:rFonts w:hint="eastAsia" w:ascii="黑体" w:hAnsi="黑体"/>
        </w:rPr>
        <w:t>培育壮大新型建筑工业化产业链</w:t>
      </w:r>
      <w:r>
        <w:tab/>
      </w:r>
      <w:r>
        <w:fldChar w:fldCharType="begin"/>
      </w:r>
      <w:r>
        <w:instrText xml:space="preserve"> PAGEREF _Toc117875468 \h </w:instrText>
      </w:r>
      <w:r>
        <w:fldChar w:fldCharType="separate"/>
      </w:r>
      <w:r>
        <w:t>74</w:t>
      </w:r>
      <w:r>
        <w:fldChar w:fldCharType="end"/>
      </w:r>
      <w:r>
        <w:fldChar w:fldCharType="end"/>
      </w:r>
    </w:p>
    <w:p>
      <w:pPr>
        <w:pStyle w:val="27"/>
        <w:tabs>
          <w:tab w:val="left" w:pos="1680"/>
          <w:tab w:val="right" w:leader="dot" w:pos="8495"/>
        </w:tabs>
        <w:ind w:leftChars="0" w:right="240" w:firstLine="198" w:firstLineChars="82"/>
        <w:rPr>
          <w:rFonts w:asciiTheme="minorHAnsi" w:hAnsiTheme="minorHAnsi" w:eastAsiaTheme="minorEastAsia" w:cstheme="minorBidi"/>
          <w:b w:val="0"/>
          <w:bCs w:val="0"/>
          <w:caps w:val="0"/>
          <w:sz w:val="21"/>
          <w:szCs w:val="22"/>
        </w:rPr>
      </w:pPr>
      <w:r>
        <w:fldChar w:fldCharType="begin"/>
      </w:r>
      <w:r>
        <w:instrText xml:space="preserve"> HYPERLINK \l "_Toc117875469" </w:instrText>
      </w:r>
      <w:r>
        <w:fldChar w:fldCharType="separate"/>
      </w:r>
      <w:r>
        <w:rPr>
          <w:rStyle w:val="47"/>
          <w:rFonts w:hint="eastAsia" w:ascii="黑体" w:hAnsi="黑体" w:eastAsia="黑体"/>
        </w:rPr>
        <w:t>第8章</w:t>
      </w:r>
      <w:r>
        <w:rPr>
          <w:rFonts w:asciiTheme="minorHAnsi" w:hAnsiTheme="minorHAnsi" w:eastAsiaTheme="minorEastAsia" w:cstheme="minorBidi"/>
          <w:b w:val="0"/>
          <w:bCs w:val="0"/>
          <w:caps w:val="0"/>
          <w:sz w:val="21"/>
          <w:szCs w:val="22"/>
        </w:rPr>
        <w:tab/>
      </w:r>
      <w:r>
        <w:rPr>
          <w:rStyle w:val="47"/>
          <w:rFonts w:hint="eastAsia" w:ascii="黑体" w:hAnsi="黑体" w:eastAsia="黑体"/>
        </w:rPr>
        <w:t>规划衔接与项目管控</w:t>
      </w:r>
      <w:r>
        <w:tab/>
      </w:r>
      <w:r>
        <w:fldChar w:fldCharType="begin"/>
      </w:r>
      <w:r>
        <w:instrText xml:space="preserve"> PAGEREF _Toc117875469 \h </w:instrText>
      </w:r>
      <w:r>
        <w:fldChar w:fldCharType="separate"/>
      </w:r>
      <w:r>
        <w:t>77</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"_Toc117875470" </w:instrText>
      </w:r>
      <w:r>
        <w:fldChar w:fldCharType="separate"/>
      </w:r>
      <w:r>
        <w:rPr>
          <w:rStyle w:val="47"/>
          <w:rFonts w:ascii="黑体" w:hAnsi="黑体"/>
        </w:rPr>
        <w:t>8.1</w:t>
      </w:r>
      <w:r>
        <w:rPr>
          <w:rFonts w:asciiTheme="minorHAnsi" w:hAnsiTheme="minorHAnsi" w:eastAsiaTheme="minorEastAsia" w:cstheme="minorBidi"/>
          <w:smallCaps w:val="0"/>
          <w:szCs w:val="22"/>
        </w:rPr>
        <w:tab/>
      </w:r>
      <w:r>
        <w:rPr>
          <w:rStyle w:val="47"/>
          <w:rFonts w:hint="eastAsia" w:ascii="黑体" w:hAnsi="黑体"/>
        </w:rPr>
        <w:t>规划衔接</w:t>
      </w:r>
      <w:r>
        <w:tab/>
      </w:r>
      <w:r>
        <w:fldChar w:fldCharType="begin"/>
      </w:r>
      <w:r>
        <w:instrText xml:space="preserve"> PAGEREF _Toc117875470 \h </w:instrText>
      </w:r>
      <w:r>
        <w:fldChar w:fldCharType="separate"/>
      </w:r>
      <w:r>
        <w:t>77</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"_Toc117875471" </w:instrText>
      </w:r>
      <w:r>
        <w:fldChar w:fldCharType="separate"/>
      </w:r>
      <w:r>
        <w:rPr>
          <w:rStyle w:val="47"/>
          <w:rFonts w:ascii="黑体" w:hAnsi="黑体"/>
        </w:rPr>
        <w:t>8.2</w:t>
      </w:r>
      <w:r>
        <w:rPr>
          <w:rFonts w:asciiTheme="minorHAnsi" w:hAnsiTheme="minorHAnsi" w:eastAsiaTheme="minorEastAsia" w:cstheme="minorBidi"/>
          <w:smallCaps w:val="0"/>
          <w:szCs w:val="22"/>
        </w:rPr>
        <w:tab/>
      </w:r>
      <w:r>
        <w:rPr>
          <w:rStyle w:val="47"/>
          <w:rFonts w:hint="eastAsia" w:ascii="黑体" w:hAnsi="黑体"/>
        </w:rPr>
        <w:t>项目管控</w:t>
      </w:r>
      <w:r>
        <w:tab/>
      </w:r>
      <w:r>
        <w:fldChar w:fldCharType="begin"/>
      </w:r>
      <w:r>
        <w:instrText xml:space="preserve"> PAGEREF _Toc117875471 \h </w:instrText>
      </w:r>
      <w:r>
        <w:fldChar w:fldCharType="separate"/>
      </w:r>
      <w:r>
        <w:t>77</w:t>
      </w:r>
      <w:r>
        <w:fldChar w:fldCharType="end"/>
      </w:r>
      <w:r>
        <w:fldChar w:fldCharType="end"/>
      </w:r>
    </w:p>
    <w:p>
      <w:pPr>
        <w:pStyle w:val="27"/>
        <w:tabs>
          <w:tab w:val="left" w:pos="1680"/>
          <w:tab w:val="right" w:leader="dot" w:pos="8495"/>
        </w:tabs>
        <w:ind w:leftChars="0" w:right="240" w:firstLine="198" w:firstLineChars="82"/>
        <w:rPr>
          <w:rFonts w:asciiTheme="minorHAnsi" w:hAnsiTheme="minorHAnsi" w:eastAsiaTheme="minorEastAsia" w:cstheme="minorBidi"/>
          <w:b w:val="0"/>
          <w:bCs w:val="0"/>
          <w:caps w:val="0"/>
          <w:sz w:val="21"/>
          <w:szCs w:val="22"/>
        </w:rPr>
      </w:pPr>
      <w:r>
        <w:fldChar w:fldCharType="begin"/>
      </w:r>
      <w:r>
        <w:instrText xml:space="preserve"> HYPERLINK \l "_Toc117875472" </w:instrText>
      </w:r>
      <w:r>
        <w:fldChar w:fldCharType="separate"/>
      </w:r>
      <w:r>
        <w:rPr>
          <w:rStyle w:val="47"/>
          <w:rFonts w:hint="eastAsia" w:ascii="黑体" w:hAnsi="黑体" w:eastAsia="黑体"/>
        </w:rPr>
        <w:t>第9章</w:t>
      </w:r>
      <w:r>
        <w:rPr>
          <w:rFonts w:asciiTheme="minorHAnsi" w:hAnsiTheme="minorHAnsi" w:eastAsiaTheme="minorEastAsia" w:cstheme="minorBidi"/>
          <w:b w:val="0"/>
          <w:bCs w:val="0"/>
          <w:caps w:val="0"/>
          <w:sz w:val="21"/>
          <w:szCs w:val="22"/>
        </w:rPr>
        <w:tab/>
      </w:r>
      <w:r>
        <w:rPr>
          <w:rStyle w:val="47"/>
          <w:rFonts w:hint="eastAsia" w:ascii="黑体" w:hAnsi="黑体" w:eastAsia="黑体"/>
        </w:rPr>
        <w:t>近期建设规划</w:t>
      </w:r>
      <w:r>
        <w:tab/>
      </w:r>
      <w:r>
        <w:fldChar w:fldCharType="begin"/>
      </w:r>
      <w:r>
        <w:instrText xml:space="preserve"> PAGEREF _Toc117875472 \h </w:instrText>
      </w:r>
      <w:r>
        <w:fldChar w:fldCharType="separate"/>
      </w:r>
      <w:r>
        <w:t>79</w:t>
      </w:r>
      <w:r>
        <w:fldChar w:fldCharType="end"/>
      </w:r>
      <w:r>
        <w:fldChar w:fldCharType="end"/>
      </w:r>
    </w:p>
    <w:p>
      <w:pPr>
        <w:pStyle w:val="27"/>
        <w:tabs>
          <w:tab w:val="left" w:pos="1920"/>
          <w:tab w:val="right" w:leader="dot" w:pos="8495"/>
        </w:tabs>
        <w:ind w:leftChars="0" w:right="240" w:firstLine="198" w:firstLineChars="82"/>
        <w:rPr>
          <w:rFonts w:asciiTheme="minorHAnsi" w:hAnsiTheme="minorHAnsi" w:eastAsiaTheme="minorEastAsia" w:cstheme="minorBidi"/>
          <w:b w:val="0"/>
          <w:bCs w:val="0"/>
          <w:caps w:val="0"/>
          <w:sz w:val="21"/>
          <w:szCs w:val="22"/>
        </w:rPr>
      </w:pPr>
      <w:r>
        <w:fldChar w:fldCharType="begin"/>
      </w:r>
      <w:r>
        <w:instrText xml:space="preserve"> HYPERLINK \l "_Toc117875473" </w:instrText>
      </w:r>
      <w:r>
        <w:fldChar w:fldCharType="separate"/>
      </w:r>
      <w:r>
        <w:rPr>
          <w:rStyle w:val="47"/>
          <w:rFonts w:hint="eastAsia" w:ascii="黑体" w:hAnsi="黑体" w:eastAsia="黑体"/>
        </w:rPr>
        <w:t>第10章</w:t>
      </w:r>
      <w:r>
        <w:rPr>
          <w:rFonts w:asciiTheme="minorHAnsi" w:hAnsiTheme="minorHAnsi" w:eastAsiaTheme="minorEastAsia" w:cstheme="minorBidi"/>
          <w:b w:val="0"/>
          <w:bCs w:val="0"/>
          <w:caps w:val="0"/>
          <w:sz w:val="21"/>
          <w:szCs w:val="22"/>
        </w:rPr>
        <w:tab/>
      </w:r>
      <w:r>
        <w:rPr>
          <w:rStyle w:val="47"/>
          <w:rFonts w:hint="eastAsia" w:ascii="黑体" w:hAnsi="黑体" w:eastAsia="黑体"/>
        </w:rPr>
        <w:t>规划保障措施</w:t>
      </w:r>
      <w:r>
        <w:tab/>
      </w:r>
      <w:r>
        <w:fldChar w:fldCharType="begin"/>
      </w:r>
      <w:r>
        <w:instrText xml:space="preserve"> PAGEREF _Toc117875473 \h </w:instrText>
      </w:r>
      <w:r>
        <w:fldChar w:fldCharType="separate"/>
      </w:r>
      <w:r>
        <w:t>81</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"_Toc117875474" </w:instrText>
      </w:r>
      <w:r>
        <w:fldChar w:fldCharType="separate"/>
      </w:r>
      <w:r>
        <w:rPr>
          <w:rStyle w:val="47"/>
          <w:rFonts w:ascii="黑体" w:hAnsi="黑体"/>
        </w:rPr>
        <w:t>10.1</w:t>
      </w:r>
      <w:r>
        <w:rPr>
          <w:rFonts w:asciiTheme="minorHAnsi" w:hAnsiTheme="minorHAnsi" w:eastAsiaTheme="minorEastAsia" w:cstheme="minorBidi"/>
          <w:smallCaps w:val="0"/>
          <w:szCs w:val="22"/>
        </w:rPr>
        <w:tab/>
      </w:r>
      <w:r>
        <w:rPr>
          <w:rStyle w:val="47"/>
          <w:rFonts w:hint="eastAsia" w:ascii="黑体" w:hAnsi="黑体"/>
        </w:rPr>
        <w:t>加强组织领导，完善评价考核体系</w:t>
      </w:r>
      <w:r>
        <w:tab/>
      </w:r>
      <w:r>
        <w:fldChar w:fldCharType="begin"/>
      </w:r>
      <w:r>
        <w:instrText xml:space="preserve"> PAGEREF _Toc117875474 \h </w:instrText>
      </w:r>
      <w:r>
        <w:fldChar w:fldCharType="separate"/>
      </w:r>
      <w:r>
        <w:t>81</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"_Toc117875475" </w:instrText>
      </w:r>
      <w:r>
        <w:fldChar w:fldCharType="separate"/>
      </w:r>
      <w:r>
        <w:rPr>
          <w:rStyle w:val="47"/>
          <w:rFonts w:ascii="黑体" w:hAnsi="黑体"/>
        </w:rPr>
        <w:t>10.2</w:t>
      </w:r>
      <w:r>
        <w:rPr>
          <w:rFonts w:asciiTheme="minorHAnsi" w:hAnsiTheme="minorHAnsi" w:eastAsiaTheme="minorEastAsia" w:cstheme="minorBidi"/>
          <w:smallCaps w:val="0"/>
          <w:szCs w:val="22"/>
        </w:rPr>
        <w:tab/>
      </w:r>
      <w:r>
        <w:rPr>
          <w:rStyle w:val="47"/>
          <w:rFonts w:hint="eastAsia" w:ascii="黑体" w:hAnsi="黑体"/>
        </w:rPr>
        <w:t>强化政策支持，实施全过程激励措施</w:t>
      </w:r>
      <w:r>
        <w:tab/>
      </w:r>
      <w:r>
        <w:fldChar w:fldCharType="begin"/>
      </w:r>
      <w:r>
        <w:instrText xml:space="preserve"> PAGEREF _Toc117875475 \h </w:instrText>
      </w:r>
      <w:r>
        <w:fldChar w:fldCharType="separate"/>
      </w:r>
      <w:r>
        <w:t>83</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"_Toc117875476" </w:instrText>
      </w:r>
      <w:r>
        <w:fldChar w:fldCharType="separate"/>
      </w:r>
      <w:r>
        <w:rPr>
          <w:rStyle w:val="47"/>
          <w:rFonts w:ascii="黑体" w:hAnsi="黑体"/>
        </w:rPr>
        <w:t>10.3</w:t>
      </w:r>
      <w:r>
        <w:rPr>
          <w:rFonts w:asciiTheme="minorHAnsi" w:hAnsiTheme="minorHAnsi" w:eastAsiaTheme="minorEastAsia" w:cstheme="minorBidi"/>
          <w:smallCaps w:val="0"/>
          <w:szCs w:val="22"/>
        </w:rPr>
        <w:tab/>
      </w:r>
      <w:r>
        <w:rPr>
          <w:rStyle w:val="47"/>
          <w:rFonts w:hint="eastAsia" w:ascii="黑体" w:hAnsi="黑体"/>
        </w:rPr>
        <w:t>完善发展机制，强化全寿命期管理</w:t>
      </w:r>
      <w:r>
        <w:tab/>
      </w:r>
      <w:r>
        <w:fldChar w:fldCharType="begin"/>
      </w:r>
      <w:r>
        <w:instrText xml:space="preserve"> PAGEREF _Toc117875476 \h </w:instrText>
      </w:r>
      <w:r>
        <w:fldChar w:fldCharType="separate"/>
      </w:r>
      <w:r>
        <w:t>85</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"_Toc117875477" </w:instrText>
      </w:r>
      <w:r>
        <w:fldChar w:fldCharType="separate"/>
      </w:r>
      <w:r>
        <w:rPr>
          <w:rStyle w:val="47"/>
          <w:rFonts w:ascii="黑体" w:hAnsi="黑体"/>
        </w:rPr>
        <w:t>10.4</w:t>
      </w:r>
      <w:r>
        <w:rPr>
          <w:rFonts w:asciiTheme="minorHAnsi" w:hAnsiTheme="minorHAnsi" w:eastAsiaTheme="minorEastAsia" w:cstheme="minorBidi"/>
          <w:smallCaps w:val="0"/>
          <w:szCs w:val="22"/>
        </w:rPr>
        <w:tab/>
      </w:r>
      <w:r>
        <w:rPr>
          <w:rStyle w:val="47"/>
          <w:rFonts w:hint="eastAsia" w:ascii="黑体" w:hAnsi="黑体"/>
        </w:rPr>
        <w:t>强化能力建设，营造良好发展环境</w:t>
      </w:r>
      <w:r>
        <w:tab/>
      </w:r>
      <w:r>
        <w:fldChar w:fldCharType="begin"/>
      </w:r>
      <w:r>
        <w:instrText xml:space="preserve"> PAGEREF _Toc117875477 \h </w:instrText>
      </w:r>
      <w:r>
        <w:fldChar w:fldCharType="separate"/>
      </w:r>
      <w:r>
        <w:t>85</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"_Toc117875478" </w:instrText>
      </w:r>
      <w:r>
        <w:fldChar w:fldCharType="separate"/>
      </w:r>
      <w:r>
        <w:rPr>
          <w:rStyle w:val="47"/>
          <w:rFonts w:ascii="黑体" w:hAnsi="黑体"/>
        </w:rPr>
        <w:t>10.5</w:t>
      </w:r>
      <w:r>
        <w:rPr>
          <w:rFonts w:asciiTheme="minorHAnsi" w:hAnsiTheme="minorHAnsi" w:eastAsiaTheme="minorEastAsia" w:cstheme="minorBidi"/>
          <w:smallCaps w:val="0"/>
          <w:szCs w:val="22"/>
        </w:rPr>
        <w:tab/>
      </w:r>
      <w:r>
        <w:rPr>
          <w:rStyle w:val="47"/>
          <w:rFonts w:hint="eastAsia" w:ascii="黑体" w:hAnsi="黑体"/>
        </w:rPr>
        <w:t>强化产业扶持，促进建筑产业升级</w:t>
      </w:r>
      <w:r>
        <w:tab/>
      </w:r>
      <w:r>
        <w:fldChar w:fldCharType="begin"/>
      </w:r>
      <w:r>
        <w:instrText xml:space="preserve"> PAGEREF _Toc117875478 \h </w:instrText>
      </w:r>
      <w:r>
        <w:fldChar w:fldCharType="separate"/>
      </w:r>
      <w:r>
        <w:t>86</w:t>
      </w:r>
      <w:r>
        <w:fldChar w:fldCharType="end"/>
      </w:r>
      <w:r>
        <w:fldChar w:fldCharType="end"/>
      </w:r>
    </w:p>
    <w:p>
      <w:pPr>
        <w:pStyle w:val="33"/>
        <w:tabs>
          <w:tab w:val="left" w:pos="1440"/>
          <w:tab w:val="right" w:leader="dot" w:pos="8495"/>
        </w:tabs>
        <w:ind w:left="240" w:right="240" w:firstLine="420"/>
        <w:rPr>
          <w:rFonts w:asciiTheme="minorHAnsi" w:hAnsiTheme="minorHAnsi" w:eastAsiaTheme="minorEastAsia" w:cstheme="minorBidi"/>
          <w:smallCaps w:val="0"/>
          <w:szCs w:val="22"/>
        </w:rPr>
      </w:pPr>
      <w:r>
        <w:fldChar w:fldCharType="begin"/>
      </w:r>
      <w:r>
        <w:instrText xml:space="preserve"> HYPERLINK \l "_Toc117875479" </w:instrText>
      </w:r>
      <w:r>
        <w:fldChar w:fldCharType="separate"/>
      </w:r>
      <w:r>
        <w:rPr>
          <w:rStyle w:val="47"/>
          <w:rFonts w:ascii="黑体" w:hAnsi="黑体"/>
        </w:rPr>
        <w:t>10.6</w:t>
      </w:r>
      <w:r>
        <w:rPr>
          <w:rFonts w:asciiTheme="minorHAnsi" w:hAnsiTheme="minorHAnsi" w:eastAsiaTheme="minorEastAsia" w:cstheme="minorBidi"/>
          <w:smallCaps w:val="0"/>
          <w:szCs w:val="22"/>
        </w:rPr>
        <w:tab/>
      </w:r>
      <w:r>
        <w:rPr>
          <w:rStyle w:val="47"/>
          <w:rFonts w:hint="eastAsia" w:ascii="黑体" w:hAnsi="黑体"/>
        </w:rPr>
        <w:t>开展宣传教育，提高全民绿色意识</w:t>
      </w:r>
      <w:r>
        <w:tab/>
      </w:r>
      <w:r>
        <w:fldChar w:fldCharType="begin"/>
      </w:r>
      <w:r>
        <w:instrText xml:space="preserve"> PAGEREF _Toc117875479 \h </w:instrText>
      </w:r>
      <w:r>
        <w:fldChar w:fldCharType="separate"/>
      </w:r>
      <w:r>
        <w:t>86</w:t>
      </w:r>
      <w:r>
        <w:fldChar w:fldCharType="end"/>
      </w:r>
      <w:r>
        <w:fldChar w:fldCharType="end"/>
      </w:r>
    </w:p>
    <w:p>
      <w:pPr>
        <w:pStyle w:val="27"/>
        <w:tabs>
          <w:tab w:val="left" w:pos="1920"/>
          <w:tab w:val="right" w:leader="dot" w:pos="8495"/>
        </w:tabs>
        <w:ind w:left="240" w:right="240" w:firstLine="482"/>
        <w:rPr>
          <w:kern w:val="0"/>
          <w:sz w:val="28"/>
          <w:szCs w:val="24"/>
        </w:rPr>
      </w:pPr>
      <w:r>
        <w:rPr>
          <w:kern w:val="0"/>
          <w:szCs w:val="24"/>
        </w:rPr>
        <w:fldChar w:fldCharType="end"/>
      </w:r>
    </w:p>
    <w:p>
      <w:pPr>
        <w:ind w:left="-12" w:leftChars="-5" w:right="55" w:rightChars="23" w:firstLine="566" w:firstLineChars="236"/>
        <w:jc w:val="center"/>
        <w:rPr>
          <w:kern w:val="0"/>
          <w:szCs w:val="24"/>
        </w:rPr>
        <w:sectPr>
          <w:headerReference r:id="rId7" w:type="first"/>
          <w:footerReference r:id="rId10" w:type="first"/>
          <w:headerReference r:id="rId5" w:type="default"/>
          <w:footerReference r:id="rId8" w:type="default"/>
          <w:headerReference r:id="rId6" w:type="even"/>
          <w:footerReference r:id="rId9" w:type="even"/>
          <w:type w:val="continuous"/>
          <w:pgSz w:w="11907" w:h="16839"/>
          <w:pgMar w:top="1418" w:right="1701" w:bottom="1418" w:left="1701" w:header="851" w:footer="992" w:gutter="0"/>
          <w:pgNumType w:fmt="upperRoman" w:start="0"/>
          <w:cols w:space="1198" w:num="1"/>
          <w:titlePg/>
          <w:docGrid w:linePitch="326" w:charSpace="-4911"/>
        </w:sectPr>
      </w:pPr>
    </w:p>
    <w:p>
      <w:pPr>
        <w:pStyle w:val="2"/>
        <w:keepLines w:val="0"/>
        <w:pageBreakBefore/>
        <w:numPr>
          <w:ilvl w:val="0"/>
          <w:numId w:val="12"/>
        </w:numPr>
        <w:spacing w:line="360" w:lineRule="auto"/>
        <w:ind w:left="0" w:leftChars="0" w:right="0" w:rightChars="0" w:firstLine="0" w:firstLineChars="0"/>
        <w:jc w:val="center"/>
        <w:rPr>
          <w:rFonts w:ascii="黑体" w:hAnsi="黑体" w:eastAsia="黑体"/>
          <w:sz w:val="36"/>
          <w:szCs w:val="32"/>
        </w:rPr>
      </w:pPr>
      <w:bookmarkStart w:id="6" w:name="_Toc117875430"/>
      <w:bookmarkStart w:id="7" w:name="OLE_LINK10"/>
      <w:bookmarkStart w:id="8" w:name="OLE_LINK11"/>
      <w:r>
        <w:rPr>
          <w:rFonts w:hint="eastAsia" w:ascii="黑体" w:hAnsi="黑体" w:eastAsia="黑体"/>
          <w:sz w:val="36"/>
          <w:szCs w:val="32"/>
        </w:rPr>
        <w:t>规划</w:t>
      </w:r>
      <w:r>
        <w:rPr>
          <w:rFonts w:ascii="黑体" w:hAnsi="黑体" w:eastAsia="黑体"/>
          <w:sz w:val="36"/>
          <w:szCs w:val="32"/>
        </w:rPr>
        <w:t>总则</w:t>
      </w:r>
      <w:bookmarkEnd w:id="6"/>
    </w:p>
    <w:p>
      <w:pPr>
        <w:pStyle w:val="3"/>
        <w:numPr>
          <w:ilvl w:val="1"/>
          <w:numId w:val="12"/>
        </w:numPr>
        <w:spacing w:line="360" w:lineRule="auto"/>
        <w:ind w:left="0" w:leftChars="0" w:right="-84" w:rightChars="-35" w:firstLine="0" w:firstLineChars="0"/>
        <w:rPr>
          <w:rFonts w:ascii="黑体" w:hAnsi="黑体"/>
          <w:szCs w:val="30"/>
        </w:rPr>
      </w:pPr>
      <w:bookmarkStart w:id="9" w:name="_Toc117875431"/>
      <w:r>
        <w:rPr>
          <w:rFonts w:hint="eastAsia" w:ascii="黑体" w:hAnsi="黑体"/>
          <w:szCs w:val="30"/>
        </w:rPr>
        <w:t>规划</w:t>
      </w:r>
      <w:r>
        <w:rPr>
          <w:rFonts w:ascii="黑体" w:hAnsi="黑体"/>
          <w:szCs w:val="30"/>
        </w:rPr>
        <w:t>背景</w:t>
      </w:r>
      <w:bookmarkEnd w:id="9"/>
    </w:p>
    <w:p>
      <w:pPr>
        <w:ind w:left="0" w:leftChars="0" w:right="0" w:rightChars="0" w:firstLine="480"/>
      </w:pPr>
      <w:r>
        <w:rPr>
          <w:rFonts w:hint="eastAsia"/>
        </w:rPr>
        <w:t>“十四五”时期是我国在全面建成小康社会、实现第一个百年奋斗目标之后，乘势而上开启全面建设社会主义现代化国家新征程、向第二个百年奋斗目标进军的第一个五年。经济结构转型升级进程加快，人民群众改善居住生活条件需求强烈，住房城乡建设领域能源资源利用模式亟待转型升级，推进绿色建筑与建筑产业化发展面临大有可为的机遇期，潜力巨大，同时也面临一定的困难和挑战。</w:t>
      </w:r>
    </w:p>
    <w:p>
      <w:pPr>
        <w:ind w:left="0" w:leftChars="0" w:right="0" w:rightChars="0" w:firstLine="480"/>
      </w:pPr>
      <w:r>
        <w:rPr>
          <w:rFonts w:hint="eastAsia"/>
        </w:rPr>
        <w:t>从发展机遇看，党中央、国务院提出的推进能源生产与消费革命、走新型城镇化道路、全面建设生态文明、把绿色发展理念贯穿城乡规划建设管理全过程等发展战略，为绿色建筑与建筑产业化发展指明了方向；广大人民群众节能环保意识日益增强，对建筑居住品质及舒适度、建筑能源利用效率及绿色消费等密切关注，为绿色建筑与建筑产业化发展奠定坚实群众基础。</w:t>
      </w:r>
    </w:p>
    <w:p>
      <w:pPr>
        <w:ind w:left="0" w:leftChars="0" w:right="0" w:rightChars="0" w:firstLine="480"/>
      </w:pPr>
      <w:r>
        <w:rPr>
          <w:rFonts w:hint="eastAsia"/>
        </w:rPr>
        <w:t>从发展潜力看，在建筑总量持续增加以及人民群众改善居住舒适度需求、用能需求不断增长的情况下，通过提高建筑节能标准，实施既有居住建筑节能改造，加大公共建筑节能监管力度，积极推广可再生能源</w:t>
      </w:r>
      <w:r>
        <w:rPr>
          <w:rFonts w:hint="eastAsia" w:asciiTheme="minorEastAsia" w:hAnsiTheme="minorEastAsia" w:eastAsiaTheme="minorEastAsia" w:cstheme="minorEastAsia"/>
        </w:rPr>
        <w:t>利用</w:t>
      </w:r>
      <w:r>
        <w:rPr>
          <w:rFonts w:hint="eastAsia"/>
        </w:rPr>
        <w:t>，使建筑能源利用效率进一步提升，能源消费结构进一步优化，可以有效遏制建筑能耗的增长趋势，公共建筑能耗强度稳步下降。</w:t>
      </w:r>
    </w:p>
    <w:p>
      <w:pPr>
        <w:ind w:left="0" w:leftChars="0" w:right="0" w:rightChars="0" w:firstLine="480"/>
      </w:pPr>
      <w:r>
        <w:rPr>
          <w:rFonts w:hint="eastAsia"/>
        </w:rPr>
        <w:t>从发展挑战看，汕尾市城镇化进程不断提高，建筑总量仍将持续增长；经济发展处于转型期，主要依托建筑提供服务场所的第三产业将快速发展；人民群众生活水平处于提升期，对居住舒适度及环境健康性能的要求不断提高，大量新型用能设备进入家庭，对做好绿色建筑与</w:t>
      </w:r>
      <w:r>
        <w:rPr>
          <w:rFonts w:hint="eastAsia" w:asciiTheme="minorEastAsia" w:hAnsiTheme="minorEastAsia" w:eastAsiaTheme="minorEastAsia" w:cstheme="minorEastAsia"/>
        </w:rPr>
        <w:t>新型</w:t>
      </w:r>
      <w:r>
        <w:rPr>
          <w:rFonts w:hint="eastAsia"/>
        </w:rPr>
        <w:t>建筑工业化发展工作提出了更高要求。</w:t>
      </w:r>
    </w:p>
    <w:p>
      <w:pPr>
        <w:ind w:left="0" w:leftChars="0" w:right="0" w:rightChars="0" w:firstLine="480"/>
      </w:pPr>
      <w:r>
        <w:t>因此</w:t>
      </w:r>
      <w:r>
        <w:rPr>
          <w:rFonts w:hint="eastAsia"/>
        </w:rPr>
        <w:t>，</w:t>
      </w:r>
      <w:r>
        <w:t>推进绿色建筑发展专项规划编制工作</w:t>
      </w:r>
      <w:r>
        <w:rPr>
          <w:rFonts w:hint="eastAsia"/>
        </w:rPr>
        <w:t>，</w:t>
      </w:r>
      <w:r>
        <w:t>从根本上推动绿色建筑和</w:t>
      </w:r>
      <w:r>
        <w:rPr>
          <w:rFonts w:hint="eastAsia" w:asciiTheme="minorEastAsia" w:hAnsiTheme="minorEastAsia" w:eastAsiaTheme="minorEastAsia" w:cstheme="minorEastAsia"/>
        </w:rPr>
        <w:t>新型</w:t>
      </w:r>
      <w:r>
        <w:t>建筑工业化的发展</w:t>
      </w:r>
      <w:r>
        <w:rPr>
          <w:rFonts w:hint="eastAsia"/>
        </w:rPr>
        <w:t>，</w:t>
      </w:r>
      <w:r>
        <w:t>是落实国家</w:t>
      </w:r>
      <w:r>
        <w:rPr>
          <w:rFonts w:hint="eastAsia"/>
        </w:rPr>
        <w:t>、</w:t>
      </w:r>
      <w:r>
        <w:t>广东省能源生产和消费革命战略的客观要求</w:t>
      </w:r>
      <w:r>
        <w:rPr>
          <w:rFonts w:hint="eastAsia"/>
        </w:rPr>
        <w:t>，</w:t>
      </w:r>
      <w:r>
        <w:t>是加快生态文明建设</w:t>
      </w:r>
      <w:r>
        <w:rPr>
          <w:rFonts w:hint="eastAsia"/>
        </w:rPr>
        <w:t>、</w:t>
      </w:r>
      <w:r>
        <w:t>走新型城镇化道路的重要体现</w:t>
      </w:r>
      <w:r>
        <w:rPr>
          <w:rFonts w:hint="eastAsia"/>
        </w:rPr>
        <w:t>，</w:t>
      </w:r>
      <w:r>
        <w:t>是推进节能减排和应对气候变化的有效手段</w:t>
      </w:r>
      <w:r>
        <w:rPr>
          <w:rFonts w:hint="eastAsia"/>
        </w:rPr>
        <w:t>，</w:t>
      </w:r>
      <w:r>
        <w:t>是创新驱动增强经济发展新动能的着力点</w:t>
      </w:r>
      <w:r>
        <w:rPr>
          <w:rFonts w:hint="eastAsia"/>
        </w:rPr>
        <w:t>，对于建设节能低碳、绿色生态、集约高效的建筑用能体系，推动住房城乡建设领域供给侧结构性改革，实现绿色发展具有重要的现实意义和深远的战略意义。</w:t>
      </w:r>
    </w:p>
    <w:bookmarkEnd w:id="7"/>
    <w:bookmarkEnd w:id="8"/>
    <w:p>
      <w:pPr>
        <w:pStyle w:val="3"/>
        <w:numPr>
          <w:ilvl w:val="1"/>
          <w:numId w:val="12"/>
        </w:numPr>
        <w:spacing w:line="360" w:lineRule="auto"/>
        <w:ind w:left="0" w:leftChars="0" w:right="-84" w:rightChars="-35" w:firstLine="0" w:firstLineChars="0"/>
        <w:rPr>
          <w:rFonts w:ascii="黑体" w:hAnsi="黑体"/>
          <w:szCs w:val="30"/>
        </w:rPr>
      </w:pPr>
      <w:bookmarkStart w:id="10" w:name="_Toc117875432"/>
      <w:r>
        <w:rPr>
          <w:rFonts w:hint="eastAsia" w:ascii="黑体" w:hAnsi="黑体"/>
          <w:szCs w:val="30"/>
        </w:rPr>
        <w:t>指导思想</w:t>
      </w:r>
      <w:bookmarkEnd w:id="10"/>
    </w:p>
    <w:p>
      <w:pPr>
        <w:ind w:left="0" w:leftChars="0" w:right="0" w:rightChars="0" w:firstLine="480"/>
        <w:rPr>
          <w:rFonts w:asciiTheme="minorEastAsia" w:hAnsiTheme="minorEastAsia" w:eastAsiaTheme="minorEastAsia" w:cstheme="minorEastAsia"/>
        </w:rPr>
      </w:pPr>
      <w:r>
        <w:rPr>
          <w:rFonts w:hint="eastAsia" w:asciiTheme="minorEastAsia" w:hAnsiTheme="minorEastAsia" w:eastAsiaTheme="minorEastAsia" w:cstheme="minorEastAsia"/>
        </w:rPr>
        <w:t>以习近平新时代中国特色社会主义思想为统领，全面贯彻党的二十大精神，按照习近平总书记“世界眼光、国际标准、中国特色、高点定位”的重要指示要求，以粤港澳大湾区建设为契机，以供给侧结构性改革为主线，统筹推进经济建设、政治建设、文化建设、社会建设、生态文明建设的总体布局，协调推进全面建设社会主义现代化国家、全面深化改革、全面依法治国、全面从严治党的战略布局，坚定不移贯彻创新、协调、绿色、开放、共享的新发展理念，坚持稳中求进工作总基调，以推动高质量发展为主题，以深化供给侧结构性改革为主线，坚定不移走生态优先、绿色低碳的高质量发展道路，大力推进绿色建筑、建筑节能、装配式建筑等工作，全面提高建筑能源利用效率和建筑环境品质，推动全市住房城乡建设领域绿色化发展，助力碳达峰、碳中和目标实现，将汕尾市建设成为沿海经济带的靓丽明珠。</w:t>
      </w:r>
    </w:p>
    <w:p>
      <w:pPr>
        <w:pStyle w:val="3"/>
        <w:numPr>
          <w:ilvl w:val="1"/>
          <w:numId w:val="12"/>
        </w:numPr>
        <w:spacing w:line="360" w:lineRule="auto"/>
        <w:ind w:left="0" w:leftChars="0" w:right="-84" w:rightChars="-35" w:firstLine="0" w:firstLineChars="0"/>
        <w:rPr>
          <w:rFonts w:ascii="黑体" w:hAnsi="黑体"/>
          <w:szCs w:val="30"/>
        </w:rPr>
      </w:pPr>
      <w:bookmarkStart w:id="11" w:name="_Toc117875433"/>
      <w:r>
        <w:rPr>
          <w:rFonts w:hint="eastAsia" w:ascii="黑体" w:hAnsi="黑体"/>
          <w:szCs w:val="30"/>
        </w:rPr>
        <w:t>规划</w:t>
      </w:r>
      <w:r>
        <w:rPr>
          <w:rFonts w:ascii="黑体" w:hAnsi="黑体"/>
          <w:szCs w:val="30"/>
        </w:rPr>
        <w:t>意义</w:t>
      </w:r>
      <w:bookmarkEnd w:id="11"/>
    </w:p>
    <w:p>
      <w:pPr>
        <w:ind w:left="0" w:leftChars="0" w:right="0" w:rightChars="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（1）编制绿色建筑发展专项规划是推进生态文明建设的必然要求</w:t>
      </w:r>
    </w:p>
    <w:p>
      <w:pPr>
        <w:ind w:left="0" w:leftChars="0" w:right="0" w:rightChars="0" w:firstLine="480"/>
        <w:rPr>
          <w:rFonts w:asciiTheme="minorEastAsia" w:hAnsiTheme="minorEastAsia" w:eastAsiaTheme="minorEastAsia" w:cstheme="minorEastAsia"/>
        </w:rPr>
      </w:pPr>
      <w:r>
        <w:rPr>
          <w:rFonts w:hint="eastAsia" w:asciiTheme="minorEastAsia" w:hAnsiTheme="minorEastAsia" w:eastAsiaTheme="minorEastAsia" w:cstheme="minorEastAsia"/>
        </w:rPr>
        <w:t>编制绿色建筑</w:t>
      </w:r>
      <w:r>
        <w:t>发展</w:t>
      </w:r>
      <w:r>
        <w:rPr>
          <w:rFonts w:hint="eastAsia" w:asciiTheme="minorEastAsia" w:hAnsiTheme="minorEastAsia" w:eastAsiaTheme="minorEastAsia" w:cstheme="minorEastAsia"/>
        </w:rPr>
        <w:t>专项规划，提高绿色建筑标准，实施既有建筑绿色化改造，加大公共建筑节能监测及监管，规模化推广可再生能源利用，不仅能提升建筑能源利用效率，优化能源消费结构，实现碳排放和能源消耗双控。通过发展绿色建筑，不仅抓住了落实全社会节能减排目标的关键点，也将促进城镇发展从规模扩张向质量提升转型，对引导汕尾实现绿色发展、走新型城镇化道路、推进生态文明建设具有重要的意义。</w:t>
      </w:r>
    </w:p>
    <w:p>
      <w:pPr>
        <w:ind w:left="0" w:leftChars="0" w:right="0" w:rightChars="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（2）编制绿色建筑发展专项规划是实现行业转型升级的重要抓手</w:t>
      </w:r>
    </w:p>
    <w:p>
      <w:pPr>
        <w:ind w:left="0" w:leftChars="0" w:right="0" w:rightChars="0" w:firstLine="480"/>
        <w:rPr>
          <w:rFonts w:asciiTheme="minorEastAsia" w:hAnsiTheme="minorEastAsia" w:eastAsiaTheme="minorEastAsia" w:cstheme="minorEastAsia"/>
        </w:rPr>
      </w:pPr>
      <w:r>
        <w:rPr>
          <w:rFonts w:hint="eastAsia" w:asciiTheme="minorEastAsia" w:hAnsiTheme="minorEastAsia" w:eastAsiaTheme="minorEastAsia" w:cstheme="minorEastAsia"/>
        </w:rPr>
        <w:t>我国国民经济高质量发展已经进入攻坚克难的关键阶段，广东省提出了紧紧围绕推动建筑高质量发展，大力提升建筑产业现代化水平、实现行业转型升级的工作任务。一方面要求建筑质量提升，建筑绿色节能品质升级；另一方面，为行业绿色升级提供契机，在提高城市综合承载能力和供给侧结构性改革双重驱动下，有效带动绿色建筑、装配式建筑、散装水泥、绿色建材、建筑节能等产业发展。编制绿色建筑</w:t>
      </w:r>
      <w:r>
        <w:t>发展</w:t>
      </w:r>
      <w:r>
        <w:rPr>
          <w:rFonts w:hint="eastAsia" w:asciiTheme="minorEastAsia" w:hAnsiTheme="minorEastAsia" w:eastAsiaTheme="minorEastAsia" w:cstheme="minorEastAsia"/>
        </w:rPr>
        <w:t>专项规划，大力推进绿色建筑和新型建筑工业化发展，不但能够实现技术升级及推广，还能有效带动新型建材、新能源、节能服务等产业发展，推动我省建筑行业集约内涵式增长，将是实现城乡建设模式和建筑行业转型升级的重要途径。</w:t>
      </w:r>
    </w:p>
    <w:p>
      <w:pPr>
        <w:ind w:left="0" w:leftChars="0" w:right="0" w:rightChars="0" w:firstLine="482"/>
        <w:rPr>
          <w:rFonts w:asciiTheme="minorEastAsia" w:hAnsiTheme="minorEastAsia" w:eastAsiaTheme="minorEastAsia" w:cstheme="minorEastAsia"/>
          <w:b/>
        </w:rPr>
      </w:pPr>
      <w:r>
        <w:rPr>
          <w:rFonts w:hint="eastAsia" w:asciiTheme="minorEastAsia" w:hAnsiTheme="minorEastAsia" w:eastAsiaTheme="minorEastAsia" w:cstheme="minorEastAsia"/>
          <w:b/>
        </w:rPr>
        <w:t>（3）编制绿色建筑发展专项规划是落实绿色发展要求的有效途径</w:t>
      </w:r>
    </w:p>
    <w:p>
      <w:pPr>
        <w:ind w:left="0" w:leftChars="0" w:right="0" w:rightChars="0" w:firstLine="480"/>
        <w:rPr>
          <w:rFonts w:asciiTheme="minorEastAsia" w:hAnsiTheme="minorEastAsia" w:eastAsiaTheme="minorEastAsia" w:cstheme="minorEastAsia"/>
        </w:rPr>
      </w:pPr>
      <w:r>
        <w:rPr>
          <w:rFonts w:hint="eastAsia" w:asciiTheme="minorEastAsia" w:hAnsiTheme="minorEastAsia" w:eastAsiaTheme="minorEastAsia" w:cstheme="minorEastAsia"/>
        </w:rPr>
        <w:t>广东省在推进绿色建筑发展上也走在全国前列，2</w:t>
      </w:r>
      <w:r>
        <w:rPr>
          <w:rFonts w:asciiTheme="minorEastAsia" w:hAnsiTheme="minorEastAsia" w:eastAsiaTheme="minorEastAsia" w:cstheme="minorEastAsia"/>
        </w:rPr>
        <w:t>020年</w:t>
      </w:r>
      <w:r>
        <w:rPr>
          <w:rFonts w:hint="eastAsia" w:asciiTheme="minorEastAsia" w:hAnsiTheme="minorEastAsia" w:eastAsiaTheme="minorEastAsia" w:cstheme="minorEastAsia"/>
        </w:rPr>
        <w:t>1</w:t>
      </w:r>
      <w:r>
        <w:rPr>
          <w:rFonts w:asciiTheme="minorEastAsia" w:hAnsiTheme="minorEastAsia" w:eastAsiaTheme="minorEastAsia" w:cstheme="minorEastAsia"/>
        </w:rPr>
        <w:t>1月</w:t>
      </w:r>
      <w:r>
        <w:rPr>
          <w:rFonts w:hint="eastAsia" w:asciiTheme="minorEastAsia" w:hAnsiTheme="minorEastAsia" w:eastAsiaTheme="minorEastAsia" w:cstheme="minorEastAsia"/>
        </w:rPr>
        <w:t>，广东省</w:t>
      </w:r>
      <w:r>
        <w:rPr>
          <w:rFonts w:asciiTheme="minorEastAsia" w:hAnsiTheme="minorEastAsia" w:eastAsiaTheme="minorEastAsia" w:cstheme="minorEastAsia"/>
        </w:rPr>
        <w:t>印发了</w:t>
      </w:r>
      <w:r>
        <w:rPr>
          <w:rFonts w:hint="eastAsia" w:asciiTheme="minorEastAsia" w:hAnsiTheme="minorEastAsia" w:eastAsiaTheme="minorEastAsia" w:cstheme="minorEastAsia"/>
        </w:rPr>
        <w:t>《广东省绿色建筑条例》，是省内首次制定地方性法规推进绿色建筑高质量发展,规范绿色建筑活动；2021年9月，广东省印发了《广东省绿色建筑创建行动实施方案（2021-2023）》，决定在全省开展绿色建筑创建行动，推动广东省绿色建筑加快发展，助力碳达峰、碳中和目标实现；2</w:t>
      </w:r>
      <w:r>
        <w:rPr>
          <w:rFonts w:asciiTheme="minorEastAsia" w:hAnsiTheme="minorEastAsia" w:eastAsiaTheme="minorEastAsia" w:cstheme="minorEastAsia"/>
        </w:rPr>
        <w:t>022年</w:t>
      </w:r>
      <w:r>
        <w:rPr>
          <w:rFonts w:hint="eastAsia" w:asciiTheme="minorEastAsia" w:hAnsiTheme="minorEastAsia" w:eastAsiaTheme="minorEastAsia" w:cstheme="minorEastAsia"/>
        </w:rPr>
        <w:t>3月，广东省住房和城乡建设厅印发了《广东省建筑节能与绿色建筑发展“十四五”规划》，提出要提升建筑节能降碳水平，到2025年，全省要完成既有建筑节能绿色化改造面积3000万</w:t>
      </w:r>
      <w:r>
        <w:rPr>
          <w:rFonts w:hint="eastAsia"/>
          <w:szCs w:val="24"/>
        </w:rPr>
        <w:t>m</w:t>
      </w:r>
      <w:r>
        <w:rPr>
          <w:szCs w:val="24"/>
          <w:vertAlign w:val="superscript"/>
        </w:rPr>
        <w:t>2</w:t>
      </w:r>
      <w:r>
        <w:rPr>
          <w:rFonts w:hint="eastAsia" w:asciiTheme="minorEastAsia" w:hAnsiTheme="minorEastAsia" w:eastAsiaTheme="minorEastAsia" w:cstheme="minorEastAsia"/>
        </w:rPr>
        <w:t>以上，建设岭南特色超低能耗及近零能耗建筑300万</w:t>
      </w:r>
      <w:r>
        <w:rPr>
          <w:rFonts w:hint="eastAsia"/>
          <w:szCs w:val="24"/>
        </w:rPr>
        <w:t>m</w:t>
      </w:r>
      <w:r>
        <w:rPr>
          <w:szCs w:val="24"/>
          <w:vertAlign w:val="superscript"/>
        </w:rPr>
        <w:t>2</w:t>
      </w:r>
      <w:r>
        <w:rPr>
          <w:rFonts w:hint="eastAsia" w:asciiTheme="minorEastAsia" w:hAnsiTheme="minorEastAsia" w:eastAsiaTheme="minorEastAsia" w:cstheme="minorEastAsia"/>
        </w:rPr>
        <w:t>，新增建筑太阳能光伏装机容量200万千瓦，建筑能耗中电力消费比例超过80%。因此加快编制汕尾市绿色建筑</w:t>
      </w:r>
      <w:r>
        <w:t>发展</w:t>
      </w:r>
      <w:r>
        <w:rPr>
          <w:rFonts w:hint="eastAsia" w:asciiTheme="minorEastAsia" w:hAnsiTheme="minorEastAsia" w:eastAsiaTheme="minorEastAsia" w:cstheme="minorEastAsia"/>
        </w:rPr>
        <w:t>专项规划，既是落实《广东省绿色建筑条例》的需要，也是确保绿色建筑各项工作有据可依、有效指导和推进汕尾市绿色建筑发展的需要。</w:t>
      </w:r>
    </w:p>
    <w:p>
      <w:pPr>
        <w:pStyle w:val="3"/>
        <w:numPr>
          <w:ilvl w:val="1"/>
          <w:numId w:val="12"/>
        </w:numPr>
        <w:spacing w:line="360" w:lineRule="auto"/>
        <w:ind w:left="0" w:leftChars="0" w:right="-84" w:rightChars="-35" w:firstLine="0" w:firstLineChars="0"/>
        <w:rPr>
          <w:rFonts w:ascii="黑体" w:hAnsi="黑体"/>
          <w:szCs w:val="30"/>
        </w:rPr>
      </w:pPr>
      <w:bookmarkStart w:id="12" w:name="_Toc117875434"/>
      <w:r>
        <w:rPr>
          <w:rFonts w:hint="eastAsia" w:ascii="黑体" w:hAnsi="黑体"/>
          <w:szCs w:val="30"/>
        </w:rPr>
        <w:t>规划原则</w:t>
      </w:r>
      <w:bookmarkEnd w:id="12"/>
    </w:p>
    <w:p>
      <w:pPr>
        <w:ind w:left="0" w:leftChars="0" w:right="0" w:rightChars="0" w:firstLine="482"/>
        <w:rPr>
          <w:b/>
          <w:szCs w:val="24"/>
        </w:rPr>
      </w:pPr>
      <w:r>
        <w:rPr>
          <w:rFonts w:hint="eastAsia"/>
          <w:b/>
          <w:szCs w:val="24"/>
        </w:rPr>
        <w:t>（1）因地制宜，科学发展</w:t>
      </w:r>
    </w:p>
    <w:p>
      <w:pPr>
        <w:ind w:left="0" w:leftChars="0" w:right="0" w:rightChars="0" w:firstLine="480"/>
        <w:rPr>
          <w:szCs w:val="24"/>
        </w:rPr>
      </w:pPr>
      <w:r>
        <w:rPr>
          <w:rFonts w:hint="eastAsia"/>
          <w:szCs w:val="24"/>
        </w:rPr>
        <w:t>绿色建筑发展要结合汕尾市实际情况，因地制宜制定发展目标和实施路径。应与国家及广东省能源生产与消费革命、生态文明建设、新型城镇化、应对气候变化、大气污染防治等战略目标相协调、相衔接，统筹建筑节能、绿色建筑、可再生能源建筑应用、装配式建筑、海绵城市、绿色建材推广、建筑文化发展、城市风貌塑造等工作，把握机遇，主动作为，凝聚政策合力，提高发展效率。</w:t>
      </w:r>
    </w:p>
    <w:p>
      <w:pPr>
        <w:ind w:left="0" w:leftChars="0" w:right="0" w:rightChars="0" w:firstLine="482"/>
        <w:rPr>
          <w:b/>
          <w:szCs w:val="24"/>
        </w:rPr>
      </w:pPr>
      <w:r>
        <w:rPr>
          <w:rFonts w:hint="eastAsia"/>
          <w:b/>
          <w:szCs w:val="24"/>
        </w:rPr>
        <w:t>（2）政府引导，市场推动</w:t>
      </w:r>
    </w:p>
    <w:p>
      <w:pPr>
        <w:ind w:left="0" w:leftChars="0" w:right="0" w:rightChars="0" w:firstLine="480"/>
        <w:rPr>
          <w:szCs w:val="24"/>
        </w:rPr>
      </w:pPr>
      <w:r>
        <w:rPr>
          <w:rFonts w:hint="eastAsia"/>
          <w:szCs w:val="24"/>
        </w:rPr>
        <w:t>绿色建筑发展离不开政府和市场等多方力量的共同推动。绿色建筑发展模式应从现有的政府为主导向政府引导、市场推动转变。需进一步建立健全绿色建筑标准体系，完善绿色建筑评价标识制度，加大相关政策、资金的扶持力度，营造有利于绿色建筑发展的市场环境，引导和保障绿色建筑发展。继续加强政府对绿色建筑和建筑产业化的引领、促进作用，完善相关政策制度，加强组织机构建设，强化政府部门间的协同工作机制，形成多规划融合的绿色建筑发展合力。</w:t>
      </w:r>
    </w:p>
    <w:p>
      <w:pPr>
        <w:ind w:left="0" w:leftChars="0" w:right="0" w:rightChars="0" w:firstLine="482"/>
        <w:rPr>
          <w:b/>
          <w:szCs w:val="24"/>
        </w:rPr>
      </w:pPr>
      <w:r>
        <w:rPr>
          <w:rFonts w:hint="eastAsia"/>
          <w:b/>
          <w:szCs w:val="24"/>
        </w:rPr>
        <w:t>（3）全面推进，突出重点</w:t>
      </w:r>
    </w:p>
    <w:p>
      <w:pPr>
        <w:ind w:left="0" w:leftChars="0" w:right="0" w:rightChars="0" w:firstLine="480"/>
        <w:rPr>
          <w:szCs w:val="24"/>
        </w:rPr>
      </w:pPr>
      <w:r>
        <w:rPr>
          <w:rFonts w:hint="eastAsia"/>
          <w:szCs w:val="24"/>
        </w:rPr>
        <w:t>绿色建筑发展的着力点应从规划、设计、建造扩展到运行管理，从节能绿色建筑扩展到健康建筑，从增量到存量转变，从城市向统筹城乡转变，把节能及绿色发展理念延伸至建筑全领域、全过程及全产业链。绿色建筑发展要充分考虑建筑类型、投资主体等方面的差异性，在全面执行基本级绿色建筑建设标准的基础上，强化政府投资的建筑采用高星级绿色建筑标准，以点带面，点面结合，以国有资金参与的政府投资建筑、保障性住房以及大型公共建筑等重点项目带动绿色建筑发展，实现绿色建筑发展突破。</w:t>
      </w:r>
    </w:p>
    <w:p>
      <w:pPr>
        <w:ind w:left="0" w:leftChars="0" w:right="0" w:rightChars="0" w:firstLine="482"/>
        <w:rPr>
          <w:b/>
          <w:szCs w:val="24"/>
        </w:rPr>
      </w:pPr>
      <w:r>
        <w:rPr>
          <w:rFonts w:hint="eastAsia"/>
          <w:b/>
          <w:szCs w:val="24"/>
        </w:rPr>
        <w:t>（4）远近结合，有序推进</w:t>
      </w:r>
    </w:p>
    <w:p>
      <w:pPr>
        <w:ind w:left="0" w:leftChars="0" w:right="0" w:rightChars="0" w:firstLine="480"/>
        <w:rPr>
          <w:szCs w:val="24"/>
        </w:rPr>
      </w:pPr>
      <w:r>
        <w:rPr>
          <w:rFonts w:hint="eastAsia"/>
          <w:szCs w:val="24"/>
        </w:rPr>
        <w:t>绿色建筑的推进要与城市的建设需求、环境的持续发展紧密结合，根据规划年限和范围，从全局出发正确处理总体与局部关系，要经得起城市长远发展的考验。绿色建筑规划编制的有效性也必须立足在正确处理现状与未来、近期建设与远期发展关系的基础上。通过规划目标的合理分解、技术手段的有力支撑、建设时序的合理安排，增强规划的可实施性与可操作性，并做到主次分明、先后有序，力求实现近期可行、远期合理。</w:t>
      </w:r>
    </w:p>
    <w:p>
      <w:pPr>
        <w:pStyle w:val="3"/>
        <w:numPr>
          <w:ilvl w:val="1"/>
          <w:numId w:val="12"/>
        </w:numPr>
        <w:spacing w:line="360" w:lineRule="auto"/>
        <w:ind w:left="0" w:leftChars="0" w:right="-84" w:rightChars="-35" w:firstLine="0" w:firstLineChars="0"/>
        <w:rPr>
          <w:rFonts w:ascii="黑体" w:hAnsi="黑体"/>
          <w:szCs w:val="30"/>
        </w:rPr>
      </w:pPr>
      <w:bookmarkStart w:id="13" w:name="_Toc117875435"/>
      <w:r>
        <w:rPr>
          <w:rFonts w:ascii="黑体" w:hAnsi="黑体"/>
          <w:szCs w:val="30"/>
        </w:rPr>
        <w:t>规划依据</w:t>
      </w:r>
      <w:bookmarkEnd w:id="13"/>
    </w:p>
    <w:p>
      <w:pPr>
        <w:pStyle w:val="4"/>
        <w:numPr>
          <w:ilvl w:val="2"/>
          <w:numId w:val="12"/>
        </w:numPr>
        <w:spacing w:line="360" w:lineRule="auto"/>
        <w:ind w:left="0" w:right="-84" w:rightChars="-35" w:firstLine="482"/>
        <w:rPr>
          <w:rFonts w:ascii="黑体" w:hAnsi="黑体" w:eastAsia="黑体"/>
          <w:sz w:val="28"/>
          <w:szCs w:val="28"/>
        </w:rPr>
      </w:pPr>
      <w:bookmarkStart w:id="14" w:name="OLE_LINK9"/>
      <w:bookmarkStart w:id="15" w:name="OLE_LINK8"/>
      <w:r>
        <w:rPr>
          <w:rFonts w:hint="eastAsia" w:ascii="黑体" w:hAnsi="黑体" w:eastAsia="黑体"/>
          <w:sz w:val="28"/>
          <w:szCs w:val="28"/>
        </w:rPr>
        <w:t>法律法规、政策文件</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w:t>
      </w:r>
      <w:bookmarkStart w:id="16" w:name="OLE_LINK14"/>
      <w:bookmarkStart w:id="17" w:name="OLE_LINK13"/>
      <w:r>
        <w:rPr>
          <w:rFonts w:hint="eastAsia" w:cs="仿宋_GB2312" w:asciiTheme="minorEastAsia" w:hAnsiTheme="minorEastAsia" w:eastAsiaTheme="minorEastAsia"/>
          <w:szCs w:val="32"/>
          <w:lang w:bidi="ar"/>
        </w:rPr>
        <w:t>中华人民共和国城乡规划法</w:t>
      </w:r>
      <w:bookmarkEnd w:id="16"/>
      <w:bookmarkEnd w:id="17"/>
      <w:r>
        <w:rPr>
          <w:rFonts w:hint="eastAsia" w:cs="仿宋_GB2312" w:asciiTheme="minorEastAsia" w:hAnsiTheme="minorEastAsia" w:eastAsiaTheme="minorEastAsia"/>
          <w:szCs w:val="32"/>
          <w:lang w:bidi="ar"/>
        </w:rPr>
        <w:t>》（</w:t>
      </w:r>
      <w:r>
        <w:rPr>
          <w:rFonts w:cs="仿宋_GB2312" w:asciiTheme="minorEastAsia" w:hAnsiTheme="minorEastAsia" w:eastAsiaTheme="minorEastAsia"/>
          <w:szCs w:val="32"/>
          <w:lang w:bidi="ar"/>
        </w:rPr>
        <w:t>2019年修正版</w:t>
      </w:r>
      <w:r>
        <w:rPr>
          <w:rFonts w:hint="eastAsia" w:cs="仿宋_GB2312" w:asciiTheme="minorEastAsia" w:hAnsiTheme="minorEastAsia" w:eastAsiaTheme="minorEastAsia"/>
          <w:szCs w:val="32"/>
          <w:lang w:bidi="ar"/>
        </w:rPr>
        <w:t>）</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《中华人民共和国建筑法》（2019修正版）</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《中华人民共和国节约能源法》（2018修正版）</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cs="仿宋_GB2312" w:asciiTheme="minorEastAsia" w:hAnsiTheme="minorEastAsia" w:eastAsiaTheme="minorEastAsia"/>
          <w:szCs w:val="32"/>
          <w:lang w:bidi="ar"/>
        </w:rPr>
        <w:t>发展改革委</w:t>
      </w:r>
      <w:r>
        <w:rPr>
          <w:rFonts w:hint="eastAsia" w:cs="仿宋_GB2312" w:asciiTheme="minorEastAsia" w:hAnsiTheme="minorEastAsia" w:eastAsiaTheme="minorEastAsia"/>
          <w:szCs w:val="32"/>
          <w:lang w:bidi="ar"/>
        </w:rPr>
        <w:t>、</w:t>
      </w:r>
      <w:r>
        <w:rPr>
          <w:rFonts w:cs="仿宋_GB2312" w:asciiTheme="minorEastAsia" w:hAnsiTheme="minorEastAsia" w:eastAsiaTheme="minorEastAsia"/>
          <w:szCs w:val="32"/>
          <w:lang w:bidi="ar"/>
        </w:rPr>
        <w:t>住房城乡建设部《绿色建筑行动方案》</w:t>
      </w:r>
      <w:r>
        <w:rPr>
          <w:rFonts w:hint="eastAsia" w:cs="仿宋_GB2312" w:asciiTheme="minorEastAsia" w:hAnsiTheme="minorEastAsia" w:eastAsiaTheme="minorEastAsia"/>
          <w:szCs w:val="32"/>
          <w:lang w:bidi="ar"/>
        </w:rPr>
        <w:t>（</w:t>
      </w:r>
      <w:r>
        <w:rPr>
          <w:rFonts w:cs="仿宋_GB2312" w:asciiTheme="minorEastAsia" w:hAnsiTheme="minorEastAsia" w:eastAsiaTheme="minorEastAsia"/>
          <w:szCs w:val="32"/>
          <w:lang w:bidi="ar"/>
        </w:rPr>
        <w:t>国办发[2013]1号</w:t>
      </w:r>
      <w:r>
        <w:rPr>
          <w:rFonts w:hint="eastAsia" w:cs="仿宋_GB2312" w:asciiTheme="minorEastAsia" w:hAnsiTheme="minorEastAsia" w:eastAsiaTheme="minorEastAsia"/>
          <w:szCs w:val="32"/>
          <w:lang w:bidi="ar"/>
        </w:rPr>
        <w:t>）</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cs="仿宋_GB2312" w:asciiTheme="minorEastAsia" w:hAnsiTheme="minorEastAsia" w:eastAsiaTheme="minorEastAsia"/>
          <w:szCs w:val="32"/>
          <w:lang w:bidi="ar"/>
        </w:rPr>
        <w:t>《国务院办公厅关于促进建筑业持续健康发展的意见》</w:t>
      </w:r>
      <w:r>
        <w:rPr>
          <w:rFonts w:hint="eastAsia" w:cs="仿宋_GB2312" w:asciiTheme="minorEastAsia" w:hAnsiTheme="minorEastAsia" w:eastAsiaTheme="minorEastAsia"/>
          <w:szCs w:val="32"/>
          <w:lang w:bidi="ar"/>
        </w:rPr>
        <w:t>（国办发〔2017〕19号）</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《住房和城乡建设部 国家发展改革委 教育部工业和信息化部 人民银行 国管局 银保监会关于印发绿色建筑创建行动方案的通知》（建标〔2020〕65号）</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中共中央办公厅 国务院办公厅印发《关于推动城乡建设绿色发展的意见》（2</w:t>
      </w:r>
      <w:r>
        <w:rPr>
          <w:rFonts w:cs="仿宋_GB2312" w:asciiTheme="minorEastAsia" w:hAnsiTheme="minorEastAsia" w:eastAsiaTheme="minorEastAsia"/>
          <w:szCs w:val="32"/>
          <w:lang w:bidi="ar"/>
        </w:rPr>
        <w:t>021年10</w:t>
      </w:r>
      <w:r>
        <w:rPr>
          <w:rFonts w:hint="eastAsia" w:cs="仿宋_GB2312" w:asciiTheme="minorEastAsia" w:hAnsiTheme="minorEastAsia" w:eastAsiaTheme="minorEastAsia"/>
          <w:szCs w:val="32"/>
          <w:lang w:bidi="ar"/>
        </w:rPr>
        <w:t>月）</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《中共中央 国务院关于完整准确全面贯彻新发展理念做好碳达峰碳中和工作的意见》（2021年9月22日）</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《住房和城乡建设部关于印发绿色建筑标识管理办法的通知》（建标规〔2021〕1号）</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《国务院关于加快建立健全绿色低碳循环发展经济体系的指导意见》（国发〔2021〕4号）</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《广东省绿色建筑条例》（2</w:t>
      </w:r>
      <w:r>
        <w:rPr>
          <w:rFonts w:cs="仿宋_GB2312" w:asciiTheme="minorEastAsia" w:hAnsiTheme="minorEastAsia" w:eastAsiaTheme="minorEastAsia"/>
          <w:szCs w:val="32"/>
          <w:lang w:bidi="ar"/>
        </w:rPr>
        <w:t>020年</w:t>
      </w:r>
      <w:r>
        <w:rPr>
          <w:rFonts w:hint="eastAsia" w:cs="仿宋_GB2312" w:asciiTheme="minorEastAsia" w:hAnsiTheme="minorEastAsia" w:eastAsiaTheme="minorEastAsia"/>
          <w:szCs w:val="32"/>
          <w:lang w:bidi="ar"/>
        </w:rPr>
        <w:t>1</w:t>
      </w:r>
      <w:r>
        <w:rPr>
          <w:rFonts w:cs="仿宋_GB2312" w:asciiTheme="minorEastAsia" w:hAnsiTheme="minorEastAsia" w:eastAsiaTheme="minorEastAsia"/>
          <w:szCs w:val="32"/>
          <w:lang w:bidi="ar"/>
        </w:rPr>
        <w:t>1月</w:t>
      </w:r>
      <w:r>
        <w:rPr>
          <w:rFonts w:hint="eastAsia" w:cs="仿宋_GB2312" w:asciiTheme="minorEastAsia" w:hAnsiTheme="minorEastAsia" w:eastAsiaTheme="minorEastAsia"/>
          <w:szCs w:val="32"/>
          <w:lang w:bidi="ar"/>
        </w:rPr>
        <w:t>）</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《广东省人民政府办公厅关于大力发展装配式建筑的实施意见》（粤府办〔2017〕28号）</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广东省住房和城乡建设厅等13部门印发《广东省绿色建筑创建行动实施方案（2021-2023）》</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《广东省住房和城乡建设厅关于我省绿色建筑标识申报等相关工作的通知》（2</w:t>
      </w:r>
      <w:r>
        <w:rPr>
          <w:rFonts w:cs="仿宋_GB2312" w:asciiTheme="minorEastAsia" w:hAnsiTheme="minorEastAsia" w:eastAsiaTheme="minorEastAsia"/>
          <w:szCs w:val="32"/>
          <w:lang w:bidi="ar"/>
        </w:rPr>
        <w:t>021年</w:t>
      </w:r>
      <w:r>
        <w:rPr>
          <w:rFonts w:hint="eastAsia" w:cs="仿宋_GB2312" w:asciiTheme="minorEastAsia" w:hAnsiTheme="minorEastAsia" w:eastAsiaTheme="minorEastAsia"/>
          <w:szCs w:val="32"/>
          <w:lang w:bidi="ar"/>
        </w:rPr>
        <w:t>9月）</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《汕尾市人民政府办公室关于大力发展装配式建筑的实施意见》（汕府办〔2020〕9号）</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《汕尾市绿色建筑创建行动实施方案（2021－2023年）》</w:t>
      </w:r>
    </w:p>
    <w:p>
      <w:pPr>
        <w:pStyle w:val="102"/>
        <w:numPr>
          <w:ilvl w:val="0"/>
          <w:numId w:val="13"/>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《汕尾市住房和城乡建设局关于进一步推动全市绿色建筑发展的通知》（汕建节〔20</w:t>
      </w:r>
      <w:r>
        <w:rPr>
          <w:rFonts w:cs="仿宋_GB2312" w:asciiTheme="minorEastAsia" w:hAnsiTheme="minorEastAsia" w:eastAsiaTheme="minorEastAsia"/>
          <w:szCs w:val="32"/>
          <w:lang w:bidi="ar"/>
        </w:rPr>
        <w:t>22</w:t>
      </w:r>
      <w:r>
        <w:rPr>
          <w:rFonts w:hint="eastAsia" w:cs="仿宋_GB2312" w:asciiTheme="minorEastAsia" w:hAnsiTheme="minorEastAsia" w:eastAsiaTheme="minorEastAsia"/>
          <w:szCs w:val="32"/>
          <w:lang w:bidi="ar"/>
        </w:rPr>
        <w:t>〕</w:t>
      </w:r>
      <w:r>
        <w:rPr>
          <w:rFonts w:cs="仿宋_GB2312" w:asciiTheme="minorEastAsia" w:hAnsiTheme="minorEastAsia" w:eastAsiaTheme="minorEastAsia"/>
          <w:szCs w:val="32"/>
          <w:lang w:bidi="ar"/>
        </w:rPr>
        <w:t>1</w:t>
      </w:r>
      <w:r>
        <w:rPr>
          <w:rFonts w:hint="eastAsia" w:cs="仿宋_GB2312" w:asciiTheme="minorEastAsia" w:hAnsiTheme="minorEastAsia" w:eastAsiaTheme="minorEastAsia"/>
          <w:szCs w:val="32"/>
          <w:lang w:bidi="ar"/>
        </w:rPr>
        <w:t>号）</w:t>
      </w:r>
    </w:p>
    <w:p>
      <w:pPr>
        <w:pStyle w:val="4"/>
        <w:numPr>
          <w:ilvl w:val="2"/>
          <w:numId w:val="12"/>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标准规范</w:t>
      </w:r>
    </w:p>
    <w:p>
      <w:pPr>
        <w:pStyle w:val="102"/>
        <w:numPr>
          <w:ilvl w:val="0"/>
          <w:numId w:val="14"/>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《既有建筑绿色改造评价标准》（</w:t>
      </w:r>
      <w:r>
        <w:rPr>
          <w:rFonts w:cs="仿宋_GB2312" w:asciiTheme="minorEastAsia" w:hAnsiTheme="minorEastAsia" w:eastAsiaTheme="minorEastAsia"/>
          <w:szCs w:val="32"/>
          <w:lang w:bidi="ar"/>
        </w:rPr>
        <w:t>GB/T51141-2015</w:t>
      </w:r>
      <w:r>
        <w:rPr>
          <w:rFonts w:hint="eastAsia" w:cs="仿宋_GB2312" w:asciiTheme="minorEastAsia" w:hAnsiTheme="minorEastAsia" w:eastAsiaTheme="minorEastAsia"/>
          <w:szCs w:val="32"/>
          <w:lang w:bidi="ar"/>
        </w:rPr>
        <w:t>）</w:t>
      </w:r>
    </w:p>
    <w:p>
      <w:pPr>
        <w:pStyle w:val="102"/>
        <w:numPr>
          <w:ilvl w:val="0"/>
          <w:numId w:val="14"/>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《绿色生态城区评价标准》（</w:t>
      </w:r>
      <w:r>
        <w:rPr>
          <w:rFonts w:cs="仿宋_GB2312" w:asciiTheme="minorEastAsia" w:hAnsiTheme="minorEastAsia" w:eastAsiaTheme="minorEastAsia"/>
          <w:szCs w:val="32"/>
          <w:lang w:bidi="ar"/>
        </w:rPr>
        <w:t>GB/T51255-2017</w:t>
      </w:r>
      <w:r>
        <w:rPr>
          <w:rFonts w:hint="eastAsia" w:cs="仿宋_GB2312" w:asciiTheme="minorEastAsia" w:hAnsiTheme="minorEastAsia" w:eastAsiaTheme="minorEastAsia"/>
          <w:szCs w:val="32"/>
          <w:lang w:bidi="ar"/>
        </w:rPr>
        <w:t>）</w:t>
      </w:r>
    </w:p>
    <w:p>
      <w:pPr>
        <w:pStyle w:val="102"/>
        <w:numPr>
          <w:ilvl w:val="0"/>
          <w:numId w:val="14"/>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《绿色建筑评价标准》（GB/T</w:t>
      </w:r>
      <w:r>
        <w:rPr>
          <w:rFonts w:cs="仿宋_GB2312" w:asciiTheme="minorEastAsia" w:hAnsiTheme="minorEastAsia" w:eastAsiaTheme="minorEastAsia"/>
          <w:szCs w:val="32"/>
          <w:lang w:bidi="ar"/>
        </w:rPr>
        <w:t xml:space="preserve"> </w:t>
      </w:r>
      <w:r>
        <w:rPr>
          <w:rFonts w:hint="eastAsia" w:cs="仿宋_GB2312" w:asciiTheme="minorEastAsia" w:hAnsiTheme="minorEastAsia" w:eastAsiaTheme="minorEastAsia"/>
          <w:szCs w:val="32"/>
          <w:lang w:bidi="ar"/>
        </w:rPr>
        <w:t>50378-2019)</w:t>
      </w:r>
    </w:p>
    <w:p>
      <w:pPr>
        <w:pStyle w:val="102"/>
        <w:numPr>
          <w:ilvl w:val="0"/>
          <w:numId w:val="14"/>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《建筑节能与可再生能源利用通用规范》(GB 55015-2021)</w:t>
      </w:r>
    </w:p>
    <w:p>
      <w:pPr>
        <w:pStyle w:val="102"/>
        <w:numPr>
          <w:ilvl w:val="0"/>
          <w:numId w:val="14"/>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《建筑环境通用规范》（</w:t>
      </w:r>
      <w:r>
        <w:rPr>
          <w:rFonts w:cs="仿宋_GB2312" w:asciiTheme="minorEastAsia" w:hAnsiTheme="minorEastAsia" w:eastAsiaTheme="minorEastAsia"/>
          <w:szCs w:val="32"/>
          <w:lang w:bidi="ar"/>
        </w:rPr>
        <w:t>GB 55016-2021</w:t>
      </w:r>
      <w:r>
        <w:rPr>
          <w:rFonts w:hint="eastAsia" w:cs="仿宋_GB2312" w:asciiTheme="minorEastAsia" w:hAnsiTheme="minorEastAsia" w:eastAsiaTheme="minorEastAsia"/>
          <w:szCs w:val="32"/>
          <w:lang w:bidi="ar"/>
        </w:rPr>
        <w:t>）</w:t>
      </w:r>
    </w:p>
    <w:p>
      <w:pPr>
        <w:pStyle w:val="102"/>
        <w:numPr>
          <w:ilvl w:val="0"/>
          <w:numId w:val="14"/>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《广东省绿色建筑评价标准》（DBJ/T</w:t>
      </w:r>
      <w:r>
        <w:rPr>
          <w:rFonts w:cs="仿宋_GB2312" w:asciiTheme="minorEastAsia" w:hAnsiTheme="minorEastAsia" w:eastAsiaTheme="minorEastAsia"/>
          <w:szCs w:val="32"/>
          <w:lang w:bidi="ar"/>
        </w:rPr>
        <w:t xml:space="preserve"> </w:t>
      </w:r>
      <w:r>
        <w:rPr>
          <w:rFonts w:hint="eastAsia" w:cs="仿宋_GB2312" w:asciiTheme="minorEastAsia" w:hAnsiTheme="minorEastAsia" w:eastAsiaTheme="minorEastAsia"/>
          <w:szCs w:val="32"/>
          <w:lang w:bidi="ar"/>
        </w:rPr>
        <w:t>15-83-2017）</w:t>
      </w:r>
    </w:p>
    <w:p>
      <w:pPr>
        <w:pStyle w:val="102"/>
        <w:numPr>
          <w:ilvl w:val="0"/>
          <w:numId w:val="14"/>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《广东省绿色建筑设计规范》（DBJ/T</w:t>
      </w:r>
      <w:r>
        <w:rPr>
          <w:rFonts w:cs="仿宋_GB2312" w:asciiTheme="minorEastAsia" w:hAnsiTheme="minorEastAsia" w:eastAsiaTheme="minorEastAsia"/>
          <w:szCs w:val="32"/>
          <w:lang w:bidi="ar"/>
        </w:rPr>
        <w:t xml:space="preserve"> </w:t>
      </w:r>
      <w:r>
        <w:rPr>
          <w:rFonts w:hint="eastAsia" w:cs="仿宋_GB2312" w:asciiTheme="minorEastAsia" w:hAnsiTheme="minorEastAsia" w:eastAsiaTheme="minorEastAsia"/>
          <w:szCs w:val="32"/>
          <w:lang w:bidi="ar"/>
        </w:rPr>
        <w:t>15-201-2020）</w:t>
      </w:r>
    </w:p>
    <w:p>
      <w:pPr>
        <w:pStyle w:val="102"/>
        <w:numPr>
          <w:ilvl w:val="0"/>
          <w:numId w:val="14"/>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《广东省建筑节能与绿色建筑工程施工质量验收规范》（DBJ</w:t>
      </w:r>
      <w:r>
        <w:rPr>
          <w:rFonts w:cs="仿宋_GB2312" w:asciiTheme="minorEastAsia" w:hAnsiTheme="minorEastAsia" w:eastAsiaTheme="minorEastAsia"/>
          <w:szCs w:val="32"/>
          <w:lang w:bidi="ar"/>
        </w:rPr>
        <w:t xml:space="preserve"> </w:t>
      </w:r>
      <w:r>
        <w:rPr>
          <w:rFonts w:hint="eastAsia" w:cs="仿宋_GB2312" w:asciiTheme="minorEastAsia" w:hAnsiTheme="minorEastAsia" w:eastAsiaTheme="minorEastAsia"/>
          <w:szCs w:val="32"/>
          <w:lang w:bidi="ar"/>
        </w:rPr>
        <w:t>15-65-2020）</w:t>
      </w:r>
    </w:p>
    <w:p>
      <w:pPr>
        <w:pStyle w:val="4"/>
        <w:numPr>
          <w:ilvl w:val="2"/>
          <w:numId w:val="12"/>
        </w:numPr>
        <w:spacing w:line="360" w:lineRule="auto"/>
        <w:ind w:left="0" w:right="-84" w:rightChars="-35" w:firstLine="482"/>
        <w:rPr>
          <w:rFonts w:ascii="黑体" w:hAnsi="黑体" w:eastAsia="黑体"/>
          <w:sz w:val="28"/>
          <w:szCs w:val="28"/>
        </w:rPr>
      </w:pPr>
      <w:r>
        <w:rPr>
          <w:rFonts w:ascii="黑体" w:hAnsi="黑体" w:eastAsia="黑体"/>
          <w:sz w:val="28"/>
          <w:szCs w:val="28"/>
        </w:rPr>
        <w:t>相关规划</w:t>
      </w:r>
    </w:p>
    <w:p>
      <w:pPr>
        <w:pStyle w:val="102"/>
        <w:numPr>
          <w:ilvl w:val="0"/>
          <w:numId w:val="15"/>
        </w:numPr>
        <w:ind w:leftChars="0" w:right="0" w:rightChars="0" w:firstLineChars="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《“十四五”建筑业发展规划》</w:t>
      </w:r>
    </w:p>
    <w:p>
      <w:pPr>
        <w:pStyle w:val="102"/>
        <w:numPr>
          <w:ilvl w:val="0"/>
          <w:numId w:val="15"/>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《“十四五”全国绿色建筑发展专项规划》</w:t>
      </w:r>
    </w:p>
    <w:p>
      <w:pPr>
        <w:pStyle w:val="102"/>
        <w:numPr>
          <w:ilvl w:val="0"/>
          <w:numId w:val="15"/>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w:t>
      </w:r>
      <w:r>
        <w:rPr>
          <w:rFonts w:cs="仿宋_GB2312" w:asciiTheme="minorEastAsia" w:hAnsiTheme="minorEastAsia" w:eastAsiaTheme="minorEastAsia"/>
          <w:szCs w:val="32"/>
          <w:lang w:bidi="ar"/>
        </w:rPr>
        <w:t>广东省生态文明建设“十四五”规划</w:t>
      </w:r>
      <w:r>
        <w:rPr>
          <w:rFonts w:hint="eastAsia" w:cs="仿宋_GB2312" w:asciiTheme="minorEastAsia" w:hAnsiTheme="minorEastAsia" w:eastAsiaTheme="minorEastAsia"/>
          <w:szCs w:val="32"/>
          <w:lang w:bidi="ar"/>
        </w:rPr>
        <w:t>》</w:t>
      </w:r>
    </w:p>
    <w:p>
      <w:pPr>
        <w:pStyle w:val="102"/>
        <w:numPr>
          <w:ilvl w:val="0"/>
          <w:numId w:val="15"/>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《广东省住房城乡建设事业“十四五”规划》</w:t>
      </w:r>
    </w:p>
    <w:p>
      <w:pPr>
        <w:pStyle w:val="102"/>
        <w:numPr>
          <w:ilvl w:val="0"/>
          <w:numId w:val="15"/>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《广东省建筑节能与绿色建筑发展“十四五”规划》</w:t>
      </w:r>
    </w:p>
    <w:p>
      <w:pPr>
        <w:pStyle w:val="102"/>
        <w:numPr>
          <w:ilvl w:val="0"/>
          <w:numId w:val="15"/>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《汕尾市国民经济和社会发展第十四个五年规划和2035年远景目标纲要》</w:t>
      </w:r>
    </w:p>
    <w:p>
      <w:pPr>
        <w:pStyle w:val="102"/>
        <w:numPr>
          <w:ilvl w:val="0"/>
          <w:numId w:val="15"/>
        </w:numPr>
        <w:ind w:left="0" w:leftChars="0" w:right="0" w:rightChars="0" w:firstLine="480"/>
        <w:rPr>
          <w:rFonts w:cs="仿宋_GB2312" w:asciiTheme="minorEastAsia" w:hAnsiTheme="minorEastAsia" w:eastAsiaTheme="minorEastAsia"/>
          <w:szCs w:val="32"/>
          <w:lang w:bidi="ar"/>
        </w:rPr>
      </w:pPr>
      <w:r>
        <w:rPr>
          <w:rFonts w:hint="eastAsia"/>
          <w:szCs w:val="24"/>
        </w:rPr>
        <w:t>《汕尾市国土空间总体规划（2020</w:t>
      </w:r>
      <w:r>
        <w:rPr>
          <w:rFonts w:cs="仿宋_GB2312" w:asciiTheme="minorEastAsia" w:hAnsiTheme="minorEastAsia" w:eastAsiaTheme="minorEastAsia"/>
          <w:szCs w:val="32"/>
          <w:lang w:bidi="ar"/>
        </w:rPr>
        <w:t>-</w:t>
      </w:r>
      <w:r>
        <w:rPr>
          <w:rFonts w:hint="eastAsia"/>
          <w:szCs w:val="24"/>
        </w:rPr>
        <w:t>2035年）》（公示草案）</w:t>
      </w:r>
    </w:p>
    <w:p>
      <w:pPr>
        <w:pStyle w:val="102"/>
        <w:numPr>
          <w:ilvl w:val="0"/>
          <w:numId w:val="15"/>
        </w:numPr>
        <w:ind w:left="0" w:leftChars="0" w:right="0" w:rightChars="0" w:firstLine="480"/>
        <w:rPr>
          <w:rFonts w:cs="仿宋_GB2312" w:asciiTheme="minorEastAsia" w:hAnsiTheme="minorEastAsia" w:eastAsiaTheme="minorEastAsia"/>
          <w:szCs w:val="32"/>
          <w:lang w:bidi="ar"/>
        </w:rPr>
      </w:pPr>
      <w:r>
        <w:rPr>
          <w:rFonts w:cs="仿宋_GB2312" w:asciiTheme="minorEastAsia" w:hAnsiTheme="minorEastAsia" w:eastAsiaTheme="minorEastAsia"/>
          <w:szCs w:val="32"/>
          <w:lang w:bidi="ar"/>
        </w:rPr>
        <w:t>《</w:t>
      </w:r>
      <w:r>
        <w:rPr>
          <w:rFonts w:hint="eastAsia" w:cs="仿宋_GB2312" w:asciiTheme="minorEastAsia" w:hAnsiTheme="minorEastAsia" w:eastAsiaTheme="minorEastAsia"/>
          <w:szCs w:val="32"/>
          <w:lang w:bidi="ar"/>
        </w:rPr>
        <w:t>汕尾市</w:t>
      </w:r>
      <w:r>
        <w:rPr>
          <w:rFonts w:cs="仿宋_GB2312" w:asciiTheme="minorEastAsia" w:hAnsiTheme="minorEastAsia" w:eastAsiaTheme="minorEastAsia"/>
          <w:szCs w:val="32"/>
          <w:lang w:bidi="ar"/>
        </w:rPr>
        <w:t>城市总体规划（2011-2020）》</w:t>
      </w:r>
    </w:p>
    <w:p>
      <w:pPr>
        <w:pStyle w:val="102"/>
        <w:numPr>
          <w:ilvl w:val="0"/>
          <w:numId w:val="15"/>
        </w:numPr>
        <w:ind w:left="0" w:leftChars="0" w:right="0" w:rightChars="0" w:firstLine="480"/>
        <w:rPr>
          <w:rFonts w:cs="仿宋_GB2312" w:asciiTheme="minorEastAsia" w:hAnsiTheme="minorEastAsia" w:eastAsiaTheme="minorEastAsia"/>
          <w:szCs w:val="32"/>
          <w:lang w:bidi="ar"/>
        </w:rPr>
      </w:pPr>
      <w:r>
        <w:rPr>
          <w:rFonts w:hint="eastAsia" w:cs="仿宋_GB2312" w:asciiTheme="minorEastAsia" w:hAnsiTheme="minorEastAsia" w:eastAsiaTheme="minorEastAsia"/>
          <w:szCs w:val="32"/>
          <w:lang w:bidi="ar"/>
        </w:rPr>
        <w:t>《汕尾市土地利用总体规划（2</w:t>
      </w:r>
      <w:r>
        <w:rPr>
          <w:rFonts w:cs="仿宋_GB2312" w:asciiTheme="minorEastAsia" w:hAnsiTheme="minorEastAsia" w:eastAsiaTheme="minorEastAsia"/>
          <w:szCs w:val="32"/>
          <w:lang w:bidi="ar"/>
        </w:rPr>
        <w:t>006-2020年</w:t>
      </w:r>
      <w:r>
        <w:rPr>
          <w:rFonts w:hint="eastAsia" w:cs="仿宋_GB2312" w:asciiTheme="minorEastAsia" w:hAnsiTheme="minorEastAsia" w:eastAsiaTheme="minorEastAsia"/>
          <w:szCs w:val="32"/>
          <w:lang w:bidi="ar"/>
        </w:rPr>
        <w:t>）》</w:t>
      </w:r>
    </w:p>
    <w:bookmarkEnd w:id="14"/>
    <w:bookmarkEnd w:id="15"/>
    <w:p>
      <w:pPr>
        <w:pStyle w:val="3"/>
        <w:numPr>
          <w:ilvl w:val="1"/>
          <w:numId w:val="12"/>
        </w:numPr>
        <w:spacing w:line="360" w:lineRule="auto"/>
        <w:ind w:left="0" w:leftChars="0" w:right="-84" w:rightChars="-35" w:firstLine="0" w:firstLineChars="0"/>
        <w:rPr>
          <w:rFonts w:ascii="黑体" w:hAnsi="黑体"/>
          <w:szCs w:val="30"/>
        </w:rPr>
      </w:pPr>
      <w:bookmarkStart w:id="18" w:name="_Toc117875436"/>
      <w:r>
        <w:rPr>
          <w:rFonts w:ascii="黑体" w:hAnsi="黑体"/>
          <w:szCs w:val="30"/>
        </w:rPr>
        <w:t>规划</w:t>
      </w:r>
      <w:r>
        <w:rPr>
          <w:rFonts w:hint="eastAsia" w:ascii="黑体" w:hAnsi="黑体"/>
          <w:szCs w:val="30"/>
        </w:rPr>
        <w:t>范围与期限</w:t>
      </w:r>
      <w:bookmarkEnd w:id="18"/>
    </w:p>
    <w:p>
      <w:pPr>
        <w:ind w:left="0" w:leftChars="0" w:right="0" w:rightChars="0" w:firstLine="480"/>
        <w:rPr>
          <w:szCs w:val="24"/>
        </w:rPr>
      </w:pPr>
      <w:r>
        <w:rPr>
          <w:rFonts w:hint="eastAsia"/>
          <w:szCs w:val="24"/>
        </w:rPr>
        <w:t>本次规划范围为汕尾市行政辖区（不含深汕特别合作区），包括市城区、陆丰市、海丰县、陆河县、红海湾经济开发区、华侨管理区、汕尾新区，总面积为4396.21平方公里。</w:t>
      </w:r>
    </w:p>
    <w:p>
      <w:pPr>
        <w:ind w:left="0" w:leftChars="0" w:right="0" w:rightChars="0" w:firstLine="480"/>
        <w:rPr>
          <w:szCs w:val="24"/>
        </w:rPr>
      </w:pPr>
      <w:r>
        <w:rPr>
          <w:rFonts w:hint="eastAsia"/>
          <w:szCs w:val="24"/>
        </w:rPr>
        <w:t>本次专项规划期限为20</w:t>
      </w:r>
      <w:r>
        <w:rPr>
          <w:szCs w:val="24"/>
        </w:rPr>
        <w:t>22</w:t>
      </w:r>
      <w:r>
        <w:rPr>
          <w:rFonts w:hint="eastAsia"/>
          <w:szCs w:val="24"/>
        </w:rPr>
        <w:t>-20</w:t>
      </w:r>
      <w:r>
        <w:rPr>
          <w:szCs w:val="24"/>
        </w:rPr>
        <w:t>3</w:t>
      </w:r>
      <w:r>
        <w:rPr>
          <w:rFonts w:hint="eastAsia"/>
          <w:szCs w:val="24"/>
        </w:rPr>
        <w:t>5年，以202</w:t>
      </w:r>
      <w:r>
        <w:rPr>
          <w:szCs w:val="24"/>
        </w:rPr>
        <w:t>2</w:t>
      </w:r>
      <w:r>
        <w:rPr>
          <w:rFonts w:hint="eastAsia"/>
          <w:szCs w:val="24"/>
        </w:rPr>
        <w:t>年为现状水平年。其中，近期到202</w:t>
      </w:r>
      <w:r>
        <w:rPr>
          <w:szCs w:val="24"/>
        </w:rPr>
        <w:t>5</w:t>
      </w:r>
      <w:r>
        <w:rPr>
          <w:rFonts w:hint="eastAsia"/>
          <w:szCs w:val="24"/>
        </w:rPr>
        <w:t>年，中期到2</w:t>
      </w:r>
      <w:r>
        <w:rPr>
          <w:szCs w:val="24"/>
        </w:rPr>
        <w:t>030年</w:t>
      </w:r>
      <w:r>
        <w:rPr>
          <w:rFonts w:hint="eastAsia"/>
          <w:szCs w:val="24"/>
        </w:rPr>
        <w:t>，远期到20</w:t>
      </w:r>
      <w:r>
        <w:rPr>
          <w:szCs w:val="24"/>
        </w:rPr>
        <w:t>3</w:t>
      </w:r>
      <w:r>
        <w:rPr>
          <w:rFonts w:hint="eastAsia"/>
          <w:szCs w:val="24"/>
        </w:rPr>
        <w:t>5年。根据城市发展形势、绿色建筑评价标准修订、规划实施等实际情况，需适时进行规划调整修订。</w:t>
      </w:r>
    </w:p>
    <w:p>
      <w:pPr>
        <w:pStyle w:val="2"/>
        <w:keepLines w:val="0"/>
        <w:pageBreakBefore/>
        <w:numPr>
          <w:ilvl w:val="0"/>
          <w:numId w:val="12"/>
        </w:numPr>
        <w:spacing w:line="360" w:lineRule="auto"/>
        <w:ind w:left="0" w:leftChars="0" w:right="0" w:rightChars="0" w:firstLine="0" w:firstLineChars="0"/>
        <w:jc w:val="center"/>
        <w:rPr>
          <w:rFonts w:ascii="黑体" w:hAnsi="黑体" w:eastAsia="黑体"/>
          <w:sz w:val="36"/>
          <w:szCs w:val="32"/>
        </w:rPr>
      </w:pPr>
      <w:bookmarkStart w:id="19" w:name="_Toc117875437"/>
      <w:r>
        <w:rPr>
          <w:rFonts w:hint="eastAsia" w:ascii="黑体" w:hAnsi="黑体" w:eastAsia="黑体"/>
          <w:sz w:val="36"/>
          <w:szCs w:val="32"/>
        </w:rPr>
        <w:t>城市概况</w:t>
      </w:r>
      <w:bookmarkEnd w:id="19"/>
    </w:p>
    <w:p>
      <w:pPr>
        <w:pStyle w:val="3"/>
        <w:numPr>
          <w:ilvl w:val="1"/>
          <w:numId w:val="12"/>
        </w:numPr>
        <w:spacing w:line="360" w:lineRule="auto"/>
        <w:ind w:left="0" w:leftChars="0" w:right="-84" w:rightChars="-35" w:firstLine="0" w:firstLineChars="0"/>
        <w:rPr>
          <w:rFonts w:ascii="黑体" w:hAnsi="黑体"/>
          <w:szCs w:val="30"/>
        </w:rPr>
      </w:pPr>
      <w:bookmarkStart w:id="20" w:name="_Toc117875438"/>
      <w:r>
        <w:rPr>
          <w:rFonts w:hint="eastAsia" w:ascii="黑体" w:hAnsi="黑体"/>
          <w:szCs w:val="30"/>
        </w:rPr>
        <w:t>区位条件</w:t>
      </w:r>
      <w:bookmarkEnd w:id="20"/>
    </w:p>
    <w:p>
      <w:pPr>
        <w:ind w:left="0" w:leftChars="0" w:right="0" w:rightChars="0" w:firstLine="480"/>
        <w:rPr>
          <w:szCs w:val="24"/>
        </w:rPr>
      </w:pPr>
      <w:r>
        <w:rPr>
          <w:rFonts w:hint="eastAsia"/>
          <w:szCs w:val="24"/>
        </w:rPr>
        <w:t>汕尾市位于广东省东南部沿海，位于东经114</w:t>
      </w:r>
      <w:r>
        <w:rPr>
          <w:rFonts w:ascii="Arial" w:hAnsi="Arial" w:cs="Arial"/>
          <w:color w:val="222222"/>
          <w:sz w:val="20"/>
          <w:shd w:val="clear" w:color="auto" w:fill="FFFFFF"/>
        </w:rPr>
        <w:t>°</w:t>
      </w:r>
      <w:r>
        <w:rPr>
          <w:rFonts w:hint="eastAsia"/>
          <w:szCs w:val="24"/>
        </w:rPr>
        <w:t>54</w:t>
      </w:r>
      <w:r>
        <w:rPr>
          <w:rFonts w:ascii="Arial" w:hAnsi="Arial" w:cs="Arial"/>
          <w:color w:val="222222"/>
          <w:sz w:val="20"/>
          <w:shd w:val="clear" w:color="auto" w:fill="FFFFFF"/>
        </w:rPr>
        <w:t>′~</w:t>
      </w:r>
      <w:r>
        <w:rPr>
          <w:rFonts w:hint="eastAsia"/>
          <w:szCs w:val="24"/>
        </w:rPr>
        <w:t>116</w:t>
      </w:r>
      <w:r>
        <w:rPr>
          <w:rFonts w:ascii="Arial" w:hAnsi="Arial" w:cs="Arial"/>
          <w:color w:val="222222"/>
          <w:sz w:val="20"/>
          <w:shd w:val="clear" w:color="auto" w:fill="FFFFFF"/>
        </w:rPr>
        <w:t>°</w:t>
      </w:r>
      <w:r>
        <w:rPr>
          <w:rFonts w:hint="eastAsia"/>
          <w:szCs w:val="24"/>
        </w:rPr>
        <w:t>13</w:t>
      </w:r>
      <w:r>
        <w:rPr>
          <w:rFonts w:ascii="Arial" w:hAnsi="Arial" w:cs="Arial"/>
          <w:color w:val="222222"/>
          <w:sz w:val="20"/>
          <w:shd w:val="clear" w:color="auto" w:fill="FFFFFF"/>
        </w:rPr>
        <w:t>′</w:t>
      </w:r>
      <w:r>
        <w:rPr>
          <w:rFonts w:hint="eastAsia"/>
          <w:szCs w:val="24"/>
        </w:rPr>
        <w:t>，北纬 22</w:t>
      </w:r>
      <w:r>
        <w:rPr>
          <w:rFonts w:ascii="Arial" w:hAnsi="Arial" w:cs="Arial"/>
          <w:color w:val="222222"/>
          <w:sz w:val="20"/>
          <w:shd w:val="clear" w:color="auto" w:fill="FFFFFF"/>
        </w:rPr>
        <w:t>°</w:t>
      </w:r>
      <w:r>
        <w:rPr>
          <w:rFonts w:hint="eastAsia"/>
          <w:szCs w:val="24"/>
        </w:rPr>
        <w:t>27</w:t>
      </w:r>
      <w:r>
        <w:rPr>
          <w:rFonts w:ascii="Arial" w:hAnsi="Arial" w:cs="Arial"/>
          <w:color w:val="222222"/>
          <w:sz w:val="20"/>
          <w:shd w:val="clear" w:color="auto" w:fill="FFFFFF"/>
        </w:rPr>
        <w:t>′~</w:t>
      </w:r>
      <w:r>
        <w:rPr>
          <w:rFonts w:hint="eastAsia"/>
          <w:szCs w:val="24"/>
        </w:rPr>
        <w:t>23</w:t>
      </w:r>
      <w:r>
        <w:rPr>
          <w:rFonts w:ascii="Arial" w:hAnsi="Arial" w:cs="Arial"/>
          <w:color w:val="222222"/>
          <w:sz w:val="20"/>
          <w:shd w:val="clear" w:color="auto" w:fill="FFFFFF"/>
        </w:rPr>
        <w:t>°</w:t>
      </w:r>
      <w:r>
        <w:rPr>
          <w:rFonts w:hint="eastAsia"/>
          <w:szCs w:val="24"/>
        </w:rPr>
        <w:t>28</w:t>
      </w:r>
      <w:r>
        <w:rPr>
          <w:rFonts w:ascii="Arial" w:hAnsi="Arial" w:cs="Arial"/>
          <w:color w:val="222222"/>
          <w:sz w:val="20"/>
          <w:shd w:val="clear" w:color="auto" w:fill="FFFFFF"/>
        </w:rPr>
        <w:t>′</w:t>
      </w:r>
      <w:r>
        <w:rPr>
          <w:rFonts w:hint="eastAsia"/>
          <w:szCs w:val="24"/>
        </w:rPr>
        <w:t>之间。东临揭阳市，同惠来县交界；西连惠州市，与惠东县接壤；北接河源市，和紫金县相连；南濒南海。大陆沿海岸线（包括深汕合作区）长455.2公里，占全省岸线长度的11.1%。大陆架内（即200米水深以内）海域面积（包括深汕合作区）2.39万平方公里，相当于陆地面积的4.5倍。</w:t>
      </w:r>
    </w:p>
    <w:p>
      <w:pPr>
        <w:pStyle w:val="3"/>
        <w:numPr>
          <w:ilvl w:val="1"/>
          <w:numId w:val="12"/>
        </w:numPr>
        <w:spacing w:line="360" w:lineRule="auto"/>
        <w:ind w:left="0" w:leftChars="0" w:right="-84" w:rightChars="-35" w:firstLine="0" w:firstLineChars="0"/>
        <w:rPr>
          <w:rFonts w:ascii="黑体" w:hAnsi="黑体"/>
          <w:szCs w:val="30"/>
        </w:rPr>
      </w:pPr>
      <w:bookmarkStart w:id="21" w:name="_Toc117875439"/>
      <w:r>
        <w:rPr>
          <w:rFonts w:ascii="黑体" w:hAnsi="黑体"/>
          <w:szCs w:val="30"/>
        </w:rPr>
        <w:t>行政区划</w:t>
      </w:r>
      <w:bookmarkEnd w:id="21"/>
    </w:p>
    <w:p>
      <w:pPr>
        <w:ind w:left="0" w:leftChars="0" w:right="0" w:rightChars="0"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汕尾市辖市城区、海丰县、陆河县，代管陆丰市，并设有</w:t>
      </w:r>
      <w:r>
        <w:rPr>
          <w:rFonts w:hint="eastAsia"/>
          <w:szCs w:val="24"/>
        </w:rPr>
        <w:t>红海湾经济开发区</w:t>
      </w:r>
      <w:r>
        <w:rPr>
          <w:rFonts w:hint="eastAsia" w:asciiTheme="minorEastAsia" w:hAnsiTheme="minorEastAsia" w:eastAsiaTheme="minorEastAsia" w:cstheme="minorEastAsia"/>
          <w:szCs w:val="24"/>
        </w:rPr>
        <w:t>、汕尾华侨管理区、</w:t>
      </w:r>
      <w:r>
        <w:rPr>
          <w:rFonts w:hint="eastAsia"/>
          <w:szCs w:val="24"/>
        </w:rPr>
        <w:t>汕尾新区3</w:t>
      </w:r>
      <w:r>
        <w:rPr>
          <w:rFonts w:hint="eastAsia" w:asciiTheme="minorEastAsia" w:hAnsiTheme="minorEastAsia" w:eastAsiaTheme="minorEastAsia" w:cstheme="minorEastAsia"/>
          <w:szCs w:val="24"/>
        </w:rPr>
        <w:t>个管理区。辖区内有</w:t>
      </w:r>
      <w:r>
        <w:rPr>
          <w:rFonts w:asciiTheme="minorEastAsia" w:hAnsiTheme="minorEastAsia" w:eastAsiaTheme="minorEastAsia" w:cstheme="minorEastAsia"/>
          <w:szCs w:val="24"/>
        </w:rPr>
        <w:t>40</w:t>
      </w:r>
      <w:r>
        <w:rPr>
          <w:rFonts w:hint="eastAsia" w:asciiTheme="minorEastAsia" w:hAnsiTheme="minorEastAsia" w:eastAsiaTheme="minorEastAsia" w:cstheme="minorEastAsia"/>
          <w:szCs w:val="24"/>
        </w:rPr>
        <w:t>个镇、</w:t>
      </w:r>
      <w:r>
        <w:rPr>
          <w:rFonts w:asciiTheme="minorEastAsia" w:hAnsiTheme="minorEastAsia" w:eastAsiaTheme="minorEastAsia" w:cstheme="minorEastAsia"/>
          <w:szCs w:val="24"/>
        </w:rPr>
        <w:t>14</w:t>
      </w:r>
      <w:r>
        <w:rPr>
          <w:rFonts w:hint="eastAsia" w:asciiTheme="minorEastAsia" w:hAnsiTheme="minorEastAsia" w:eastAsiaTheme="minorEastAsia" w:cstheme="minorEastAsia"/>
          <w:szCs w:val="24"/>
        </w:rPr>
        <w:t>个街道办事处。</w:t>
      </w:r>
    </w:p>
    <w:p>
      <w:pPr>
        <w:ind w:left="0" w:leftChars="0" w:right="0" w:rightChars="0" w:firstLine="480"/>
        <w:rPr>
          <w:rFonts w:asciiTheme="minorEastAsia" w:hAnsiTheme="minorEastAsia" w:eastAsiaTheme="minorEastAsia" w:cstheme="minorEastAsia"/>
          <w:szCs w:val="24"/>
        </w:rPr>
      </w:pPr>
    </w:p>
    <w:p>
      <w:pPr>
        <w:ind w:left="0" w:leftChars="0" w:right="0" w:rightChars="0" w:firstLine="480"/>
        <w:rPr>
          <w:rFonts w:asciiTheme="minorEastAsia" w:hAnsiTheme="minorEastAsia" w:eastAsiaTheme="minorEastAsia" w:cstheme="minorEastAsia"/>
          <w:szCs w:val="24"/>
        </w:rPr>
      </w:pPr>
    </w:p>
    <w:p>
      <w:pPr>
        <w:pStyle w:val="102"/>
        <w:numPr>
          <w:ilvl w:val="0"/>
          <w:numId w:val="16"/>
        </w:numPr>
        <w:ind w:leftChars="0" w:right="0" w:rightChars="0" w:firstLineChars="0"/>
        <w:jc w:val="center"/>
        <w:rPr>
          <w:rFonts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汕尾市行政区划基本情况表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3402"/>
        <w:gridCol w:w="3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blHeader/>
        </w:trPr>
        <w:tc>
          <w:tcPr>
            <w:tcW w:w="1838" w:type="dxa"/>
            <w:vAlign w:val="center"/>
          </w:tcPr>
          <w:p>
            <w:pPr>
              <w:spacing w:line="276" w:lineRule="auto"/>
              <w:ind w:left="0" w:leftChars="0" w:right="0" w:rightChars="0" w:firstLine="0" w:firstLineChars="0"/>
              <w:jc w:val="center"/>
              <w:rPr>
                <w:rFonts w:asciiTheme="minorEastAsia" w:hAnsiTheme="minorEastAsia" w:eastAsiaTheme="minorEastAsia" w:cstheme="minorEastAsia"/>
                <w:b/>
                <w:bCs/>
                <w:szCs w:val="24"/>
              </w:rPr>
            </w:pPr>
            <w:r>
              <w:rPr>
                <w:rFonts w:hint="eastAsia" w:asciiTheme="minorEastAsia" w:hAnsiTheme="minorEastAsia" w:eastAsiaTheme="minorEastAsia"/>
                <w:b/>
                <w:bCs/>
                <w:szCs w:val="24"/>
              </w:rPr>
              <w:t>县（市、区）</w:t>
            </w:r>
          </w:p>
        </w:tc>
        <w:tc>
          <w:tcPr>
            <w:tcW w:w="3402" w:type="dxa"/>
            <w:vAlign w:val="center"/>
          </w:tcPr>
          <w:p>
            <w:pPr>
              <w:spacing w:line="276" w:lineRule="auto"/>
              <w:ind w:left="0" w:leftChars="0" w:right="0" w:rightChars="0" w:firstLine="0" w:firstLineChars="0"/>
              <w:jc w:val="center"/>
              <w:rPr>
                <w:rFonts w:asciiTheme="minorEastAsia" w:hAnsiTheme="minorEastAsia" w:eastAsiaTheme="minorEastAsia" w:cstheme="minorEastAsia"/>
                <w:b/>
                <w:bCs/>
                <w:szCs w:val="24"/>
              </w:rPr>
            </w:pPr>
            <w:r>
              <w:rPr>
                <w:rFonts w:hint="eastAsia" w:asciiTheme="minorEastAsia" w:hAnsiTheme="minorEastAsia" w:eastAsiaTheme="minorEastAsia"/>
                <w:b/>
                <w:bCs/>
                <w:szCs w:val="24"/>
              </w:rPr>
              <w:t>镇建制</w:t>
            </w:r>
          </w:p>
        </w:tc>
        <w:tc>
          <w:tcPr>
            <w:tcW w:w="3255" w:type="dxa"/>
            <w:vAlign w:val="center"/>
          </w:tcPr>
          <w:p>
            <w:pPr>
              <w:spacing w:line="276" w:lineRule="auto"/>
              <w:ind w:left="0" w:leftChars="0" w:right="0" w:rightChars="0" w:firstLine="0" w:firstLineChars="0"/>
              <w:jc w:val="center"/>
              <w:rPr>
                <w:rFonts w:asciiTheme="minorEastAsia" w:hAnsiTheme="minorEastAsia" w:eastAsiaTheme="minorEastAsia" w:cstheme="minorEastAsia"/>
                <w:b/>
                <w:bCs/>
                <w:szCs w:val="24"/>
              </w:rPr>
            </w:pPr>
            <w:r>
              <w:rPr>
                <w:rFonts w:hint="eastAsia" w:asciiTheme="minorEastAsia" w:hAnsiTheme="minorEastAsia" w:eastAsiaTheme="minorEastAsia"/>
                <w:b/>
                <w:bCs/>
                <w:szCs w:val="24"/>
              </w:rPr>
              <w:t>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spacing w:line="276" w:lineRule="auto"/>
              <w:ind w:left="0" w:leftChars="0" w:right="0" w:rightChars="0" w:firstLine="0" w:firstLineChars="0"/>
              <w:jc w:val="center"/>
              <w:rPr>
                <w:rFonts w:asciiTheme="minorEastAsia" w:hAnsiTheme="minorEastAsia" w:eastAsiaTheme="minorEastAsia" w:cstheme="minorEastAsia"/>
                <w:b/>
                <w:bCs/>
                <w:szCs w:val="24"/>
              </w:rPr>
            </w:pPr>
            <w:r>
              <w:rPr>
                <w:rFonts w:hint="eastAsia" w:asciiTheme="minorEastAsia" w:hAnsiTheme="minorEastAsia" w:eastAsiaTheme="minorEastAsia"/>
                <w:b/>
                <w:bCs/>
                <w:szCs w:val="24"/>
              </w:rPr>
              <w:t>城区</w:t>
            </w:r>
          </w:p>
        </w:tc>
        <w:tc>
          <w:tcPr>
            <w:tcW w:w="3402" w:type="dxa"/>
            <w:vAlign w:val="center"/>
          </w:tcPr>
          <w:p>
            <w:pPr>
              <w:spacing w:line="276" w:lineRule="auto"/>
              <w:ind w:left="0" w:leftChars="0" w:right="0" w:rightChars="0" w:firstLine="0" w:firstLineChars="0"/>
              <w:rPr>
                <w:rFonts w:asciiTheme="minorEastAsia" w:hAnsiTheme="minorEastAsia" w:eastAsiaTheme="minorEastAsia" w:cstheme="minorEastAsia"/>
                <w:b/>
                <w:bCs/>
                <w:szCs w:val="24"/>
              </w:rPr>
            </w:pPr>
            <w:r>
              <w:rPr>
                <w:rFonts w:hint="eastAsia" w:asciiTheme="minorEastAsia" w:hAnsiTheme="minorEastAsia" w:eastAsiaTheme="minorEastAsia"/>
                <w:szCs w:val="24"/>
              </w:rPr>
              <w:t>红草、东涌、捷胜（3个）</w:t>
            </w:r>
          </w:p>
        </w:tc>
        <w:tc>
          <w:tcPr>
            <w:tcW w:w="3255" w:type="dxa"/>
            <w:vAlign w:val="center"/>
          </w:tcPr>
          <w:p>
            <w:pPr>
              <w:spacing w:line="276" w:lineRule="auto"/>
              <w:ind w:left="0" w:leftChars="0" w:right="0" w:rightChars="0" w:firstLine="0" w:firstLineChars="0"/>
              <w:rPr>
                <w:rFonts w:asciiTheme="minorEastAsia" w:hAnsiTheme="minorEastAsia" w:eastAsiaTheme="minorEastAsia" w:cstheme="minorEastAsia"/>
                <w:b/>
                <w:bCs/>
                <w:szCs w:val="24"/>
              </w:rPr>
            </w:pPr>
            <w:r>
              <w:rPr>
                <w:rFonts w:hint="eastAsia" w:asciiTheme="minorEastAsia" w:hAnsiTheme="minorEastAsia" w:eastAsiaTheme="minorEastAsia"/>
                <w:szCs w:val="24"/>
              </w:rPr>
              <w:t>新港、香洲、凤山、马宫、田墘、遮浪、东洲（7个）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spacing w:line="276" w:lineRule="auto"/>
              <w:ind w:left="0" w:leftChars="0" w:right="0" w:rightChars="0" w:firstLine="0" w:firstLineChars="0"/>
              <w:jc w:val="center"/>
              <w:rPr>
                <w:rFonts w:asciiTheme="minorEastAsia" w:hAnsiTheme="minorEastAsia" w:eastAsiaTheme="minorEastAsia" w:cstheme="minorEastAsia"/>
                <w:b/>
                <w:bCs/>
                <w:szCs w:val="24"/>
              </w:rPr>
            </w:pPr>
            <w:r>
              <w:rPr>
                <w:rFonts w:hint="eastAsia" w:asciiTheme="minorEastAsia" w:hAnsiTheme="minorEastAsia" w:eastAsiaTheme="minorEastAsia"/>
                <w:b/>
                <w:bCs/>
                <w:szCs w:val="24"/>
              </w:rPr>
              <w:t>海丰县</w:t>
            </w:r>
          </w:p>
        </w:tc>
        <w:tc>
          <w:tcPr>
            <w:tcW w:w="3402" w:type="dxa"/>
            <w:vAlign w:val="center"/>
          </w:tcPr>
          <w:p>
            <w:pPr>
              <w:spacing w:line="276" w:lineRule="auto"/>
              <w:ind w:left="0" w:leftChars="0" w:right="0" w:rightChars="0" w:firstLine="0" w:firstLineChars="0"/>
              <w:rPr>
                <w:rFonts w:asciiTheme="minorEastAsia" w:hAnsiTheme="minorEastAsia" w:eastAsiaTheme="minorEastAsia" w:cstheme="minorEastAsia"/>
                <w:b/>
                <w:bCs/>
                <w:szCs w:val="24"/>
              </w:rPr>
            </w:pPr>
            <w:r>
              <w:rPr>
                <w:rFonts w:hint="eastAsia" w:asciiTheme="minorEastAsia" w:hAnsiTheme="minorEastAsia" w:eastAsiaTheme="minorEastAsia"/>
                <w:szCs w:val="24"/>
              </w:rPr>
              <w:t>海城、城东、附城、梅陇、联安、陶河、赤坑、大湖、可塘、公平、黄羌、平东（12个）</w:t>
            </w:r>
          </w:p>
        </w:tc>
        <w:tc>
          <w:tcPr>
            <w:tcW w:w="3255" w:type="dxa"/>
            <w:vAlign w:val="center"/>
          </w:tcPr>
          <w:p>
            <w:pPr>
              <w:spacing w:line="276" w:lineRule="auto"/>
              <w:ind w:left="0" w:leftChars="0" w:right="0" w:rightChars="0" w:firstLine="0" w:firstLineChars="0"/>
              <w:rPr>
                <w:rFonts w:asciiTheme="minorEastAsia" w:hAnsiTheme="minorEastAsia" w:eastAsiaTheme="minorEastAsia" w:cstheme="minorEastAsia"/>
                <w:b/>
                <w:bCs/>
                <w:szCs w:val="24"/>
              </w:rPr>
            </w:pPr>
            <w:r>
              <w:rPr>
                <w:rFonts w:hint="eastAsia" w:asciiTheme="minorEastAsia" w:hAnsiTheme="minorEastAsia" w:eastAsiaTheme="minorEastAsia"/>
                <w:szCs w:val="24"/>
              </w:rPr>
              <w:t>小漠、鹅埠、赤石、鲘门（4个）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spacing w:line="276" w:lineRule="auto"/>
              <w:ind w:left="0" w:leftChars="0" w:right="0" w:rightChars="0" w:firstLine="0" w:firstLineChars="0"/>
              <w:jc w:val="center"/>
              <w:rPr>
                <w:rFonts w:asciiTheme="minorEastAsia" w:hAnsiTheme="minorEastAsia" w:eastAsiaTheme="minorEastAsia" w:cstheme="minorEastAsia"/>
                <w:b/>
                <w:bCs/>
                <w:szCs w:val="24"/>
              </w:rPr>
            </w:pPr>
            <w:r>
              <w:rPr>
                <w:rFonts w:hint="eastAsia" w:asciiTheme="minorEastAsia" w:hAnsiTheme="minorEastAsia" w:eastAsiaTheme="minorEastAsia"/>
                <w:b/>
                <w:bCs/>
                <w:szCs w:val="24"/>
              </w:rPr>
              <w:t>陆丰市</w:t>
            </w:r>
          </w:p>
        </w:tc>
        <w:tc>
          <w:tcPr>
            <w:tcW w:w="3402" w:type="dxa"/>
            <w:vAlign w:val="center"/>
          </w:tcPr>
          <w:p>
            <w:pPr>
              <w:spacing w:line="276" w:lineRule="auto"/>
              <w:ind w:left="0" w:leftChars="0" w:right="0" w:rightChars="0" w:firstLine="0" w:firstLineChars="0"/>
              <w:rPr>
                <w:rFonts w:asciiTheme="minorEastAsia" w:hAnsiTheme="minorEastAsia" w:eastAsiaTheme="minorEastAsia" w:cstheme="minorEastAsia"/>
                <w:b/>
                <w:bCs/>
                <w:szCs w:val="24"/>
              </w:rPr>
            </w:pPr>
            <w:r>
              <w:rPr>
                <w:rFonts w:hint="eastAsia" w:asciiTheme="minorEastAsia" w:hAnsiTheme="minorEastAsia" w:eastAsiaTheme="minorEastAsia"/>
                <w:szCs w:val="24"/>
              </w:rPr>
              <w:t>甲子、碣石、湖东、大安、博美、内湖、南塘、陂洋、八万、金厢、潭西、甲东、上英、桥冲、甲西、西南、河东（17个）</w:t>
            </w:r>
          </w:p>
        </w:tc>
        <w:tc>
          <w:tcPr>
            <w:tcW w:w="3255" w:type="dxa"/>
            <w:vAlign w:val="center"/>
          </w:tcPr>
          <w:p>
            <w:pPr>
              <w:spacing w:line="276" w:lineRule="auto"/>
              <w:ind w:left="0" w:leftChars="0" w:right="0" w:rightChars="0" w:firstLine="0" w:firstLineChars="0"/>
              <w:rPr>
                <w:rFonts w:asciiTheme="minorEastAsia" w:hAnsiTheme="minorEastAsia" w:eastAsiaTheme="minorEastAsia" w:cstheme="minorEastAsia"/>
                <w:b/>
                <w:bCs/>
                <w:szCs w:val="24"/>
              </w:rPr>
            </w:pPr>
            <w:r>
              <w:rPr>
                <w:rFonts w:hint="eastAsia" w:asciiTheme="minorEastAsia" w:hAnsiTheme="minorEastAsia" w:eastAsiaTheme="minorEastAsia"/>
                <w:szCs w:val="24"/>
              </w:rPr>
              <w:t>东海、城东、河西（3个）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spacing w:line="276" w:lineRule="auto"/>
              <w:ind w:left="0" w:leftChars="0" w:right="0" w:rightChars="0" w:firstLine="0" w:firstLineChars="0"/>
              <w:jc w:val="center"/>
              <w:rPr>
                <w:rFonts w:asciiTheme="minorEastAsia" w:hAnsiTheme="minorEastAsia" w:eastAsiaTheme="minorEastAsia" w:cstheme="minorEastAsia"/>
                <w:b/>
                <w:bCs/>
                <w:szCs w:val="24"/>
              </w:rPr>
            </w:pPr>
            <w:r>
              <w:rPr>
                <w:rFonts w:hint="eastAsia" w:asciiTheme="minorEastAsia" w:hAnsiTheme="minorEastAsia" w:eastAsiaTheme="minorEastAsia"/>
                <w:b/>
                <w:bCs/>
                <w:szCs w:val="24"/>
              </w:rPr>
              <w:t>陆河县</w:t>
            </w:r>
          </w:p>
        </w:tc>
        <w:tc>
          <w:tcPr>
            <w:tcW w:w="3402" w:type="dxa"/>
            <w:vAlign w:val="center"/>
          </w:tcPr>
          <w:p>
            <w:pPr>
              <w:spacing w:line="276" w:lineRule="auto"/>
              <w:ind w:left="0" w:leftChars="0" w:right="0" w:rightChars="0" w:firstLine="0" w:firstLineChars="0"/>
              <w:rPr>
                <w:rFonts w:asciiTheme="minorEastAsia" w:hAnsiTheme="minorEastAsia" w:eastAsiaTheme="minorEastAsia" w:cstheme="minorEastAsia"/>
                <w:b/>
                <w:bCs/>
                <w:szCs w:val="24"/>
              </w:rPr>
            </w:pPr>
            <w:r>
              <w:rPr>
                <w:rFonts w:hint="eastAsia" w:asciiTheme="minorEastAsia" w:hAnsiTheme="minorEastAsia" w:eastAsiaTheme="minorEastAsia"/>
                <w:szCs w:val="24"/>
              </w:rPr>
              <w:t>河田、河口、新田、上护、水唇、东坑、南万、螺溪（8个）</w:t>
            </w:r>
          </w:p>
        </w:tc>
        <w:tc>
          <w:tcPr>
            <w:tcW w:w="3255" w:type="dxa"/>
            <w:vAlign w:val="center"/>
          </w:tcPr>
          <w:p>
            <w:pPr>
              <w:spacing w:line="276" w:lineRule="auto"/>
              <w:ind w:left="0" w:leftChars="0" w:right="0" w:rightChars="0" w:firstLine="0" w:firstLineChars="0"/>
              <w:rPr>
                <w:rFonts w:asciiTheme="minorEastAsia" w:hAnsiTheme="minorEastAsia" w:eastAsiaTheme="minorEastAsia" w:cstheme="minorEastAsia"/>
                <w:b/>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spacing w:line="276" w:lineRule="auto"/>
              <w:ind w:left="0" w:leftChars="0" w:right="0" w:rightChars="0" w:firstLine="0" w:firstLineChars="0"/>
              <w:jc w:val="center"/>
              <w:rPr>
                <w:rFonts w:asciiTheme="minorEastAsia" w:hAnsiTheme="minorEastAsia" w:eastAsiaTheme="minorEastAsia" w:cstheme="minorEastAsia"/>
                <w:b/>
                <w:bCs/>
                <w:szCs w:val="24"/>
              </w:rPr>
            </w:pPr>
            <w:r>
              <w:rPr>
                <w:rFonts w:hint="eastAsia" w:asciiTheme="minorEastAsia" w:hAnsiTheme="minorEastAsia" w:eastAsiaTheme="minorEastAsia"/>
                <w:b/>
                <w:bCs/>
                <w:szCs w:val="24"/>
              </w:rPr>
              <w:t>合计</w:t>
            </w:r>
          </w:p>
        </w:tc>
        <w:tc>
          <w:tcPr>
            <w:tcW w:w="3402" w:type="dxa"/>
            <w:vAlign w:val="center"/>
          </w:tcPr>
          <w:p>
            <w:pPr>
              <w:spacing w:line="276" w:lineRule="auto"/>
              <w:ind w:left="0" w:leftChars="0" w:right="0" w:rightChars="0" w:firstLine="0" w:firstLineChars="0"/>
              <w:rPr>
                <w:rFonts w:asciiTheme="minorEastAsia" w:hAnsiTheme="minorEastAsia" w:eastAsiaTheme="minorEastAsia" w:cstheme="minorEastAsia"/>
                <w:b/>
                <w:bCs/>
                <w:szCs w:val="24"/>
              </w:rPr>
            </w:pPr>
            <w:r>
              <w:rPr>
                <w:rFonts w:hint="eastAsia" w:asciiTheme="minorEastAsia" w:hAnsiTheme="minorEastAsia" w:eastAsiaTheme="minorEastAsia"/>
                <w:szCs w:val="24"/>
              </w:rPr>
              <w:t>40个镇</w:t>
            </w:r>
          </w:p>
        </w:tc>
        <w:tc>
          <w:tcPr>
            <w:tcW w:w="3255" w:type="dxa"/>
            <w:vAlign w:val="center"/>
          </w:tcPr>
          <w:p>
            <w:pPr>
              <w:spacing w:line="276" w:lineRule="auto"/>
              <w:ind w:left="0" w:leftChars="0" w:right="0" w:rightChars="0" w:firstLine="0" w:firstLineChars="0"/>
              <w:rPr>
                <w:rFonts w:asciiTheme="minorEastAsia" w:hAnsiTheme="minorEastAsia" w:eastAsiaTheme="minorEastAsia" w:cstheme="minorEastAsia"/>
                <w:b/>
                <w:bCs/>
                <w:szCs w:val="24"/>
              </w:rPr>
            </w:pPr>
            <w:r>
              <w:rPr>
                <w:rFonts w:hint="eastAsia" w:asciiTheme="minorEastAsia" w:hAnsiTheme="minorEastAsia" w:eastAsiaTheme="minorEastAsia"/>
                <w:szCs w:val="24"/>
              </w:rPr>
              <w:t>14个街道</w:t>
            </w:r>
          </w:p>
        </w:tc>
      </w:tr>
    </w:tbl>
    <w:p>
      <w:pPr>
        <w:ind w:left="0" w:leftChars="0" w:right="0" w:rightChars="0" w:firstLine="0" w:firstLineChars="0"/>
        <w:rPr>
          <w:rFonts w:asciiTheme="minorEastAsia" w:hAnsiTheme="minorEastAsia" w:eastAsiaTheme="minorEastAsia" w:cstheme="minorEastAsia"/>
          <w:b/>
          <w:bCs/>
          <w:sz w:val="21"/>
          <w:szCs w:val="21"/>
        </w:rPr>
      </w:pPr>
    </w:p>
    <w:p>
      <w:pPr>
        <w:pStyle w:val="3"/>
        <w:numPr>
          <w:ilvl w:val="1"/>
          <w:numId w:val="12"/>
        </w:numPr>
        <w:spacing w:line="360" w:lineRule="auto"/>
        <w:ind w:left="0" w:leftChars="0" w:right="-84" w:rightChars="-35" w:firstLine="0" w:firstLineChars="0"/>
        <w:rPr>
          <w:rFonts w:ascii="黑体" w:hAnsi="黑体"/>
          <w:szCs w:val="30"/>
        </w:rPr>
      </w:pPr>
      <w:bookmarkStart w:id="22" w:name="_Toc117875440"/>
      <w:r>
        <w:rPr>
          <w:rFonts w:hint="eastAsia" w:ascii="黑体" w:hAnsi="黑体"/>
          <w:szCs w:val="30"/>
        </w:rPr>
        <w:t>人口与社会经济</w:t>
      </w:r>
      <w:bookmarkEnd w:id="22"/>
    </w:p>
    <w:p>
      <w:pPr>
        <w:ind w:left="0" w:leftChars="0" w:right="0" w:rightChars="0"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2021年末，全市常住人口268.69万人，比上年末增加1.75万人，其中城镇常住人口154.66万人，占常住人口比重（常住人口城镇化率）57.56%，比上年末增加2.18万人。年末户籍人口356.43万人，其中城镇人口178.97万人，占户籍人口的比重50.21%。</w:t>
      </w:r>
    </w:p>
    <w:p>
      <w:pPr>
        <w:ind w:left="0" w:leftChars="0" w:right="0" w:rightChars="0"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2021年汕尾实现地区生产总值1288.04亿元，比上年增长12.7%。其中,第一产业完成增加值175.08亿元，增长11.4%，对地区生产总值增长的贡献率为12.7%；第二产业增加值498.96亿元，增长16.8%，对地区生产总值增长的贡献率为48.9%；第三产业增加值614.00亿元，增长10.0%，对地区生产总值增长的贡献率为38.4%。</w:t>
      </w:r>
    </w:p>
    <w:p>
      <w:pPr>
        <w:ind w:left="0" w:leftChars="0" w:right="0" w:rightChars="0"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三大产业结构为13.6:38.7:47.7，第二产业比重提高1.7个百分点。人均地区生产总值48095元（按年平均汇率折算为7455美元），增长12.7%。</w:t>
      </w:r>
    </w:p>
    <w:p>
      <w:pPr>
        <w:ind w:left="0" w:leftChars="0" w:right="0" w:rightChars="0"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全年全市地方一般公共预算收入52.77亿元，比上年增长 14.7%；其中，税收收入29.77亿元，增长9.7%。</w:t>
      </w:r>
    </w:p>
    <w:p>
      <w:pPr>
        <w:ind w:left="0" w:leftChars="0" w:right="0" w:rightChars="0" w:firstLine="0" w:firstLineChars="0"/>
        <w:jc w:val="center"/>
        <w:rPr>
          <w:rFonts w:asciiTheme="minorEastAsia" w:hAnsiTheme="minorEastAsia" w:eastAsiaTheme="minorEastAsia" w:cstheme="minorEastAsia"/>
          <w:szCs w:val="24"/>
        </w:rPr>
      </w:pPr>
      <w:r>
        <mc:AlternateContent>
          <mc:Choice Requires="wps">
            <w:drawing>
              <wp:anchor distT="0" distB="0" distL="114300" distR="114300" simplePos="0" relativeHeight="251659264" behindDoc="0" locked="0" layoutInCell="1" allowOverlap="1">
                <wp:simplePos x="0" y="0"/>
                <wp:positionH relativeFrom="column">
                  <wp:posOffset>631825</wp:posOffset>
                </wp:positionH>
                <wp:positionV relativeFrom="paragraph">
                  <wp:posOffset>71755</wp:posOffset>
                </wp:positionV>
                <wp:extent cx="4067175" cy="236220"/>
                <wp:effectExtent l="0" t="0" r="28575" b="12065"/>
                <wp:wrapNone/>
                <wp:docPr id="5" name="矩形 5"/>
                <wp:cNvGraphicFramePr/>
                <a:graphic xmlns:a="http://schemas.openxmlformats.org/drawingml/2006/main">
                  <a:graphicData uri="http://schemas.microsoft.com/office/word/2010/wordprocessingShape">
                    <wps:wsp>
                      <wps:cNvSpPr/>
                      <wps:spPr>
                        <a:xfrm>
                          <a:off x="0" y="0"/>
                          <a:ext cx="4067175" cy="2359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75pt;margin-top:5.65pt;height:18.6pt;width:320.25pt;z-index:251659264;v-text-anchor:middle;mso-width-relative:page;mso-height-relative:page;" fillcolor="#FFFFFF [3212]" filled="t" stroked="t" coordsize="21600,21600" o:gfxdata="UEsDBAoAAAAAAIdO4kAAAAAAAAAAAAAAAAAEAAAAZHJzL1BLAwQUAAAACACHTuJAvYGq5dkAAAAI&#10;AQAADwAAAGRycy9kb3ducmV2LnhtbE2PwU7DMBBE70j8g7VI3KgdSKENcXpAQion2lBBj9vEOBHx&#10;OordJuXrWU5w3JnR7Jt8NblOnMwQWk8akpkCYajydUtWw+7t+WYBIkSkGjtPRsPZBFgVlxc5ZrUf&#10;aWtOZbSCSyhkqKGJsc+kDFVjHIaZ7w2x9+kHh5HPwcp6wJHLXSdvlbqXDlviDw325qkx1Vd5dBo2&#10;Z7v7nvqPF1u94vi+3uzL9T7V+voqUY8gopniXxh+8RkdCmY6+CPVQXQalss5J1lP7kCw/5Aq3nbQ&#10;kC7mIItc/h9Q/ABQSwMEFAAAAAgAh07iQMZfEPNdAgAA3QQAAA4AAABkcnMvZTJvRG9jLnhtbK1U&#10;zY4aMQy+V+o7RLmXAQrLLmJYoUVUlVbdlWjVc8gkTKT81QkM9GUq9daH6ONUfY06mVn2pz1wKIdg&#10;j53P9mc7s+uD0WQvIChnSzro9SkRlrtK2W1JP31cvbmkJERmK6adFSU9ikCv569fzRo/FUNXO10J&#10;IAhiw7TxJa1j9NOiCLwWhoWe88KiUTowLKIK26IC1iC60cWw378oGgeVB8dFCPh12RpphwjnADop&#10;FRdLx3dG2NiigtAsYkmhVj7Qec5WSsHjnZRBRKJLipXGfGIQlDfpLOYzNt0C87XiXQrsnBRe1GSY&#10;shj0BLVkkZEdqL+gjOLggpOxx50p2kIyI1jFoP+Cm3XNvMi1INXBn0gP/w+Wf9jfA1FVSceUWGaw&#10;4b+//fj18zsZJ24aH6bosvb30GkBxVToQYJJ/1gCOWQ+jyc+xSESjh9H/YvJYILAHG3Dt+OryWUC&#10;LR5vewjxnXCGJKGkgP3KNLL9bYit64NLChacVtVKaZ0V2G5uNJA9w96u8q9Df+amLWkw+njUx55z&#10;hhMrcVJQNB6rDnZLCdNbXAUeIcd+djucFyQluWShbpPJCF0u2mLBicaWuCRtXHVE0sG10xg8Xym8&#10;f8tCvGeA44eJ4oLGOzykdpi96yRKagdf//U9+eNUoJWSBscZK/uyYyAo0e8tzsvVYDRK85+V0Xgy&#10;RAWeWjZPLXZnbhyyOsCnwPMsJv+oH0QJznzGPV6kqGhilmPslsNOuYntmuFLwMVikd1w5j2Lt3bt&#10;eQJPXbRusYtOqtztR3Y60nDq87x0G5rW6qmevR5fpf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YGq5dkAAAAIAQAADwAAAAAAAAABACAAAAAiAAAAZHJzL2Rvd25yZXYueG1sUEsBAhQAFAAAAAgA&#10;h07iQMZfEPNdAgAA3QQAAA4AAAAAAAAAAQAgAAAAKAEAAGRycy9lMm9Eb2MueG1sUEsFBgAAAAAG&#10;AAYAWQEAAPcFAAAAAA==&#10;">
                <v:fill on="t" focussize="0,0"/>
                <v:stroke weight="2pt" color="#FFFFFF [3212]" joinstyle="round"/>
                <v:imagedata o:title=""/>
                <o:lock v:ext="edit" aspectratio="f"/>
              </v:rect>
            </w:pict>
          </mc:Fallback>
        </mc:AlternateContent>
      </w:r>
      <w:r>
        <w:drawing>
          <wp:inline distT="0" distB="0" distL="0" distR="0">
            <wp:extent cx="5400675" cy="257302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400675" cy="2573020"/>
                    </a:xfrm>
                    <a:prstGeom prst="rect">
                      <a:avLst/>
                    </a:prstGeom>
                  </pic:spPr>
                </pic:pic>
              </a:graphicData>
            </a:graphic>
          </wp:inline>
        </w:drawing>
      </w:r>
    </w:p>
    <w:p>
      <w:pPr>
        <w:pStyle w:val="102"/>
        <w:numPr>
          <w:ilvl w:val="0"/>
          <w:numId w:val="17"/>
        </w:numPr>
        <w:ind w:leftChars="0" w:right="0" w:rightChars="0" w:firstLineChars="0"/>
        <w:jc w:val="center"/>
        <w:rPr>
          <w:b/>
          <w:sz w:val="22"/>
        </w:rPr>
      </w:pPr>
      <w:r>
        <w:rPr>
          <w:rFonts w:hint="eastAsia"/>
          <w:b/>
          <w:sz w:val="22"/>
        </w:rPr>
        <w:t>汕尾市2</w:t>
      </w:r>
      <w:r>
        <w:rPr>
          <w:b/>
          <w:sz w:val="22"/>
        </w:rPr>
        <w:t>016-2021</w:t>
      </w:r>
      <w:r>
        <w:rPr>
          <w:rFonts w:hint="eastAsia"/>
          <w:b/>
          <w:sz w:val="22"/>
        </w:rPr>
        <w:t>年地区生产总值及其增长速度图</w:t>
      </w:r>
    </w:p>
    <w:p>
      <w:pPr>
        <w:ind w:left="0" w:leftChars="0" w:right="0" w:rightChars="0" w:firstLine="0" w:firstLineChars="0"/>
        <w:rPr>
          <w:b/>
          <w:sz w:val="22"/>
        </w:rPr>
      </w:pPr>
      <w:r>
        <mc:AlternateContent>
          <mc:Choice Requires="wps">
            <w:drawing>
              <wp:anchor distT="0" distB="0" distL="114300" distR="114300" simplePos="0" relativeHeight="251660288" behindDoc="0" locked="0" layoutInCell="1" allowOverlap="1">
                <wp:simplePos x="0" y="0"/>
                <wp:positionH relativeFrom="column">
                  <wp:posOffset>784860</wp:posOffset>
                </wp:positionH>
                <wp:positionV relativeFrom="paragraph">
                  <wp:posOffset>103505</wp:posOffset>
                </wp:positionV>
                <wp:extent cx="4067175" cy="236220"/>
                <wp:effectExtent l="0" t="0" r="28575" b="12065"/>
                <wp:wrapNone/>
                <wp:docPr id="7" name="矩形 7"/>
                <wp:cNvGraphicFramePr/>
                <a:graphic xmlns:a="http://schemas.openxmlformats.org/drawingml/2006/main">
                  <a:graphicData uri="http://schemas.microsoft.com/office/word/2010/wordprocessingShape">
                    <wps:wsp>
                      <wps:cNvSpPr/>
                      <wps:spPr>
                        <a:xfrm>
                          <a:off x="0" y="0"/>
                          <a:ext cx="4067175" cy="2359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8pt;margin-top:8.15pt;height:18.6pt;width:320.25pt;z-index:251660288;v-text-anchor:middle;mso-width-relative:page;mso-height-relative:page;" fillcolor="#FFFFFF [3212]" filled="t" stroked="t" coordsize="21600,21600" o:gfxdata="UEsDBAoAAAAAAIdO4kAAAAAAAAAAAAAAAAAEAAAAZHJzL1BLAwQUAAAACACHTuJA1uy02dkAAAAJ&#10;AQAADwAAAGRycy9kb3ducmV2LnhtbE2PwU7DMAyG70i8Q2QkbiztupWpNN0BCWmcGGViO3qNaSua&#10;pGqytePpMadx8y9/+v05X0+mE2cafOusgngWgSBbOd3aWsHu4+VhBcIHtBo7Z0nBhTysi9ubHDPt&#10;RvtO5zLUgkusz1BBE0KfSemrhgz6mevJ8u7LDQYDx6GWesCRy00n51GUSoOt5QsN9vTcUPVdnoyC&#10;7aXe/Uz9/rWu3nD83GwP5eawUOr+Lo6eQASawhWGP31Wh4Kdju5ktRcd53mSMspDmoBg4DFdxCCO&#10;CpbJEmSRy/8fFL9QSwMEFAAAAAgAh07iQI3WYoBeAgAA3QQAAA4AAABkcnMvZTJvRG9jLnhtbK1U&#10;zY4aMQy+V+o7RLmXAQrLLmJYoUVUlVbdlWjVc8gkTKT81QkM9GUq9daH6ONUfY06mVn2pz1wKIdg&#10;j53P9mc7s+uD0WQvIChnSzro9SkRlrtK2W1JP31cvbmkJERmK6adFSU9ikCv569fzRo/FUNXO10J&#10;IAhiw7TxJa1j9NOiCLwWhoWe88KiUTowLKIK26IC1iC60cWw378oGgeVB8dFCPh12RpphwjnADop&#10;FRdLx3dG2NiigtAsYkmhVj7Qec5WSsHjnZRBRKJLipXGfGIQlDfpLOYzNt0C87XiXQrsnBRe1GSY&#10;shj0BLVkkZEdqL+gjOLggpOxx50p2kIyI1jFoP+Cm3XNvMi1INXBn0gP/w+Wf9jfA1FVSSeUWGaw&#10;4b+//fj18zuZJG4aH6bosvb30GkBxVToQYJJ/1gCOWQ+jyc+xSESjh9H/YvJYDKmhKNt+HZ8NblM&#10;oMXjbQ8hvhPOkCSUFLBfmUa2vw2xdX1wScGC06paKa2zAtvNjQayZ9jbVf516M/ctCUNRh+P+thz&#10;znBiJU4KisZj1cFuKWF6i6vAI+TYz26H84KkJJcs1G0yGaHLRVssONHYEpekjauOSDq4dhqD5yuF&#10;929ZiPcMcPwwUVzQeIeH1A6zd51ESe3g67++J3+cCrRS0uA4Y2VfdgwEJfq9xXm5GoxGaf6zMhpP&#10;hqjAU8vmqcXuzI1DVgf4FHiexeQf9YMowZnPuMeLFBVNzHKM3XLYKTexXTN8CbhYLLIbzrxn8dau&#10;PU/gqYvWLXbRSZW7/chORxpOfZ6XbkPTWj3Vs9fjqzT/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bstNnZAAAACQEAAA8AAAAAAAAAAQAgAAAAIgAAAGRycy9kb3ducmV2LnhtbFBLAQIUABQAAAAI&#10;AIdO4kCN1mKAXgIAAN0EAAAOAAAAAAAAAAEAIAAAACgBAABkcnMvZTJvRG9jLnhtbFBLBQYAAAAA&#10;BgAGAFkBAAD4BQAAAAA=&#10;">
                <v:fill on="t" focussize="0,0"/>
                <v:stroke weight="2pt" color="#FFFFFF [3212]" joinstyle="round"/>
                <v:imagedata o:title=""/>
                <o:lock v:ext="edit" aspectratio="f"/>
              </v:rect>
            </w:pict>
          </mc:Fallback>
        </mc:AlternateContent>
      </w:r>
      <w:r>
        <w:drawing>
          <wp:inline distT="0" distB="0" distL="0" distR="0">
            <wp:extent cx="5400675" cy="3328035"/>
            <wp:effectExtent l="0" t="0" r="952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00675" cy="3328035"/>
                    </a:xfrm>
                    <a:prstGeom prst="rect">
                      <a:avLst/>
                    </a:prstGeom>
                  </pic:spPr>
                </pic:pic>
              </a:graphicData>
            </a:graphic>
          </wp:inline>
        </w:drawing>
      </w:r>
    </w:p>
    <w:p>
      <w:pPr>
        <w:pStyle w:val="102"/>
        <w:numPr>
          <w:ilvl w:val="0"/>
          <w:numId w:val="17"/>
        </w:numPr>
        <w:spacing w:before="120"/>
        <w:ind w:leftChars="0" w:right="0" w:rightChars="0" w:firstLineChars="0"/>
        <w:jc w:val="center"/>
        <w:rPr>
          <w:b/>
          <w:sz w:val="22"/>
        </w:rPr>
      </w:pPr>
      <w:r>
        <w:rPr>
          <w:rFonts w:hint="eastAsia"/>
          <w:b/>
          <w:sz w:val="22"/>
        </w:rPr>
        <w:t>汕尾市2</w:t>
      </w:r>
      <w:r>
        <w:rPr>
          <w:b/>
          <w:sz w:val="22"/>
        </w:rPr>
        <w:t>016-2021</w:t>
      </w:r>
      <w:r>
        <w:rPr>
          <w:rFonts w:hint="eastAsia"/>
          <w:b/>
          <w:sz w:val="22"/>
        </w:rPr>
        <w:t>年三大产业结构图</w:t>
      </w:r>
    </w:p>
    <w:p>
      <w:pPr>
        <w:pStyle w:val="3"/>
        <w:numPr>
          <w:ilvl w:val="1"/>
          <w:numId w:val="12"/>
        </w:numPr>
        <w:spacing w:line="360" w:lineRule="auto"/>
        <w:ind w:left="0" w:leftChars="0" w:right="-84" w:rightChars="-35" w:firstLine="0" w:firstLineChars="0"/>
        <w:rPr>
          <w:rFonts w:ascii="黑体" w:hAnsi="黑体"/>
          <w:szCs w:val="30"/>
        </w:rPr>
      </w:pPr>
      <w:bookmarkStart w:id="23" w:name="_Toc117875441"/>
      <w:r>
        <w:rPr>
          <w:rFonts w:ascii="黑体" w:hAnsi="黑体"/>
          <w:szCs w:val="30"/>
        </w:rPr>
        <w:t>环境</w:t>
      </w:r>
      <w:r>
        <w:rPr>
          <w:rFonts w:hint="eastAsia" w:ascii="黑体" w:hAnsi="黑体"/>
          <w:szCs w:val="30"/>
        </w:rPr>
        <w:t>资源</w:t>
      </w:r>
      <w:bookmarkEnd w:id="23"/>
    </w:p>
    <w:p>
      <w:pPr>
        <w:ind w:left="0" w:leftChars="0" w:right="0" w:rightChars="0" w:firstLine="482"/>
        <w:rPr>
          <w:rFonts w:ascii="宋体" w:hAnsi="宋体"/>
          <w:b/>
          <w:bCs/>
          <w:szCs w:val="24"/>
        </w:rPr>
      </w:pPr>
      <w:r>
        <w:rPr>
          <w:rFonts w:ascii="宋体" w:hAnsi="宋体"/>
          <w:b/>
          <w:bCs/>
          <w:szCs w:val="24"/>
        </w:rPr>
        <w:t>1.</w:t>
      </w:r>
      <w:r>
        <w:rPr>
          <w:rFonts w:hint="eastAsia" w:ascii="宋体" w:hAnsi="宋体"/>
          <w:b/>
          <w:bCs/>
          <w:szCs w:val="24"/>
        </w:rPr>
        <w:t>地形地貌</w:t>
      </w:r>
    </w:p>
    <w:p>
      <w:pPr>
        <w:ind w:left="0" w:leftChars="0" w:right="0" w:rightChars="0"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汕尾市地形地貌复杂，兼有山地、丘陵、台地、平原。汕尾位于莲花山南麓，其山脉走势为东北向西南方向倾斜。莲花山脉由闽粤边界的铜鼓岭向东南经汕尾跨惠阳到香港附近入海。地形为北部高丘山地，山峦重叠，公里以上高山有23座，最高峰为莲花山，海拔1337.3米，位于海丰县西北境内；中部多丘陵、台地；南部沿海多为台地、平原。全市境内山地、丘陵面积比例约占总面积的43.7%。</w:t>
      </w:r>
    </w:p>
    <w:p>
      <w:pPr>
        <w:ind w:left="0" w:leftChars="0" w:right="0" w:rightChars="0" w:firstLine="482"/>
        <w:rPr>
          <w:rFonts w:ascii="宋体" w:hAnsi="宋体"/>
          <w:b/>
          <w:bCs/>
          <w:szCs w:val="24"/>
        </w:rPr>
      </w:pPr>
      <w:r>
        <w:rPr>
          <w:rFonts w:hint="eastAsia" w:ascii="宋体" w:hAnsi="宋体"/>
          <w:b/>
          <w:bCs/>
          <w:szCs w:val="24"/>
        </w:rPr>
        <w:t>2</w:t>
      </w:r>
      <w:r>
        <w:rPr>
          <w:rFonts w:ascii="宋体" w:hAnsi="宋体"/>
          <w:b/>
          <w:bCs/>
          <w:szCs w:val="24"/>
        </w:rPr>
        <w:t>.</w:t>
      </w:r>
      <w:r>
        <w:rPr>
          <w:rFonts w:hint="eastAsia" w:ascii="宋体" w:hAnsi="宋体"/>
          <w:b/>
          <w:bCs/>
          <w:szCs w:val="24"/>
        </w:rPr>
        <w:t>气候降水</w:t>
      </w:r>
    </w:p>
    <w:p>
      <w:pPr>
        <w:ind w:left="0" w:leftChars="0" w:right="0" w:rightChars="0"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汕尾市地处中国大陆东南部沿海，属南亚热带季风气候区，海洋性气候明显，光、热、水资源丰富。其主要气候特点是：气候温暖，雨量丰沛，干湿明显，光照充足；冬不寒冷，夏不酷热，夏长冬短，春早秋迟；秋冬春旱，常有发生，夏涝风灾，危害较重。</w:t>
      </w:r>
    </w:p>
    <w:p>
      <w:pPr>
        <w:ind w:left="0" w:leftChars="0" w:right="0" w:rightChars="0" w:firstLine="48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汕尾全市平均气温约23.2℃，较常年偏高0.8℃。其中汕尾市城区年平均气温23.7℃。汕尾市降水的空间分布不均，呈现明显的“北多南少”分布特征。降水最多地区位于陆河县南部和莲花山一带的“雨窝”地带，最少地区位于红海湾开发区，根据全市区域自动站观测记录，各乡镇年总雨量介于1075～2668毫米。</w:t>
      </w:r>
    </w:p>
    <w:p>
      <w:pPr>
        <w:ind w:left="0" w:leftChars="0" w:right="0" w:rightChars="0" w:firstLine="482"/>
        <w:rPr>
          <w:rFonts w:ascii="宋体" w:hAnsi="宋体"/>
          <w:b/>
          <w:bCs/>
          <w:szCs w:val="24"/>
        </w:rPr>
      </w:pPr>
      <w:r>
        <w:rPr>
          <w:rFonts w:hint="eastAsia" w:ascii="宋体" w:hAnsi="宋体"/>
          <w:b/>
          <w:bCs/>
          <w:szCs w:val="24"/>
        </w:rPr>
        <w:t>3.地质构造</w:t>
      </w:r>
    </w:p>
    <w:p>
      <w:pPr>
        <w:ind w:left="0" w:leftChars="0" w:right="0" w:rightChars="0" w:firstLine="480"/>
        <w:rPr>
          <w:rFonts w:asciiTheme="minorEastAsia" w:hAnsiTheme="minorEastAsia" w:eastAsiaTheme="minorEastAsia" w:cstheme="minorEastAsia"/>
          <w:szCs w:val="24"/>
        </w:rPr>
      </w:pPr>
      <w:r>
        <w:rPr>
          <w:rFonts w:asciiTheme="minorEastAsia" w:hAnsiTheme="minorEastAsia" w:eastAsiaTheme="minorEastAsia" w:cstheme="minorEastAsia"/>
          <w:szCs w:val="24"/>
        </w:rPr>
        <w:t>汕尾市主要的深、大断裂带有莲花山深断裂带和潮安—普宁深断裂带。莲花山深断裂带：沿莲花山山脉向东经梅县进入福建，向西至惠东，分别于大亚湾、深圳湾入南海，呈北东向延伸，省内长约500千米；是广东主要断裂带之一，具有多旋回活动特征，第四纪以来有活动表现。潮安—普宁深断裂带：见于饶平、潮安、普宁、陆丰一带，呈北东向延伸，省内长210千米；该断裂形成于侏罗纪晚期，近期仍有活动；地层相对较简单，主要发育中生代和新生代地层，包括侏罗系（J）和三叠系(T）。</w:t>
      </w:r>
    </w:p>
    <w:p>
      <w:pPr>
        <w:ind w:left="0" w:leftChars="0" w:right="0" w:rightChars="0" w:firstLine="480"/>
        <w:rPr>
          <w:szCs w:val="18"/>
        </w:rPr>
      </w:pPr>
      <w:r>
        <w:rPr>
          <w:rFonts w:hint="eastAsia"/>
          <w:szCs w:val="24"/>
        </w:rPr>
        <w:t>根据第五代《中国地震动参数区划图》、《汕尾市城市总体规划2</w:t>
      </w:r>
      <w:r>
        <w:rPr>
          <w:szCs w:val="24"/>
        </w:rPr>
        <w:t>011-2020</w:t>
      </w:r>
      <w:r>
        <w:rPr>
          <w:rFonts w:hint="eastAsia"/>
          <w:szCs w:val="24"/>
        </w:rPr>
        <w:t>》，汕尾市地震基本烈度6-7度，其中城区、海丰县、陆丰市位于7度区，陆河县位于</w:t>
      </w:r>
      <w:r>
        <w:rPr>
          <w:rFonts w:hint="eastAsia"/>
          <w:szCs w:val="18"/>
        </w:rPr>
        <w:t>6度区。</w:t>
      </w:r>
    </w:p>
    <w:p>
      <w:pPr>
        <w:pStyle w:val="3"/>
        <w:numPr>
          <w:ilvl w:val="1"/>
          <w:numId w:val="12"/>
        </w:numPr>
        <w:spacing w:line="360" w:lineRule="auto"/>
        <w:ind w:left="0" w:leftChars="0" w:right="-84" w:rightChars="-35" w:firstLine="0" w:firstLineChars="0"/>
        <w:rPr>
          <w:rFonts w:ascii="黑体" w:hAnsi="黑体"/>
          <w:szCs w:val="30"/>
        </w:rPr>
      </w:pPr>
      <w:bookmarkStart w:id="24" w:name="_Toc117875442"/>
      <w:r>
        <w:rPr>
          <w:rFonts w:ascii="黑体" w:hAnsi="黑体"/>
          <w:szCs w:val="30"/>
        </w:rPr>
        <w:t>交通状况</w:t>
      </w:r>
      <w:bookmarkEnd w:id="24"/>
    </w:p>
    <w:p>
      <w:pPr>
        <w:ind w:left="0" w:leftChars="0" w:right="0" w:rightChars="0" w:firstLine="482"/>
        <w:rPr>
          <w:b/>
          <w:bCs/>
          <w:szCs w:val="24"/>
        </w:rPr>
      </w:pPr>
      <w:r>
        <w:rPr>
          <w:rFonts w:hint="eastAsia"/>
          <w:b/>
          <w:bCs/>
          <w:szCs w:val="24"/>
        </w:rPr>
        <w:t>1.公路</w:t>
      </w:r>
    </w:p>
    <w:p>
      <w:pPr>
        <w:ind w:left="0" w:leftChars="0" w:right="0" w:rightChars="0" w:firstLine="480"/>
        <w:rPr>
          <w:szCs w:val="24"/>
        </w:rPr>
      </w:pPr>
      <w:r>
        <w:rPr>
          <w:rFonts w:hint="eastAsia"/>
          <w:szCs w:val="24"/>
        </w:rPr>
        <w:t>汕尾高速公路将形成</w:t>
      </w:r>
      <w:r>
        <w:rPr>
          <w:rFonts w:ascii="Helvetica" w:hAnsi="Helvetica"/>
          <w:color w:val="333333"/>
          <w:szCs w:val="24"/>
          <w:shd w:val="clear" w:color="auto" w:fill="FFFFFF"/>
        </w:rPr>
        <w:t>“纵一横二联三”</w:t>
      </w:r>
      <w:r>
        <w:rPr>
          <w:rFonts w:hint="eastAsia" w:ascii="Helvetica" w:hAnsi="Helvetica"/>
          <w:color w:val="333333"/>
          <w:szCs w:val="24"/>
          <w:shd w:val="clear" w:color="auto" w:fill="FFFFFF"/>
        </w:rPr>
        <w:t>的空间格局，纵一即是兴汕高速汕尾段，其中包括五华至陆河段、海丰至红海湾；“横二”即深汕高速和潮惠高速、十四五期间深汕高速深圳至陆丰段将拓宽至八车道；“联三”，其中“联一”为揭惠高速南延线，从深汕高速与揭惠高速东港互交引出，南延至陆丰三甲地区。“联二”为陆惠高速陆河段，陆惠高速起始于陆河水唇、终于惠来隆江镇，实现沈海高速与潮惠高速互通。“联三”潮惠高速海丰段与深汕高速鲘门段联络线。</w:t>
      </w:r>
    </w:p>
    <w:p>
      <w:pPr>
        <w:ind w:left="0" w:leftChars="0" w:right="0" w:rightChars="0" w:firstLine="482"/>
        <w:rPr>
          <w:b/>
          <w:bCs/>
          <w:szCs w:val="24"/>
        </w:rPr>
      </w:pPr>
      <w:r>
        <w:rPr>
          <w:rFonts w:hint="eastAsia"/>
          <w:b/>
          <w:bCs/>
          <w:szCs w:val="24"/>
        </w:rPr>
        <w:t>2.铁路</w:t>
      </w:r>
    </w:p>
    <w:p>
      <w:pPr>
        <w:ind w:left="0" w:leftChars="0" w:right="0" w:rightChars="0" w:firstLine="480"/>
        <w:rPr>
          <w:szCs w:val="24"/>
        </w:rPr>
      </w:pPr>
      <w:r>
        <w:rPr>
          <w:szCs w:val="24"/>
        </w:rPr>
        <w:t>汕尾市规划建设龙川至汕尾铁路，助力汕尾融入京九铁路圈。联合梅州与揭阳谋划深汕梅高铁，深汕梅高铁从深汕高铁赤石站引出途经海丰县、陆河县、揭西县、五华县、最终汇入梅州站，一经建成，汕尾将实现全市县区通高铁、同时也为海丰、陆河人民融入粤港澳大湾区核心区2小时交通圈，规划建设陆丰港区湖东作业区疏港铁路。</w:t>
      </w:r>
    </w:p>
    <w:p>
      <w:pPr>
        <w:pStyle w:val="2"/>
        <w:keepLines w:val="0"/>
        <w:pageBreakBefore/>
        <w:numPr>
          <w:ilvl w:val="0"/>
          <w:numId w:val="12"/>
        </w:numPr>
        <w:spacing w:line="360" w:lineRule="auto"/>
        <w:ind w:left="0" w:leftChars="0" w:right="0" w:rightChars="0" w:firstLine="0" w:firstLineChars="0"/>
        <w:jc w:val="center"/>
        <w:rPr>
          <w:rFonts w:ascii="黑体" w:hAnsi="黑体" w:eastAsia="黑体"/>
          <w:sz w:val="36"/>
          <w:szCs w:val="32"/>
        </w:rPr>
      </w:pPr>
      <w:bookmarkStart w:id="25" w:name="_Toc117875443"/>
      <w:r>
        <w:rPr>
          <w:rFonts w:hint="eastAsia" w:ascii="黑体" w:hAnsi="黑体" w:eastAsia="黑体"/>
          <w:sz w:val="36"/>
          <w:szCs w:val="32"/>
        </w:rPr>
        <w:t>相关政策与规划解读</w:t>
      </w:r>
      <w:bookmarkEnd w:id="25"/>
    </w:p>
    <w:p>
      <w:pPr>
        <w:pStyle w:val="3"/>
        <w:numPr>
          <w:ilvl w:val="1"/>
          <w:numId w:val="12"/>
        </w:numPr>
        <w:spacing w:line="360" w:lineRule="auto"/>
        <w:ind w:left="0" w:leftChars="0" w:right="-84" w:rightChars="-35" w:firstLine="0" w:firstLineChars="0"/>
        <w:rPr>
          <w:rFonts w:ascii="黑体" w:hAnsi="黑体"/>
          <w:szCs w:val="30"/>
        </w:rPr>
      </w:pPr>
      <w:bookmarkStart w:id="26" w:name="_Toc117875444"/>
      <w:r>
        <w:rPr>
          <w:rFonts w:hint="eastAsia" w:ascii="黑体" w:hAnsi="黑体"/>
          <w:szCs w:val="30"/>
        </w:rPr>
        <w:t>相关政策解读</w:t>
      </w:r>
      <w:bookmarkEnd w:id="26"/>
    </w:p>
    <w:p>
      <w:pPr>
        <w:pStyle w:val="4"/>
        <w:numPr>
          <w:ilvl w:val="2"/>
          <w:numId w:val="18"/>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国家层面</w:t>
      </w:r>
    </w:p>
    <w:p>
      <w:pPr>
        <w:ind w:left="0" w:leftChars="0" w:right="0" w:rightChars="0" w:firstLine="482"/>
        <w:rPr>
          <w:b/>
          <w:bCs/>
          <w:szCs w:val="24"/>
        </w:rPr>
      </w:pPr>
      <w:r>
        <w:rPr>
          <w:rFonts w:hint="eastAsia"/>
          <w:b/>
          <w:bCs/>
          <w:szCs w:val="24"/>
        </w:rPr>
        <w:t>1</w:t>
      </w:r>
      <w:r>
        <w:rPr>
          <w:b/>
          <w:bCs/>
          <w:szCs w:val="24"/>
        </w:rPr>
        <w:t>.</w:t>
      </w:r>
      <w:r>
        <w:rPr>
          <w:rFonts w:hint="eastAsia"/>
          <w:b/>
          <w:bCs/>
          <w:szCs w:val="24"/>
        </w:rPr>
        <w:t>中共中央办公厅 国务院办公厅印发《关于推动城乡建设绿色发展的意见》（2021年10月）</w:t>
      </w:r>
    </w:p>
    <w:p>
      <w:pPr>
        <w:ind w:left="0" w:leftChars="0" w:right="0" w:rightChars="0" w:firstLine="480"/>
        <w:rPr>
          <w:szCs w:val="24"/>
        </w:rPr>
      </w:pPr>
      <w:r>
        <w:rPr>
          <w:rFonts w:hint="eastAsia"/>
          <w:szCs w:val="24"/>
        </w:rPr>
        <w:t>到2025年，城乡建设绿色发展体制机制和政策体系基本建立，建设方式绿色转型成效显著，碳减排扎实推进，城市整体性、系统性、生长性增强，“城市病”问题缓解，城乡生态环境质量整体改善，城乡发展质量和资源环境承载能力明显提升，综合治理能力显著提高，绿色生活方式普遍推广。到2035年，城乡建设全面实现绿色发展，碳减排水平快速提升，城市和乡村品质全面提升，人居环境更加美好，城乡建设领域治理体系和治理能力基本实现现代化，美丽中国建设目标基本实现。</w:t>
      </w:r>
    </w:p>
    <w:p>
      <w:pPr>
        <w:ind w:left="0" w:leftChars="0" w:right="0" w:rightChars="0" w:firstLine="482"/>
        <w:rPr>
          <w:b/>
          <w:bCs/>
          <w:szCs w:val="24"/>
        </w:rPr>
      </w:pPr>
      <w:r>
        <w:rPr>
          <w:rFonts w:hint="eastAsia"/>
          <w:b/>
          <w:bCs/>
          <w:szCs w:val="24"/>
        </w:rPr>
        <w:t>2</w:t>
      </w:r>
      <w:r>
        <w:rPr>
          <w:b/>
          <w:bCs/>
          <w:szCs w:val="24"/>
        </w:rPr>
        <w:t>.</w:t>
      </w:r>
      <w:r>
        <w:rPr>
          <w:rFonts w:hint="eastAsia"/>
          <w:b/>
          <w:bCs/>
          <w:szCs w:val="24"/>
        </w:rPr>
        <w:t>《中共中央 国务院关于完整准确全面贯彻新发展理念做好碳达峰碳中和工作的意见》（2021年9月22日）</w:t>
      </w:r>
    </w:p>
    <w:p>
      <w:pPr>
        <w:ind w:left="0" w:leftChars="0" w:right="0" w:rightChars="0" w:firstLine="480"/>
        <w:rPr>
          <w:szCs w:val="24"/>
        </w:rPr>
      </w:pPr>
      <w:r>
        <w:rPr>
          <w:rFonts w:hint="eastAsia"/>
          <w:szCs w:val="24"/>
        </w:rPr>
        <w:t>到2025年，绿色低碳循环发展的经济体系初步形成，重点行业能源利用效率大幅提升。单位国内生产总值能耗比2020年下降13.5%；单位国内生产总值二氧化碳排放比2020年下降18%；非化石能源消费比重达到20%左右；森林覆盖率达到24.1%，森林蓄积量达到180亿立方米，为实现碳达峰、碳中和奠定坚实基础。</w:t>
      </w:r>
    </w:p>
    <w:p>
      <w:pPr>
        <w:ind w:left="0" w:leftChars="0" w:right="0" w:rightChars="0" w:firstLine="480"/>
        <w:rPr>
          <w:szCs w:val="24"/>
        </w:rPr>
      </w:pPr>
      <w:r>
        <w:rPr>
          <w:rFonts w:hint="eastAsia"/>
          <w:szCs w:val="24"/>
        </w:rPr>
        <w:t>到2030年，经济社会发展全面绿色转型取得显著成效，重点耗能行业能源利用效率达到国际先进水平。单位国内生产总值能耗大幅下降；单位国内生产总值二氧化碳排放比2005年下降65%以上；非化石能源消费比重达到25%左右，风电、太阳能发电总装机容量达到12亿千瓦以上；森林覆盖率达到25%左右，森林蓄积量达到190亿立方米，二氧化碳排放量达到峰值并实现稳中有降。</w:t>
      </w:r>
    </w:p>
    <w:p>
      <w:pPr>
        <w:ind w:left="0" w:leftChars="0" w:right="0" w:rightChars="0" w:firstLine="480"/>
        <w:rPr>
          <w:szCs w:val="24"/>
        </w:rPr>
      </w:pPr>
      <w:r>
        <w:rPr>
          <w:rFonts w:hint="eastAsia"/>
          <w:szCs w:val="24"/>
        </w:rPr>
        <w:t>到2060年，绿色低碳循环发展的经济体系和清洁低碳安全高效的能源体系全面建立，能源利用效率达到国际先进水平，非化石能源消费比重达到80%以上，碳中和目标顺利实现，生态文明建设取得丰硕成果，开创人与自然和谐共生新境界。</w:t>
      </w:r>
    </w:p>
    <w:p>
      <w:pPr>
        <w:ind w:left="0" w:leftChars="0" w:right="0" w:rightChars="0" w:firstLine="482"/>
        <w:rPr>
          <w:szCs w:val="24"/>
        </w:rPr>
      </w:pPr>
      <w:r>
        <w:rPr>
          <w:b/>
          <w:bCs/>
          <w:szCs w:val="24"/>
        </w:rPr>
        <w:t>3.</w:t>
      </w:r>
      <w:r>
        <w:rPr>
          <w:rFonts w:hint="eastAsia"/>
          <w:b/>
          <w:bCs/>
          <w:szCs w:val="24"/>
        </w:rPr>
        <w:t>《国务院关于加快建立健全绿色低碳循环发展经济体系的指导意见》（国发〔2021〕4号）</w:t>
      </w:r>
    </w:p>
    <w:p>
      <w:pPr>
        <w:ind w:left="0" w:leftChars="0" w:right="0" w:rightChars="0" w:firstLine="480"/>
        <w:rPr>
          <w:szCs w:val="24"/>
        </w:rPr>
      </w:pPr>
      <w:r>
        <w:rPr>
          <w:rFonts w:hint="eastAsia"/>
          <w:szCs w:val="24"/>
        </w:rPr>
        <w:t>到2025年，产业结构、能源结构、运输结构明显优化，绿色产业比重显著提升，基础设施绿色化水平不断提高，清洁生产水平持续提高，生产生活方式绿色转型成效显著，能源资源配置更加合理、利用效率大幅提高，主要污染物排放总量持续减少，碳排放强度明显降低，生态环境持续改善，市场导向的绿色技术创新体系更加完善，法律法规政策体系更加有效，绿色低碳循环发展的生产体系、流通体系、消费体系初步形成。到2035年，绿色发展内生动力显著增强，绿色产业规模迈上新台阶，重点行业、重点产品能源资源利用效率达到国际先进水平，广泛形成绿色生产生活方式，碳排放达峰后稳中有降，生态环境根本好转，美丽中国建设目标基本实现。</w:t>
      </w:r>
    </w:p>
    <w:p>
      <w:pPr>
        <w:ind w:left="0" w:leftChars="0" w:right="0" w:rightChars="0" w:firstLine="480"/>
        <w:rPr>
          <w:szCs w:val="24"/>
        </w:rPr>
      </w:pPr>
      <w:r>
        <w:rPr>
          <w:rFonts w:hint="eastAsia"/>
          <w:szCs w:val="24"/>
        </w:rPr>
        <w:t>从六个方面部署了重点工作任务，一是健全绿色低碳循环发展的生产体系，二是健全绿色低碳循环发展的流通体系，三是健全绿色低碳循环发展的消费体系，四是加快基础设施绿色升级，五是构建市场导向的绿色技术创新体系，六是完善法律法规政策体系。</w:t>
      </w:r>
    </w:p>
    <w:p>
      <w:pPr>
        <w:pStyle w:val="4"/>
        <w:numPr>
          <w:ilvl w:val="2"/>
          <w:numId w:val="18"/>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省级层面</w:t>
      </w:r>
    </w:p>
    <w:p>
      <w:pPr>
        <w:ind w:left="0" w:leftChars="0" w:right="0" w:rightChars="0" w:firstLine="482"/>
        <w:rPr>
          <w:b/>
          <w:bCs/>
          <w:szCs w:val="24"/>
        </w:rPr>
      </w:pPr>
      <w:r>
        <w:rPr>
          <w:b/>
          <w:bCs/>
          <w:szCs w:val="24"/>
        </w:rPr>
        <w:t>1.</w:t>
      </w:r>
      <w:r>
        <w:rPr>
          <w:rFonts w:hint="eastAsia"/>
          <w:b/>
          <w:bCs/>
          <w:szCs w:val="24"/>
        </w:rPr>
        <w:t>《广东省绿色建筑条例》（2020年11月）</w:t>
      </w:r>
    </w:p>
    <w:p>
      <w:pPr>
        <w:ind w:left="0" w:leftChars="0" w:right="0" w:rightChars="0" w:firstLine="480"/>
        <w:rPr>
          <w:szCs w:val="24"/>
        </w:rPr>
      </w:pPr>
      <w:r>
        <w:rPr>
          <w:rFonts w:hint="eastAsia"/>
          <w:szCs w:val="24"/>
        </w:rPr>
        <w:t>《广东省绿色建筑条例》（以下简称《条例》）是省内推进绿色建筑高质量发展、提高人居环境质量、首次制定的地方性法规，对于广东省全面推行绿色建筑，提高城乡人居品质，推进建筑业转型升级，实现绿色、低碳、循环发展，推动经济高质量发展具有重要意义。</w:t>
      </w:r>
    </w:p>
    <w:p>
      <w:pPr>
        <w:ind w:left="0" w:leftChars="0" w:right="0" w:rightChars="0" w:firstLine="480"/>
        <w:rPr>
          <w:szCs w:val="24"/>
        </w:rPr>
      </w:pPr>
      <w:r>
        <w:rPr>
          <w:rFonts w:hint="eastAsia"/>
          <w:szCs w:val="24"/>
        </w:rPr>
        <w:t>《条例》在全面推行绿色建筑、实施等级管理制度、加强绿色建筑建设全过程管控、加强全环节运行监管、推出全套绿色建筑激励措施及加强绿色建筑宣传等方面作出具体规定。</w:t>
      </w:r>
    </w:p>
    <w:p>
      <w:pPr>
        <w:ind w:left="0" w:leftChars="0" w:right="0" w:rightChars="0" w:firstLine="480"/>
        <w:rPr>
          <w:szCs w:val="24"/>
        </w:rPr>
      </w:pPr>
      <w:r>
        <w:rPr>
          <w:rFonts w:hint="eastAsia"/>
          <w:szCs w:val="24"/>
        </w:rPr>
        <w:t>全面推行绿色建筑，实行等级管理。《条例》规定“新建民用建筑应当按照绿色建筑标准进行建设”，未来全省范围内，除农民自建住宅外，新建民用建筑将全部达到绿色建筑基本级或以上标准，实现“全绿”目标，保障我省绿色建筑发展工作继续走在全国前列。</w:t>
      </w:r>
    </w:p>
    <w:p>
      <w:pPr>
        <w:ind w:left="0" w:leftChars="0" w:right="0" w:rightChars="0" w:firstLine="480"/>
        <w:rPr>
          <w:szCs w:val="24"/>
        </w:rPr>
      </w:pPr>
      <w:r>
        <w:rPr>
          <w:rFonts w:hint="eastAsia"/>
          <w:szCs w:val="24"/>
        </w:rPr>
        <w:t>全力打造大湾区绿色建筑发展新高地。根据省委省政府贯彻落实粤港澳大湾区发展规划纲要的实施意见，加快推进绿色建筑发展，打造高质量发展典范，《条例》对粤港澳大湾区珠三角九市提出了更高的建设要求，将有力推动我省高星级绿色建筑建设，引领大湾区成为国家乃至国际高星级绿色建筑聚集区。</w:t>
      </w:r>
    </w:p>
    <w:p>
      <w:pPr>
        <w:ind w:left="0" w:leftChars="0" w:right="0" w:rightChars="0" w:firstLine="480"/>
        <w:rPr>
          <w:szCs w:val="24"/>
        </w:rPr>
      </w:pPr>
      <w:r>
        <w:rPr>
          <w:rFonts w:hint="eastAsia"/>
          <w:szCs w:val="24"/>
        </w:rPr>
        <w:t>全过程加强建设管控。绿色建筑尚未纳入法定的建筑工程项目流程监管，一直是制约我省绿色建筑高质量发展的主要原因。《条例》第二章对绿色建筑建设全过程作出规范，明确建设流程中各主体的责任，加强对设计、施工图审查、施工、监理、工程质量检测、工程验收到绿色建筑认定，全过程严格把关。</w:t>
      </w:r>
    </w:p>
    <w:p>
      <w:pPr>
        <w:ind w:left="0" w:leftChars="0" w:right="0" w:rightChars="0" w:firstLine="480"/>
        <w:rPr>
          <w:szCs w:val="24"/>
        </w:rPr>
      </w:pPr>
      <w:r>
        <w:rPr>
          <w:rFonts w:hint="eastAsia"/>
          <w:szCs w:val="24"/>
        </w:rPr>
        <w:t>全环节加强运行监管。针对绿色建筑“重设计、轻运行”的问题，《条例》强化了绿色建筑运行主要环节的监督管理。明确了绿色建筑运行的责任主体，从六个方面提出了绿色建筑运行的具体要求，抓住物业管理、能耗监测、能耗限额管理等主要环节进行规范。</w:t>
      </w:r>
    </w:p>
    <w:p>
      <w:pPr>
        <w:ind w:left="0" w:leftChars="0" w:right="0" w:rightChars="0" w:firstLine="480"/>
        <w:rPr>
          <w:szCs w:val="24"/>
        </w:rPr>
      </w:pPr>
      <w:r>
        <w:rPr>
          <w:rFonts w:hint="eastAsia"/>
          <w:szCs w:val="24"/>
        </w:rPr>
        <w:t>全套推出绿色建筑激励措施。《条例》明确规定了我省绿色建筑发展应当坚持的技术路线，即：绿色建筑应当坚持因地制宜、绿色低碳、循环利用的技术路线，传承、推广和创新具有岭南特色、适应亚热带气候的绿色建筑技术的基础上，对绿色建筑建设推出了资金支持、容积率奖励、税收优惠、绿色金融服务和公积金优惠政策等全套激励措施。</w:t>
      </w:r>
    </w:p>
    <w:p>
      <w:pPr>
        <w:ind w:left="0" w:leftChars="0" w:right="0" w:rightChars="0" w:firstLine="480"/>
        <w:rPr>
          <w:szCs w:val="24"/>
        </w:rPr>
      </w:pPr>
      <w:r>
        <w:rPr>
          <w:rFonts w:hint="eastAsia"/>
          <w:szCs w:val="24"/>
        </w:rPr>
        <w:t>全力提升民众对绿色建筑的认知认同和获得感。《条例》通过加强绿色建筑宣传引导和信息共享，提高民众对绿色建筑的认知；通过鼓励建设绿色农房、将政府服务下沉到广大农村，提高民众对绿色建筑的认同。</w:t>
      </w:r>
    </w:p>
    <w:p>
      <w:pPr>
        <w:ind w:left="0" w:leftChars="0" w:right="0" w:rightChars="0" w:firstLine="482"/>
        <w:rPr>
          <w:b/>
          <w:bCs/>
          <w:szCs w:val="24"/>
        </w:rPr>
      </w:pPr>
      <w:r>
        <w:rPr>
          <w:b/>
          <w:bCs/>
          <w:szCs w:val="24"/>
        </w:rPr>
        <w:t>2.</w:t>
      </w:r>
      <w:r>
        <w:rPr>
          <w:rFonts w:hint="eastAsia"/>
          <w:b/>
          <w:bCs/>
          <w:szCs w:val="24"/>
        </w:rPr>
        <w:t>广东省住房和城乡建设厅等13部门印发《广东省绿色建筑创建行动实施方案（2021-2023）》</w:t>
      </w:r>
    </w:p>
    <w:p>
      <w:pPr>
        <w:ind w:left="0" w:leftChars="0" w:right="0" w:rightChars="0" w:firstLine="480"/>
        <w:rPr>
          <w:szCs w:val="24"/>
        </w:rPr>
      </w:pPr>
      <w:r>
        <w:rPr>
          <w:rFonts w:hint="eastAsia"/>
          <w:szCs w:val="24"/>
        </w:rPr>
        <w:t>《广东省绿色建筑创建行动实施方案（2021-2023）》明确了广东省2021-2023年绿色建筑创建总目标，到2021年基本建立与《广东省绿色建筑条例》相配套的政策文件体系和绿色建筑全寿命期监管体制机制；全面推进新建民用建筑按照绿色建筑标准进行建设，2021至2023年广东省城镇新建民用建筑中绿色建筑占比分别达到70%、75%、80%；星级绿色建筑面积持续增加，到2023年，全省按一星级及以上标准建设的绿色建筑占新建民用建筑比例达到20%，其中粤港澳大湾区珠三角九市比例达到35%。同时，分区域细化地市未来三年绿色建筑发展目标任务。</w:t>
      </w:r>
    </w:p>
    <w:p>
      <w:pPr>
        <w:ind w:left="0" w:leftChars="0" w:right="0" w:rightChars="0" w:firstLine="482"/>
        <w:rPr>
          <w:b/>
          <w:bCs/>
          <w:szCs w:val="24"/>
        </w:rPr>
      </w:pPr>
      <w:r>
        <w:rPr>
          <w:rFonts w:hint="eastAsia"/>
          <w:b/>
          <w:bCs/>
          <w:szCs w:val="24"/>
        </w:rPr>
        <w:t>3</w:t>
      </w:r>
      <w:r>
        <w:rPr>
          <w:b/>
          <w:bCs/>
          <w:szCs w:val="24"/>
        </w:rPr>
        <w:t>.</w:t>
      </w:r>
      <w:r>
        <w:rPr>
          <w:rFonts w:hint="eastAsia"/>
          <w:b/>
          <w:bCs/>
          <w:szCs w:val="24"/>
        </w:rPr>
        <w:t>《广东省人民政府办公厅关于大力发展装配式建筑的实施意见》（粤府办〔2017〕28号）</w:t>
      </w:r>
    </w:p>
    <w:p>
      <w:pPr>
        <w:ind w:left="0" w:leftChars="0" w:right="0" w:rightChars="0" w:firstLine="480"/>
        <w:rPr>
          <w:szCs w:val="24"/>
        </w:rPr>
      </w:pPr>
      <w:r>
        <w:rPr>
          <w:rFonts w:hint="eastAsia"/>
          <w:szCs w:val="24"/>
        </w:rPr>
        <w:t xml:space="preserve">将珠三角城市群列为重点推进地区，要求到2020年年底前，装配式建筑占新建建筑面积比例达到15%以上，其中政府投资工程装配式建筑面积占比达到50%以上；到2025年年底前，装配式建筑占新建建筑面积比例达到35%以上，其中政府投资工程装配式建筑面积占比达到70%以上。 </w:t>
      </w:r>
    </w:p>
    <w:p>
      <w:pPr>
        <w:ind w:left="0" w:leftChars="0" w:right="0" w:rightChars="0" w:firstLine="480"/>
        <w:rPr>
          <w:szCs w:val="24"/>
        </w:rPr>
      </w:pPr>
      <w:r>
        <w:rPr>
          <w:rFonts w:hint="eastAsia"/>
          <w:szCs w:val="24"/>
        </w:rPr>
        <w:t>将常住人口超过300万的粤东西北地区地级市中心城区列为积极推进地区，要求到2020年年底前，装配式建筑占新建建筑面积比例达到15%以上，其中政府投资工程装配式建筑面积占比达到30%以上；到2025年年底前，装配式建筑占新建建筑面积比例达到30%以上，其中政府投资工程装配式建筑面积占比达到50%以上。</w:t>
      </w:r>
    </w:p>
    <w:p>
      <w:pPr>
        <w:ind w:left="0" w:leftChars="0" w:right="0" w:rightChars="0" w:firstLine="480"/>
        <w:rPr>
          <w:szCs w:val="24"/>
        </w:rPr>
      </w:pPr>
      <w:r>
        <w:rPr>
          <w:rFonts w:hint="eastAsia"/>
          <w:szCs w:val="24"/>
        </w:rPr>
        <w:t xml:space="preserve">全省其他地区为鼓励推进地区，要求到2020年年底前，装配式建筑占新建建筑面积比例达到10%以上，其中政府投资工程装配式建筑面积占比达到30%以上；到2025年年底前，装配式建筑占新建建筑面积比例达到20%以上，其中政府投资工程装配式建筑面积占比达到50%以上。 </w:t>
      </w:r>
    </w:p>
    <w:p>
      <w:pPr>
        <w:ind w:left="0" w:leftChars="0" w:right="0" w:rightChars="0" w:firstLine="480"/>
        <w:rPr>
          <w:szCs w:val="24"/>
        </w:rPr>
      </w:pPr>
      <w:r>
        <w:rPr>
          <w:rFonts w:hint="eastAsia"/>
          <w:szCs w:val="24"/>
        </w:rPr>
        <w:t>逐步完善法规规章、技术标准和监管体系，建设一批各具特色的示范城市、部品部件生产示范基地、装配式建筑示范项目，推动形成一批设计、施工、部品部件规模化生产企业，培育一批具有现代装配建造水平的工程总承包企业以及与之相适应的专业化技能队伍。</w:t>
      </w:r>
    </w:p>
    <w:p>
      <w:pPr>
        <w:pStyle w:val="4"/>
        <w:numPr>
          <w:ilvl w:val="2"/>
          <w:numId w:val="18"/>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市级层面</w:t>
      </w:r>
    </w:p>
    <w:p>
      <w:pPr>
        <w:ind w:left="0" w:leftChars="0" w:right="480" w:firstLine="482"/>
        <w:rPr>
          <w:b/>
          <w:bCs/>
        </w:rPr>
      </w:pPr>
      <w:r>
        <w:rPr>
          <w:rFonts w:hint="eastAsia"/>
          <w:b/>
          <w:bCs/>
        </w:rPr>
        <w:t>1</w:t>
      </w:r>
      <w:r>
        <w:rPr>
          <w:b/>
          <w:bCs/>
        </w:rPr>
        <w:t>.</w:t>
      </w:r>
      <w:r>
        <w:rPr>
          <w:rFonts w:hint="eastAsia"/>
          <w:b/>
          <w:bCs/>
        </w:rPr>
        <w:t>《汕尾市国民经济和社会发展第十四个五年规划和二〇三五年远景目标纲要》</w:t>
      </w:r>
    </w:p>
    <w:p>
      <w:pPr>
        <w:ind w:left="0" w:leftChars="0" w:right="0" w:rightChars="0" w:firstLine="480"/>
      </w:pPr>
      <w:r>
        <w:rPr>
          <w:rFonts w:hint="eastAsia"/>
        </w:rPr>
        <w:t>党的十九大作出到二〇三五年我国基本实现社会主义现代化的战略安排。展望二〇三五年，汕尾市也将与全国全省同步基本实现社会主义现代化，基本建成沿海经济带的靓丽明珠。经济实力、创新能力、综合竞争力大幅提升，经济总量和城乡居民人均收入迈上新的大台阶，人均地区生产总值达到更高水平。建成现代化经济体系，基本实现新型工业化、信息化、城镇化、农业现代化。形成对外开放新格局，参与国际经济合作和竞争优势明显增强。人与自然和谐共生格局基本形成，生态环境进一步优化，绿色生产生活方式广泛形成，建成美丽汕尾。</w:t>
      </w:r>
    </w:p>
    <w:p>
      <w:pPr>
        <w:ind w:left="0" w:leftChars="0" w:right="0" w:rightChars="0" w:firstLine="480"/>
      </w:pPr>
      <w:r>
        <w:rPr>
          <w:rFonts w:hint="eastAsia"/>
        </w:rPr>
        <w:t>《汕尾市国民经济和社会发展第十四个五年规划和二〇三五年远景目标纲要》提出要大力推进绿色低碳循环发展，以绿色、低碳、循环为导向，加快产业绿色化发展，强化资源集约高效利用，倡导绿色生活方式，推进经济社会发展全面绿色转型，具体包括以下三个方面内容。</w:t>
      </w:r>
    </w:p>
    <w:p>
      <w:pPr>
        <w:ind w:left="0" w:leftChars="0" w:right="0" w:rightChars="0" w:firstLine="482"/>
      </w:pPr>
      <w:r>
        <w:rPr>
          <w:b/>
        </w:rPr>
        <w:t>一是</w:t>
      </w:r>
      <w:r>
        <w:rPr>
          <w:rFonts w:hint="eastAsia"/>
          <w:b/>
        </w:rPr>
        <w:t>培育发展高质量绿色产业。</w:t>
      </w:r>
      <w:r>
        <w:rPr>
          <w:rFonts w:hint="eastAsia"/>
        </w:rPr>
        <w:t>加大节能环保、清洁生产、清洁能源、生态保护与修复、城乡绿色基础设施、绿色建筑、生态农业等领域绿色技术的开发与应用。积极发展绿色物流业，实现仓储、运输、包装、配送物流供应链的绿色低碳发展。推进生态环境治理与生态旅游、休闲康养等产业融合发展。大力发展生态循环农业，实施农药化肥减量行动。</w:t>
      </w:r>
    </w:p>
    <w:p>
      <w:pPr>
        <w:ind w:left="0" w:leftChars="0" w:right="0" w:rightChars="0" w:firstLine="482"/>
      </w:pPr>
      <w:r>
        <w:rPr>
          <w:rFonts w:hint="eastAsia"/>
          <w:b/>
        </w:rPr>
        <w:t>二是强化资源集约循环利用。</w:t>
      </w:r>
      <w:r>
        <w:rPr>
          <w:rFonts w:hint="eastAsia"/>
        </w:rPr>
        <w:t>提高资源利用效率，强化约束性指标管理，实施能源、水资源、建设用地等总量和强度“双控”行动。按照“总量和强度双控”要求，持续开展工业企业技术改造，加快淘汰落后产能和污染企业，推动产业生态化转型。落实最严格水资源管理制度，加强节水型社会建设，强化农业、工业、市政、建筑等行业节水措施，优化水资源配置。全面推进垃圾分类和减量化、资源化，建设“无废城市”。</w:t>
      </w:r>
    </w:p>
    <w:p>
      <w:pPr>
        <w:ind w:left="0" w:leftChars="0" w:right="0" w:rightChars="0" w:firstLine="482"/>
      </w:pPr>
      <w:r>
        <w:rPr>
          <w:rFonts w:hint="eastAsia"/>
          <w:b/>
        </w:rPr>
        <w:t>三是推行绿色生活方式。</w:t>
      </w:r>
      <w:r>
        <w:rPr>
          <w:rFonts w:hint="eastAsia"/>
        </w:rPr>
        <w:t>加快建立统一的绿色产品标准、认证、标识体系，逐步扩大节能产品、环境标志产品认证范围，支持企业生产节能环保、循环低碳、再生有机等绿色产品。制定生态产品政府采购目录，探索政府采购生态产品试点。加快推广应用新能源和清洁能源汽车。加强节约型机关建设，开展绿色社区、绿色出行、绿色学校、绿色建筑等绿色创建活动，在全社会形成健康文明的绿色文化风尚。</w:t>
      </w:r>
    </w:p>
    <w:p>
      <w:pPr>
        <w:ind w:left="0" w:leftChars="0" w:right="0" w:rightChars="0" w:firstLine="482"/>
        <w:rPr>
          <w:b/>
          <w:bCs/>
        </w:rPr>
      </w:pPr>
      <w:r>
        <w:rPr>
          <w:rFonts w:hint="eastAsia"/>
          <w:b/>
          <w:bCs/>
        </w:rPr>
        <w:t>2</w:t>
      </w:r>
      <w:r>
        <w:rPr>
          <w:b/>
          <w:bCs/>
        </w:rPr>
        <w:t>.</w:t>
      </w:r>
      <w:r>
        <w:rPr>
          <w:rFonts w:hint="eastAsia"/>
          <w:b/>
          <w:bCs/>
        </w:rPr>
        <w:t>《汕尾市绿色建筑创建行动实施方案（2021－2023年）》</w:t>
      </w:r>
    </w:p>
    <w:p>
      <w:pPr>
        <w:ind w:left="0" w:leftChars="0" w:right="0" w:rightChars="0" w:firstLine="480"/>
      </w:pPr>
      <w:r>
        <w:rPr>
          <w:rFonts w:hint="eastAsia"/>
        </w:rPr>
        <w:t>《汕尾市绿色建筑创建行动实施方案（2021－2023年）》提出到2021年基本建立与《广东省绿色建筑条例》相配套的政策文件体系和绿色建筑全寿命期监管体制机制；全面推进新建民用建筑按照绿色建筑标准进行建设，2021至2023年汕尾市城镇新建民用建筑中绿色建筑占比分别达到60%、65%、75%；星级绿色建筑面积持续增加，到2023年，全市按一星级及以上标准建设的绿色建筑占新建建筑比例达到10%。全市建筑健康性能显著增强，装配化建造方式占比稳步提高；全市既有建筑能效水平不断提升，既有建筑绿色化改造、可再生能源建筑应用和绿色建材应用规模进一步扩大。</w:t>
      </w:r>
    </w:p>
    <w:p>
      <w:pPr>
        <w:ind w:left="0" w:leftChars="0" w:right="0" w:rightChars="0" w:firstLine="480"/>
      </w:pPr>
      <w:r>
        <w:rPr>
          <w:rFonts w:hint="eastAsia"/>
        </w:rPr>
        <w:t>《汕尾市绿色建筑创建行动实施方案（2021－2023年）》还提出健全绿色建筑全寿命期政策标准体系、实施绿色建筑全流程管理、提高绿色建筑质量品质、推进绿色建筑技术发展四大主要任务措施，共细化处1</w:t>
      </w:r>
      <w:r>
        <w:t>5</w:t>
      </w:r>
      <w:r>
        <w:rPr>
          <w:rFonts w:hint="eastAsia"/>
        </w:rPr>
        <w:t>条对应举措，保障重点任务落地落实。</w:t>
      </w:r>
    </w:p>
    <w:p>
      <w:pPr>
        <w:ind w:left="0" w:leftChars="0" w:right="0" w:rightChars="0" w:firstLine="482"/>
        <w:rPr>
          <w:b/>
          <w:bCs/>
        </w:rPr>
      </w:pPr>
      <w:r>
        <w:rPr>
          <w:rFonts w:hint="eastAsia"/>
          <w:b/>
          <w:bCs/>
        </w:rPr>
        <w:t>3</w:t>
      </w:r>
      <w:r>
        <w:rPr>
          <w:b/>
          <w:bCs/>
        </w:rPr>
        <w:t>.</w:t>
      </w:r>
      <w:r>
        <w:rPr>
          <w:rFonts w:hint="eastAsia"/>
          <w:b/>
          <w:bCs/>
        </w:rPr>
        <w:t>《汕尾市住房和城乡建设局关于进一步推动全市绿色建筑发展的通知》（汕建节〔20</w:t>
      </w:r>
      <w:r>
        <w:rPr>
          <w:b/>
          <w:bCs/>
        </w:rPr>
        <w:t>22</w:t>
      </w:r>
      <w:r>
        <w:rPr>
          <w:rFonts w:hint="eastAsia"/>
          <w:b/>
          <w:bCs/>
        </w:rPr>
        <w:t>〕</w:t>
      </w:r>
      <w:r>
        <w:rPr>
          <w:b/>
          <w:bCs/>
        </w:rPr>
        <w:t>1</w:t>
      </w:r>
      <w:r>
        <w:rPr>
          <w:rFonts w:hint="eastAsia"/>
          <w:b/>
          <w:bCs/>
        </w:rPr>
        <w:t>号）</w:t>
      </w:r>
    </w:p>
    <w:p>
      <w:pPr>
        <w:ind w:left="0" w:leftChars="0" w:right="0" w:rightChars="0" w:firstLine="480"/>
      </w:pPr>
      <w:r>
        <w:t>为促进汕尾市绿色建筑高质量发展</w:t>
      </w:r>
      <w:r>
        <w:rPr>
          <w:rFonts w:hint="eastAsia"/>
        </w:rPr>
        <w:t>，</w:t>
      </w:r>
      <w:r>
        <w:t>提升汕尾市城市品质</w:t>
      </w:r>
      <w:r>
        <w:rPr>
          <w:rFonts w:hint="eastAsia"/>
        </w:rPr>
        <w:t>，</w:t>
      </w:r>
      <w:r>
        <w:t>改善人居环境</w:t>
      </w:r>
      <w:r>
        <w:rPr>
          <w:rFonts w:hint="eastAsia"/>
        </w:rPr>
        <w:t>，</w:t>
      </w:r>
      <w:r>
        <w:t>进一步贯彻国家和广东省</w:t>
      </w:r>
      <w:r>
        <w:rPr>
          <w:rFonts w:hint="eastAsia"/>
        </w:rPr>
        <w:t>有关</w:t>
      </w:r>
      <w:r>
        <w:t>绿色建筑的</w:t>
      </w:r>
      <w:r>
        <w:rPr>
          <w:rFonts w:hint="eastAsia"/>
        </w:rPr>
        <w:t>文件</w:t>
      </w:r>
      <w:r>
        <w:t>精神</w:t>
      </w:r>
      <w:r>
        <w:rPr>
          <w:rFonts w:hint="eastAsia"/>
        </w:rPr>
        <w:t>，《汕尾市住房和城乡建设局关于进一步推动全市绿色建筑发展的通知》（汕建节〔2022〕1号）提出四项关于推动汕尾市绿色建筑发展的工作要求。</w:t>
      </w:r>
    </w:p>
    <w:p>
      <w:pPr>
        <w:ind w:left="0" w:leftChars="0" w:right="0" w:rightChars="0" w:firstLine="482"/>
      </w:pPr>
      <w:r>
        <w:rPr>
          <w:b/>
        </w:rPr>
        <w:t>一是全面落实绿色建筑要求</w:t>
      </w:r>
      <w:r>
        <w:rPr>
          <w:rFonts w:hint="eastAsia"/>
          <w:b/>
        </w:rPr>
        <w:t>。</w:t>
      </w:r>
      <w:r>
        <w:rPr>
          <w:rFonts w:hint="eastAsia"/>
        </w:rPr>
        <w:t>要求汕尾市新建民用建筑应严格按照《广东省绿色建筑条例》、《绿色建筑评价标准》、《广东省绿色建筑设计规范》等进行设计和施工图设计文件审查。全市工业、物流仓储、科研用地范围内的办公楼、实验楼以及办公、研发、展示等功能为主的研发楼等，应纳入绿色建筑实施范围。</w:t>
      </w:r>
    </w:p>
    <w:p>
      <w:pPr>
        <w:ind w:left="0" w:leftChars="0" w:right="0" w:rightChars="0" w:firstLine="482"/>
      </w:pPr>
      <w:r>
        <w:rPr>
          <w:b/>
        </w:rPr>
        <w:t>二是大力发展星级绿色建筑</w:t>
      </w:r>
      <w:r>
        <w:rPr>
          <w:rFonts w:hint="eastAsia"/>
          <w:b/>
        </w:rPr>
        <w:t>。</w:t>
      </w:r>
      <w:r>
        <w:rPr>
          <w:rFonts w:hint="eastAsia"/>
        </w:rPr>
        <w:t>全市新建民用建筑按照基本级或以上等级绿色建筑标准进行建设。其中，建筑面积5万平方米（含）以上的新建公共建筑按照二星级或以上绿色建筑标准进行建设；国家机关办公建筑、国有资金参与投资建设的其他新建公共建筑以及建筑面积5</w:t>
      </w:r>
      <w:r>
        <w:t>000平方米</w:t>
      </w:r>
      <w:r>
        <w:rPr>
          <w:rFonts w:hint="eastAsia"/>
        </w:rPr>
        <w:t>（含）以上的新建公共建筑按照一星级或以上绿色建筑标准进行建设；建筑面积5万平方米（含）以上的新建居住建筑按照一星级或以上绿色建筑标准进行建设。</w:t>
      </w:r>
    </w:p>
    <w:p>
      <w:pPr>
        <w:ind w:left="0" w:leftChars="0" w:right="0" w:rightChars="0" w:firstLine="482"/>
      </w:pPr>
      <w:r>
        <w:rPr>
          <w:b/>
        </w:rPr>
        <w:t>三是切实强化建设全过程管控</w:t>
      </w:r>
      <w:r>
        <w:rPr>
          <w:rFonts w:hint="eastAsia"/>
          <w:b/>
        </w:rPr>
        <w:t>。</w:t>
      </w:r>
      <w:r>
        <w:rPr>
          <w:rFonts w:hint="eastAsia"/>
        </w:rPr>
        <w:t>要求汕尾市各县（市、区）住房城乡建设主管部门加强监管，</w:t>
      </w:r>
      <w:r>
        <w:t>从筹建阶段</w:t>
      </w:r>
      <w:r>
        <w:rPr>
          <w:rFonts w:hint="eastAsia"/>
        </w:rPr>
        <w:t>、设计阶段、审图阶段、报备阶段、施工阶段、检测阶段和竣工验收阶段全过程管控绿色建筑建设。</w:t>
      </w:r>
    </w:p>
    <w:p>
      <w:pPr>
        <w:ind w:left="0" w:leftChars="0" w:right="0" w:rightChars="0" w:firstLine="482"/>
      </w:pPr>
      <w:r>
        <w:rPr>
          <w:b/>
        </w:rPr>
        <w:t>四是加强推动绿色建筑</w:t>
      </w:r>
      <w:r>
        <w:rPr>
          <w:rFonts w:hint="eastAsia"/>
          <w:b/>
        </w:rPr>
        <w:t>技术</w:t>
      </w:r>
      <w:r>
        <w:rPr>
          <w:b/>
        </w:rPr>
        <w:t>发展</w:t>
      </w:r>
      <w:r>
        <w:rPr>
          <w:rFonts w:hint="eastAsia"/>
          <w:b/>
        </w:rPr>
        <w:t>。包</w:t>
      </w:r>
      <w:r>
        <w:rPr>
          <w:rFonts w:hint="eastAsia"/>
        </w:rPr>
        <w:t>括推广运用新型建造方式、严格落实建筑节能措施、推广应用绿色建材等。</w:t>
      </w:r>
    </w:p>
    <w:p>
      <w:pPr>
        <w:pStyle w:val="3"/>
        <w:numPr>
          <w:ilvl w:val="1"/>
          <w:numId w:val="12"/>
        </w:numPr>
        <w:spacing w:line="360" w:lineRule="auto"/>
        <w:ind w:left="0" w:leftChars="0" w:right="-84" w:rightChars="-35" w:firstLine="0" w:firstLineChars="0"/>
        <w:rPr>
          <w:rFonts w:ascii="黑体" w:hAnsi="黑体"/>
          <w:szCs w:val="30"/>
        </w:rPr>
      </w:pPr>
      <w:bookmarkStart w:id="27" w:name="_Toc117875445"/>
      <w:r>
        <w:rPr>
          <w:rFonts w:hint="eastAsia" w:ascii="黑体" w:hAnsi="黑体"/>
          <w:szCs w:val="30"/>
        </w:rPr>
        <w:t>相关规划解读</w:t>
      </w:r>
      <w:bookmarkEnd w:id="27"/>
    </w:p>
    <w:p>
      <w:pPr>
        <w:pStyle w:val="4"/>
        <w:numPr>
          <w:ilvl w:val="2"/>
          <w:numId w:val="19"/>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《广东省建筑业“十四五”发展规划》</w:t>
      </w:r>
    </w:p>
    <w:p>
      <w:pPr>
        <w:ind w:left="0" w:leftChars="0" w:right="0" w:rightChars="0" w:firstLine="480"/>
        <w:rPr>
          <w:szCs w:val="24"/>
        </w:rPr>
      </w:pPr>
      <w:r>
        <w:rPr>
          <w:rFonts w:hint="eastAsia"/>
          <w:szCs w:val="24"/>
        </w:rPr>
        <w:t>《广东省建筑业“十四五”发展规划》（以下简称《规划》）已于2021年12月31日由广东省住房和城乡建设厅发布。</w:t>
      </w:r>
    </w:p>
    <w:p>
      <w:pPr>
        <w:ind w:left="0" w:leftChars="0" w:right="0" w:rightChars="0" w:firstLine="480"/>
        <w:rPr>
          <w:szCs w:val="24"/>
        </w:rPr>
      </w:pPr>
      <w:r>
        <w:rPr>
          <w:rFonts w:hint="eastAsia"/>
          <w:szCs w:val="24"/>
        </w:rPr>
        <w:t>《规划》准确把握总体要求，科学制定发展目标，到2025年，全省建筑业总产值达到2.5万亿以上；建筑业产值百亿元以上企业达40家以上，施工特级（综合）资质企业达40家以上。全省装配式建筑面积占新建建筑面积的比例达到30%，城镇绿色建筑占新建民用建筑比例达100%。累计创建省级及以上技术中心达到90家以上，培育不少于10个建筑产业互联网示范平台。获中国建设工程鲁班奖（国家优质工程）等国家级奖项数量力争达150个以上。建设行业执业资格注册人员达25万人；力争实现在建项目施工现场中级工占技能工人比例达到20%。建筑业省外完成产值占总产值比重达30%以上，粤港澳建筑业合作发展取得新成效。</w:t>
      </w:r>
    </w:p>
    <w:p>
      <w:pPr>
        <w:pStyle w:val="4"/>
        <w:numPr>
          <w:ilvl w:val="2"/>
          <w:numId w:val="19"/>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《广东省建筑节能与绿色建筑发展“十四五”规划》</w:t>
      </w:r>
    </w:p>
    <w:p>
      <w:pPr>
        <w:ind w:left="0" w:leftChars="0" w:right="480" w:firstLine="482"/>
        <w:rPr>
          <w:b/>
        </w:rPr>
      </w:pPr>
      <w:r>
        <w:rPr>
          <w:rFonts w:hint="eastAsia"/>
          <w:b/>
        </w:rPr>
        <w:t>1</w:t>
      </w:r>
      <w:r>
        <w:rPr>
          <w:b/>
        </w:rPr>
        <w:t>.</w:t>
      </w:r>
      <w:r>
        <w:rPr>
          <w:rFonts w:hint="eastAsia"/>
          <w:b/>
        </w:rPr>
        <w:t>规划目标</w:t>
      </w:r>
    </w:p>
    <w:p>
      <w:pPr>
        <w:ind w:left="0" w:leftChars="0" w:right="0" w:rightChars="0" w:firstLine="480"/>
        <w:rPr>
          <w:szCs w:val="24"/>
        </w:rPr>
      </w:pPr>
      <w:r>
        <w:rPr>
          <w:rFonts w:hint="eastAsia"/>
          <w:szCs w:val="24"/>
        </w:rPr>
        <w:t>（1）总体目标。以建筑节能与绿色建筑高质量发展推动城乡建设更高质量、人居环境更加优良、人民生活更有品质、温室气体更少排放，到2025年，建筑能源利用效率稳步提升，建筑能耗和碳排放增长趋势得到有效控制，绿色建筑全面建设，以装配式建筑为代表的新型建筑工业化加快发展，装配式建筑标准化水平和建造质量进一步提高，绿色建材应用形成长效机制，为城乡建设领域2030年前碳达峰奠定坚实基础。</w:t>
      </w:r>
    </w:p>
    <w:p>
      <w:pPr>
        <w:ind w:left="0" w:leftChars="0" w:right="0" w:rightChars="0" w:firstLine="480"/>
        <w:rPr>
          <w:szCs w:val="24"/>
        </w:rPr>
      </w:pPr>
      <w:r>
        <w:rPr>
          <w:rFonts w:hint="eastAsia"/>
          <w:szCs w:val="24"/>
        </w:rPr>
        <w:t>（2）具体目标。到2025年，完成既有建筑节能绿色化改造面积3000万m</w:t>
      </w:r>
      <w:r>
        <w:rPr>
          <w:szCs w:val="24"/>
          <w:vertAlign w:val="superscript"/>
        </w:rPr>
        <w:t>2</w:t>
      </w:r>
      <w:r>
        <w:rPr>
          <w:rFonts w:hint="eastAsia"/>
          <w:szCs w:val="24"/>
        </w:rPr>
        <w:t>以上，建设岭南特色超低能耗及近零能耗建筑300万m</w:t>
      </w:r>
      <w:r>
        <w:rPr>
          <w:szCs w:val="24"/>
          <w:vertAlign w:val="superscript"/>
        </w:rPr>
        <w:t>2</w:t>
      </w:r>
      <w:r>
        <w:rPr>
          <w:rFonts w:hint="eastAsia"/>
          <w:szCs w:val="24"/>
        </w:rPr>
        <w:t>，新增建筑太阳能光伏装机容量200万千瓦，城镇建筑可再生能源替代率达到8%，建筑用能结构逐步优化，建筑能耗中电力消费比例超过80%。发展星级绿色建筑，推动珠三角地区成为绿色建筑发展新高地，全省城镇新增绿色建筑中星级绿色建筑占比超过30%，其中粤港澳大湾区珠三角九市超过45%，城镇新建建筑中装配式建筑比例达到30%，水泥散装率达到75%以上，预拌混凝土企业绿色生产全面达标，新型墙材在城镇新建建筑中得到全面应用，绿色建材应用比例大幅提升。</w:t>
      </w:r>
    </w:p>
    <w:p>
      <w:pPr>
        <w:ind w:left="0" w:leftChars="0" w:right="480" w:firstLine="482"/>
        <w:rPr>
          <w:b/>
        </w:rPr>
      </w:pPr>
      <w:r>
        <w:rPr>
          <w:rFonts w:hint="eastAsia"/>
          <w:b/>
        </w:rPr>
        <w:t>2</w:t>
      </w:r>
      <w:r>
        <w:rPr>
          <w:b/>
        </w:rPr>
        <w:t>.</w:t>
      </w:r>
      <w:r>
        <w:rPr>
          <w:rFonts w:hint="eastAsia"/>
          <w:b/>
        </w:rPr>
        <w:t>主要内容</w:t>
      </w:r>
    </w:p>
    <w:p>
      <w:pPr>
        <w:ind w:left="0" w:leftChars="0" w:right="0" w:rightChars="0" w:firstLine="480"/>
        <w:rPr>
          <w:szCs w:val="24"/>
        </w:rPr>
      </w:pPr>
      <w:r>
        <w:rPr>
          <w:rFonts w:hint="eastAsia"/>
          <w:szCs w:val="24"/>
        </w:rPr>
        <w:t>提出五个方面重点任务。一是提升建筑节能降碳水平，新建民用建筑全面按照绿色建筑标准进行建设，建成一批超低能耗建筑，开展近零能耗建筑、零碳建筑试点，开展既有建筑绿色化改造，提升既有建筑能效和绿色品质，加强可再生能源建筑推广应用，实施建筑电气化工程。二是推进绿色建筑高质量发展，加强规划建设全流程管控，在建设用地规划条件中明确绿色建筑等级等关键指标，强化绿色建筑运行管理，推动星级绿色建筑发展，提高绿色建筑品质。三是推动装配式建筑提质扩面，完善装配式建筑政策体系，加大推广力度，做大做强装配式建筑全产业集群，提高建筑品质。四是促进建筑工程材料绿色发展应用，出台《广东省散装水泥和新型墙体材料发展应用管理规定》，提升搅拌站绿色化水平，加强绿色建材推广应用。五是统筹区域能源协同与绿色城市发展，推进区域建筑能源协同发展，研究制订绿色低碳城市建设实施方案，明确绿色低碳城市发展目标和主要任务，推动绿色城市建设。</w:t>
      </w:r>
    </w:p>
    <w:p>
      <w:pPr>
        <w:pStyle w:val="4"/>
        <w:numPr>
          <w:ilvl w:val="2"/>
          <w:numId w:val="19"/>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《汕尾市装配式建筑专项规划（2019-2025年）》</w:t>
      </w:r>
    </w:p>
    <w:p>
      <w:pPr>
        <w:ind w:left="0" w:leftChars="0" w:right="0" w:rightChars="0" w:firstLine="480"/>
        <w:rPr>
          <w:szCs w:val="24"/>
        </w:rPr>
      </w:pPr>
      <w:r>
        <w:rPr>
          <w:rFonts w:hint="eastAsia"/>
          <w:szCs w:val="24"/>
        </w:rPr>
        <w:t>近期目标：夯实汕尾市装配式建筑发展基础，实现由政府引导逐步过渡到以市场为主导，装配式建筑成为汕尾市主要建设模式之一。到2020年末汕尾市实现装配式建筑占新建建筑面积的比例市区达到15%以上，其他地区（陆丰市、海丰县、陆河县）达到10%以上，其中政府投资工程装配式建筑面积占比达到30%以上，至少建成1个装配式建筑部品部件生产基地。</w:t>
      </w:r>
    </w:p>
    <w:p>
      <w:pPr>
        <w:ind w:left="0" w:leftChars="0" w:right="0" w:rightChars="0" w:firstLine="480"/>
        <w:rPr>
          <w:szCs w:val="24"/>
        </w:rPr>
      </w:pPr>
      <w:r>
        <w:rPr>
          <w:rFonts w:hint="eastAsia"/>
          <w:szCs w:val="24"/>
        </w:rPr>
        <w:t>技术目标：重点发展建筑的水平构件和竖向非承重构件在装配式建筑中的应用。</w:t>
      </w:r>
    </w:p>
    <w:p>
      <w:pPr>
        <w:ind w:left="0" w:leftChars="0" w:right="0" w:rightChars="0" w:firstLine="480"/>
        <w:rPr>
          <w:szCs w:val="24"/>
        </w:rPr>
      </w:pPr>
      <w:r>
        <w:rPr>
          <w:rFonts w:hint="eastAsia"/>
          <w:szCs w:val="24"/>
        </w:rPr>
        <w:t>远期目标：着力提高装配式建筑覆盖面，基本形成以市场为主导的良好工作局面，装配式建筑成为汕尾市主要建设模式。到2025年末，汕尾市实现装配式建筑占新建建筑面积的比例市区达到30%以上，其他地区（陆丰市、海丰县、陆河县）达到20%以上，其中政府投资工程装配式建筑面积占比达到50%以上，着力打造不少于5个装配式建筑示范项目，建成不少于2个装配式建筑部品部件生产基地。</w:t>
      </w:r>
    </w:p>
    <w:p>
      <w:pPr>
        <w:ind w:left="0" w:leftChars="0" w:right="0" w:rightChars="0" w:firstLine="480"/>
        <w:rPr>
          <w:szCs w:val="24"/>
        </w:rPr>
      </w:pPr>
      <w:r>
        <w:rPr>
          <w:rFonts w:hint="eastAsia"/>
          <w:szCs w:val="24"/>
        </w:rPr>
        <w:t>技术目标：合理有序推动建筑的竖向承重构件在装配式建筑中的应用。</w:t>
      </w:r>
    </w:p>
    <w:p>
      <w:pPr>
        <w:pStyle w:val="102"/>
        <w:numPr>
          <w:ilvl w:val="0"/>
          <w:numId w:val="20"/>
        </w:numPr>
        <w:spacing w:before="120"/>
        <w:ind w:leftChars="0" w:right="0" w:rightChars="0" w:firstLineChars="0"/>
        <w:jc w:val="center"/>
        <w:rPr>
          <w:b/>
          <w:sz w:val="22"/>
        </w:rPr>
      </w:pPr>
      <w:r>
        <w:rPr>
          <w:rFonts w:hint="eastAsia"/>
          <w:b/>
          <w:sz w:val="22"/>
        </w:rPr>
        <w:t>汕尾</w:t>
      </w:r>
      <w:r>
        <w:rPr>
          <w:b/>
          <w:sz w:val="22"/>
        </w:rPr>
        <w:t>市装配式建筑发展指标</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2"/>
        <w:gridCol w:w="2219"/>
        <w:gridCol w:w="1601"/>
        <w:gridCol w:w="1017"/>
        <w:gridCol w:w="1310"/>
        <w:gridCol w:w="1019"/>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blHeader/>
          <w:jc w:val="center"/>
        </w:trPr>
        <w:tc>
          <w:tcPr>
            <w:tcW w:w="31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序号</w:t>
            </w:r>
          </w:p>
        </w:tc>
        <w:tc>
          <w:tcPr>
            <w:tcW w:w="2190" w:type="pct"/>
            <w:gridSpan w:val="2"/>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定量指标</w:t>
            </w:r>
          </w:p>
        </w:tc>
        <w:tc>
          <w:tcPr>
            <w:tcW w:w="583"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单位</w:t>
            </w:r>
          </w:p>
        </w:tc>
        <w:tc>
          <w:tcPr>
            <w:tcW w:w="75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2020年</w:t>
            </w:r>
          </w:p>
          <w:p>
            <w:pPr>
              <w:spacing w:line="276" w:lineRule="auto"/>
              <w:ind w:left="0" w:leftChars="0" w:right="0" w:rightChars="0"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目标值</w:t>
            </w:r>
          </w:p>
        </w:tc>
        <w:tc>
          <w:tcPr>
            <w:tcW w:w="584"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2025年</w:t>
            </w:r>
          </w:p>
          <w:p>
            <w:pPr>
              <w:spacing w:line="276" w:lineRule="auto"/>
              <w:ind w:left="0" w:leftChars="0" w:right="0" w:rightChars="0"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目标值</w:t>
            </w:r>
          </w:p>
        </w:tc>
        <w:tc>
          <w:tcPr>
            <w:tcW w:w="58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指标</w:t>
            </w:r>
          </w:p>
          <w:p>
            <w:pPr>
              <w:spacing w:line="276" w:lineRule="auto"/>
              <w:ind w:left="0" w:leftChars="0" w:right="0" w:rightChars="0"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11" w:type="pct"/>
            <w:vMerge w:val="restar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272" w:type="pct"/>
            <w:vMerge w:val="restar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装配式建筑占新建建筑比例</w:t>
            </w:r>
          </w:p>
        </w:tc>
        <w:tc>
          <w:tcPr>
            <w:tcW w:w="918"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中心城区</w:t>
            </w:r>
          </w:p>
        </w:tc>
        <w:tc>
          <w:tcPr>
            <w:tcW w:w="583"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75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kern w:val="0"/>
                <w:sz w:val="21"/>
                <w:szCs w:val="21"/>
              </w:rPr>
              <w:t>≥</w:t>
            </w:r>
            <w:r>
              <w:rPr>
                <w:rFonts w:hint="eastAsia" w:asciiTheme="minorEastAsia" w:hAnsiTheme="minorEastAsia" w:eastAsiaTheme="minorEastAsia"/>
                <w:sz w:val="21"/>
                <w:szCs w:val="21"/>
              </w:rPr>
              <w:t>15</w:t>
            </w:r>
          </w:p>
        </w:tc>
        <w:tc>
          <w:tcPr>
            <w:tcW w:w="584"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kern w:val="0"/>
                <w:sz w:val="21"/>
                <w:szCs w:val="21"/>
              </w:rPr>
              <w:t>≥</w:t>
            </w:r>
            <w:r>
              <w:rPr>
                <w:rFonts w:hint="eastAsia" w:asciiTheme="minorEastAsia" w:hAnsiTheme="minorEastAsia" w:eastAsiaTheme="minorEastAsia"/>
                <w:sz w:val="21"/>
                <w:szCs w:val="21"/>
              </w:rPr>
              <w:t>30</w:t>
            </w:r>
          </w:p>
        </w:tc>
        <w:tc>
          <w:tcPr>
            <w:tcW w:w="581" w:type="pct"/>
            <w:vMerge w:val="restar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11" w:type="pct"/>
            <w:vMerge w:val="continue"/>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p>
        </w:tc>
        <w:tc>
          <w:tcPr>
            <w:tcW w:w="1272" w:type="pct"/>
            <w:vMerge w:val="continue"/>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p>
        </w:tc>
        <w:tc>
          <w:tcPr>
            <w:tcW w:w="918"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其他地区</w:t>
            </w:r>
          </w:p>
        </w:tc>
        <w:tc>
          <w:tcPr>
            <w:tcW w:w="583"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75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≥10</w:t>
            </w:r>
          </w:p>
        </w:tc>
        <w:tc>
          <w:tcPr>
            <w:tcW w:w="584"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≥20</w:t>
            </w:r>
          </w:p>
        </w:tc>
        <w:tc>
          <w:tcPr>
            <w:tcW w:w="581" w:type="pct"/>
            <w:vMerge w:val="continue"/>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1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2190" w:type="pct"/>
            <w:gridSpan w:val="2"/>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政府投资工程装配式建筑面积占比</w:t>
            </w:r>
          </w:p>
        </w:tc>
        <w:tc>
          <w:tcPr>
            <w:tcW w:w="583"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75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kern w:val="0"/>
                <w:sz w:val="21"/>
                <w:szCs w:val="21"/>
              </w:rPr>
              <w:t>≥</w:t>
            </w:r>
            <w:r>
              <w:rPr>
                <w:rFonts w:hint="eastAsia" w:asciiTheme="minorEastAsia" w:hAnsiTheme="minorEastAsia" w:eastAsiaTheme="minorEastAsia"/>
                <w:sz w:val="21"/>
                <w:szCs w:val="21"/>
              </w:rPr>
              <w:t>30</w:t>
            </w:r>
          </w:p>
        </w:tc>
        <w:tc>
          <w:tcPr>
            <w:tcW w:w="584"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kern w:val="0"/>
                <w:sz w:val="21"/>
                <w:szCs w:val="21"/>
              </w:rPr>
              <w:t>≥</w:t>
            </w:r>
            <w:r>
              <w:rPr>
                <w:rFonts w:hint="eastAsia" w:asciiTheme="minorEastAsia" w:hAnsiTheme="minorEastAsia" w:eastAsiaTheme="minorEastAsia"/>
                <w:sz w:val="21"/>
                <w:szCs w:val="21"/>
              </w:rPr>
              <w:t>50</w:t>
            </w:r>
          </w:p>
        </w:tc>
        <w:tc>
          <w:tcPr>
            <w:tcW w:w="58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1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2190" w:type="pct"/>
            <w:gridSpan w:val="2"/>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装配式建筑全装修项目比例</w:t>
            </w:r>
          </w:p>
        </w:tc>
        <w:tc>
          <w:tcPr>
            <w:tcW w:w="583"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75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kern w:val="0"/>
                <w:sz w:val="21"/>
                <w:szCs w:val="21"/>
              </w:rPr>
              <w:t>≥</w:t>
            </w:r>
            <w:r>
              <w:rPr>
                <w:rFonts w:hint="eastAsia" w:asciiTheme="minorEastAsia" w:hAnsiTheme="minorEastAsia" w:eastAsiaTheme="minorEastAsia"/>
                <w:sz w:val="21"/>
                <w:szCs w:val="21"/>
              </w:rPr>
              <w:t>100</w:t>
            </w:r>
          </w:p>
        </w:tc>
        <w:tc>
          <w:tcPr>
            <w:tcW w:w="584"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kern w:val="0"/>
                <w:sz w:val="21"/>
                <w:szCs w:val="21"/>
              </w:rPr>
              <w:t>≥</w:t>
            </w:r>
            <w:r>
              <w:rPr>
                <w:rFonts w:hint="eastAsia" w:asciiTheme="minorEastAsia" w:hAnsiTheme="minorEastAsia" w:eastAsiaTheme="minorEastAsia"/>
                <w:sz w:val="21"/>
                <w:szCs w:val="21"/>
              </w:rPr>
              <w:t>100</w:t>
            </w:r>
          </w:p>
        </w:tc>
        <w:tc>
          <w:tcPr>
            <w:tcW w:w="58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31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2190" w:type="pct"/>
            <w:gridSpan w:val="2"/>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装配式建筑部品部件生产基地</w:t>
            </w:r>
          </w:p>
        </w:tc>
        <w:tc>
          <w:tcPr>
            <w:tcW w:w="583"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个</w:t>
            </w:r>
          </w:p>
        </w:tc>
        <w:tc>
          <w:tcPr>
            <w:tcW w:w="75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584"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58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31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2190" w:type="pct"/>
            <w:gridSpan w:val="2"/>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政府投资装配式建筑项目建筑信息模型（BIM）应用比例</w:t>
            </w:r>
          </w:p>
        </w:tc>
        <w:tc>
          <w:tcPr>
            <w:tcW w:w="583"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75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w:t>
            </w:r>
          </w:p>
        </w:tc>
        <w:tc>
          <w:tcPr>
            <w:tcW w:w="584"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w:t>
            </w:r>
          </w:p>
        </w:tc>
        <w:tc>
          <w:tcPr>
            <w:tcW w:w="58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31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2190" w:type="pct"/>
            <w:gridSpan w:val="2"/>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政府投资装配式建筑项目工程总承包（EPC）比例</w:t>
            </w:r>
          </w:p>
        </w:tc>
        <w:tc>
          <w:tcPr>
            <w:tcW w:w="583"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75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w:t>
            </w:r>
          </w:p>
        </w:tc>
        <w:tc>
          <w:tcPr>
            <w:tcW w:w="584"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w:t>
            </w:r>
          </w:p>
        </w:tc>
        <w:tc>
          <w:tcPr>
            <w:tcW w:w="58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31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2190" w:type="pct"/>
            <w:gridSpan w:val="2"/>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装配式建筑示范项目</w:t>
            </w:r>
          </w:p>
        </w:tc>
        <w:tc>
          <w:tcPr>
            <w:tcW w:w="583"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个</w:t>
            </w:r>
          </w:p>
        </w:tc>
        <w:tc>
          <w:tcPr>
            <w:tcW w:w="75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584"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581" w:type="pct"/>
            <w:shd w:val="clear" w:color="auto" w:fill="auto"/>
            <w:vAlign w:val="center"/>
          </w:tcPr>
          <w:p>
            <w:pPr>
              <w:spacing w:line="276" w:lineRule="auto"/>
              <w:ind w:left="0" w:leftChars="0" w:right="0" w:rightChars="0"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预期性</w:t>
            </w:r>
          </w:p>
        </w:tc>
      </w:tr>
    </w:tbl>
    <w:p>
      <w:pPr>
        <w:ind w:left="0" w:leftChars="0" w:right="0" w:rightChars="0" w:firstLine="480"/>
        <w:rPr>
          <w:szCs w:val="24"/>
        </w:rPr>
      </w:pPr>
    </w:p>
    <w:p>
      <w:pPr>
        <w:pStyle w:val="2"/>
        <w:keepLines w:val="0"/>
        <w:pageBreakBefore/>
        <w:numPr>
          <w:ilvl w:val="0"/>
          <w:numId w:val="12"/>
        </w:numPr>
        <w:spacing w:line="360" w:lineRule="auto"/>
        <w:ind w:left="0" w:leftChars="0" w:right="0" w:rightChars="0" w:firstLine="0" w:firstLineChars="0"/>
        <w:jc w:val="center"/>
        <w:rPr>
          <w:rFonts w:ascii="黑体" w:hAnsi="黑体" w:eastAsia="黑体"/>
          <w:sz w:val="36"/>
          <w:szCs w:val="32"/>
        </w:rPr>
      </w:pPr>
      <w:bookmarkStart w:id="28" w:name="_Toc117875446"/>
      <w:r>
        <w:rPr>
          <w:rFonts w:hint="eastAsia" w:ascii="黑体" w:hAnsi="黑体" w:eastAsia="黑体"/>
          <w:sz w:val="36"/>
          <w:szCs w:val="32"/>
        </w:rPr>
        <w:t>绿色建筑发展现状分析</w:t>
      </w:r>
      <w:bookmarkEnd w:id="28"/>
    </w:p>
    <w:p>
      <w:pPr>
        <w:pStyle w:val="3"/>
        <w:numPr>
          <w:ilvl w:val="1"/>
          <w:numId w:val="12"/>
        </w:numPr>
        <w:spacing w:line="360" w:lineRule="auto"/>
        <w:ind w:left="0" w:leftChars="0" w:right="-84" w:rightChars="-35" w:firstLine="0" w:firstLineChars="0"/>
        <w:rPr>
          <w:rFonts w:ascii="黑体" w:hAnsi="黑体"/>
          <w:szCs w:val="30"/>
        </w:rPr>
      </w:pPr>
      <w:bookmarkStart w:id="29" w:name="_Toc117875447"/>
      <w:r>
        <w:rPr>
          <w:rFonts w:hint="eastAsia" w:ascii="黑体" w:hAnsi="黑体"/>
          <w:szCs w:val="30"/>
        </w:rPr>
        <w:t>绿色建筑现状</w:t>
      </w:r>
      <w:bookmarkEnd w:id="29"/>
    </w:p>
    <w:p>
      <w:pPr>
        <w:ind w:left="0" w:leftChars="0" w:right="0" w:rightChars="0" w:firstLine="482"/>
        <w:rPr>
          <w:b/>
          <w:szCs w:val="24"/>
        </w:rPr>
      </w:pPr>
      <w:r>
        <w:rPr>
          <w:rFonts w:hint="eastAsia"/>
          <w:b/>
          <w:szCs w:val="24"/>
        </w:rPr>
        <w:t>（1）绿色建筑建设情况</w:t>
      </w:r>
    </w:p>
    <w:p>
      <w:pPr>
        <w:ind w:left="0" w:leftChars="0" w:right="0" w:rightChars="0" w:firstLine="480"/>
        <w:rPr>
          <w:szCs w:val="24"/>
        </w:rPr>
      </w:pPr>
      <w:r>
        <w:rPr>
          <w:szCs w:val="24"/>
        </w:rPr>
        <w:t>截至</w:t>
      </w:r>
      <w:r>
        <w:rPr>
          <w:rFonts w:hint="eastAsia"/>
          <w:szCs w:val="24"/>
        </w:rPr>
        <w:t>2</w:t>
      </w:r>
      <w:r>
        <w:rPr>
          <w:szCs w:val="24"/>
        </w:rPr>
        <w:t>021年</w:t>
      </w:r>
      <w:r>
        <w:rPr>
          <w:rFonts w:hint="eastAsia"/>
          <w:szCs w:val="24"/>
        </w:rPr>
        <w:t>1</w:t>
      </w:r>
      <w:r>
        <w:rPr>
          <w:szCs w:val="24"/>
        </w:rPr>
        <w:t>2月</w:t>
      </w:r>
      <w:r>
        <w:rPr>
          <w:rFonts w:hint="eastAsia"/>
          <w:szCs w:val="24"/>
        </w:rPr>
        <w:t>，</w:t>
      </w:r>
      <w:r>
        <w:rPr>
          <w:szCs w:val="24"/>
        </w:rPr>
        <w:t>汕尾市城镇累计建成绿色建筑面积为</w:t>
      </w:r>
      <w:r>
        <w:rPr>
          <w:rFonts w:hint="eastAsia"/>
          <w:szCs w:val="24"/>
        </w:rPr>
        <w:t>1</w:t>
      </w:r>
      <w:r>
        <w:rPr>
          <w:szCs w:val="24"/>
        </w:rPr>
        <w:t>256.71万</w:t>
      </w:r>
      <w:r>
        <w:rPr>
          <w:rFonts w:hint="eastAsia" w:ascii="宋体" w:hAnsi="宋体" w:cs="宋体"/>
          <w:color w:val="000000"/>
          <w:kern w:val="0"/>
          <w:szCs w:val="24"/>
        </w:rPr>
        <w:t>m</w:t>
      </w:r>
      <w:r>
        <w:rPr>
          <w:rFonts w:ascii="宋体" w:hAnsi="宋体" w:cs="宋体"/>
          <w:color w:val="000000"/>
          <w:kern w:val="0"/>
          <w:szCs w:val="24"/>
          <w:vertAlign w:val="superscript"/>
        </w:rPr>
        <w:t>2</w:t>
      </w:r>
      <w:r>
        <w:rPr>
          <w:rFonts w:hint="eastAsia"/>
          <w:szCs w:val="24"/>
        </w:rPr>
        <w:t>。2018-202</w:t>
      </w:r>
      <w:r>
        <w:rPr>
          <w:szCs w:val="24"/>
        </w:rPr>
        <w:t>1</w:t>
      </w:r>
      <w:r>
        <w:rPr>
          <w:rFonts w:hint="eastAsia"/>
          <w:szCs w:val="24"/>
        </w:rPr>
        <w:t>年，汕尾市城镇新建绿色建筑比例分别为25.4%、21.4%、36.75%、</w:t>
      </w:r>
      <w:r>
        <w:rPr>
          <w:rFonts w:hint="eastAsia" w:ascii="宋体" w:hAnsi="宋体" w:cs="宋体"/>
          <w:color w:val="000000"/>
          <w:kern w:val="0"/>
          <w:szCs w:val="24"/>
        </w:rPr>
        <w:t>7</w:t>
      </w:r>
      <w:r>
        <w:rPr>
          <w:rFonts w:ascii="宋体" w:hAnsi="宋体" w:cs="宋体"/>
          <w:color w:val="000000"/>
          <w:kern w:val="0"/>
          <w:szCs w:val="24"/>
        </w:rPr>
        <w:t>3.52</w:t>
      </w:r>
      <w:r>
        <w:rPr>
          <w:rFonts w:hint="eastAsia" w:ascii="宋体" w:hAnsi="宋体" w:cs="宋体"/>
          <w:color w:val="000000"/>
          <w:kern w:val="0"/>
          <w:szCs w:val="24"/>
        </w:rPr>
        <w:t>%</w:t>
      </w:r>
      <w:r>
        <w:rPr>
          <w:rFonts w:hint="eastAsia"/>
          <w:szCs w:val="24"/>
        </w:rPr>
        <w:t>。根据《广东省绿色建筑量质齐升三年行动方案（2018-2020年）》和《广东省绿色建筑创建行动实施方案（2021-2023）》的要求，粤东西北地区2018-202</w:t>
      </w:r>
      <w:r>
        <w:rPr>
          <w:szCs w:val="24"/>
        </w:rPr>
        <w:t>1</w:t>
      </w:r>
      <w:r>
        <w:rPr>
          <w:rFonts w:hint="eastAsia"/>
          <w:szCs w:val="24"/>
        </w:rPr>
        <w:t>年城镇民用建筑新建成绿色建筑面积占新建成建筑总面积比例应分别达到10%、15%、25%、6</w:t>
      </w:r>
      <w:r>
        <w:rPr>
          <w:szCs w:val="24"/>
        </w:rPr>
        <w:t>0</w:t>
      </w:r>
      <w:r>
        <w:rPr>
          <w:rFonts w:hint="eastAsia"/>
          <w:szCs w:val="24"/>
        </w:rPr>
        <w:t>%，汕尾市超额完成广东省下达的绿色建筑目标考核任务。</w:t>
      </w:r>
    </w:p>
    <w:p>
      <w:pPr>
        <w:pStyle w:val="102"/>
        <w:numPr>
          <w:ilvl w:val="0"/>
          <w:numId w:val="21"/>
        </w:numPr>
        <w:ind w:leftChars="0" w:right="0" w:rightChars="0" w:firstLineChars="0"/>
        <w:jc w:val="center"/>
        <w:rPr>
          <w:b/>
          <w:sz w:val="22"/>
          <w:szCs w:val="22"/>
        </w:rPr>
      </w:pPr>
      <w:r>
        <w:rPr>
          <w:b/>
          <w:sz w:val="22"/>
          <w:szCs w:val="22"/>
        </w:rPr>
        <w:t>汕尾市</w:t>
      </w:r>
      <w:r>
        <w:rPr>
          <w:rFonts w:hint="eastAsia"/>
          <w:b/>
          <w:sz w:val="22"/>
          <w:szCs w:val="22"/>
        </w:rPr>
        <w:t>2</w:t>
      </w:r>
      <w:r>
        <w:rPr>
          <w:b/>
          <w:sz w:val="22"/>
          <w:szCs w:val="22"/>
        </w:rPr>
        <w:t>016-2021年</w:t>
      </w:r>
      <w:r>
        <w:rPr>
          <w:rFonts w:hint="eastAsia" w:ascii="宋体" w:hAnsi="宋体" w:cs="宋体"/>
          <w:b/>
          <w:color w:val="000000"/>
          <w:kern w:val="0"/>
          <w:sz w:val="22"/>
          <w:szCs w:val="22"/>
        </w:rPr>
        <w:t>新增绿色建筑面积和比例情况表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3491"/>
        <w:gridCol w:w="4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665" w:type="pct"/>
            <w:shd w:val="clear" w:color="auto" w:fill="auto"/>
            <w:noWrap/>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年份</w:t>
            </w:r>
          </w:p>
        </w:tc>
        <w:tc>
          <w:tcPr>
            <w:tcW w:w="2002" w:type="pct"/>
            <w:shd w:val="clear" w:color="auto" w:fill="auto"/>
            <w:noWrap/>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城镇新增绿色建筑面积</w:t>
            </w:r>
          </w:p>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（万m</w:t>
            </w:r>
            <w:r>
              <w:rPr>
                <w:rFonts w:ascii="宋体" w:hAnsi="宋体" w:cs="宋体"/>
                <w:b/>
                <w:color w:val="000000"/>
                <w:kern w:val="0"/>
                <w:szCs w:val="24"/>
                <w:vertAlign w:val="superscript"/>
              </w:rPr>
              <w:t>2</w:t>
            </w:r>
            <w:r>
              <w:rPr>
                <w:rFonts w:hint="eastAsia" w:ascii="宋体" w:hAnsi="宋体" w:cs="宋体"/>
                <w:b/>
                <w:color w:val="000000"/>
                <w:kern w:val="0"/>
                <w:szCs w:val="24"/>
              </w:rPr>
              <w:t>）</w:t>
            </w:r>
          </w:p>
        </w:tc>
        <w:tc>
          <w:tcPr>
            <w:tcW w:w="2333" w:type="pct"/>
            <w:shd w:val="clear" w:color="auto" w:fill="auto"/>
            <w:noWrap/>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城镇绿色建筑占新建建筑面积比例（%）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65"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2016年</w:t>
            </w:r>
          </w:p>
        </w:tc>
        <w:tc>
          <w:tcPr>
            <w:tcW w:w="200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45.71</w:t>
            </w:r>
          </w:p>
        </w:tc>
        <w:tc>
          <w:tcPr>
            <w:tcW w:w="233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65"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2017年</w:t>
            </w:r>
          </w:p>
        </w:tc>
        <w:tc>
          <w:tcPr>
            <w:tcW w:w="200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43.58</w:t>
            </w:r>
          </w:p>
        </w:tc>
        <w:tc>
          <w:tcPr>
            <w:tcW w:w="233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65"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2018年</w:t>
            </w:r>
          </w:p>
        </w:tc>
        <w:tc>
          <w:tcPr>
            <w:tcW w:w="200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50.3</w:t>
            </w:r>
          </w:p>
        </w:tc>
        <w:tc>
          <w:tcPr>
            <w:tcW w:w="233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65"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2019年</w:t>
            </w:r>
          </w:p>
        </w:tc>
        <w:tc>
          <w:tcPr>
            <w:tcW w:w="200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52.42</w:t>
            </w:r>
          </w:p>
        </w:tc>
        <w:tc>
          <w:tcPr>
            <w:tcW w:w="233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65"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2020年</w:t>
            </w:r>
          </w:p>
        </w:tc>
        <w:tc>
          <w:tcPr>
            <w:tcW w:w="200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137.26</w:t>
            </w:r>
          </w:p>
        </w:tc>
        <w:tc>
          <w:tcPr>
            <w:tcW w:w="233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36.75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65"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w:t>
            </w:r>
            <w:r>
              <w:rPr>
                <w:rFonts w:ascii="宋体" w:hAnsi="宋体" w:cs="宋体"/>
                <w:color w:val="000000"/>
                <w:kern w:val="0"/>
                <w:szCs w:val="24"/>
              </w:rPr>
              <w:t>021</w:t>
            </w:r>
            <w:r>
              <w:rPr>
                <w:rFonts w:hint="eastAsia" w:ascii="宋体" w:hAnsi="宋体" w:cs="宋体"/>
                <w:color w:val="000000"/>
                <w:kern w:val="0"/>
                <w:szCs w:val="24"/>
              </w:rPr>
              <w:t>年</w:t>
            </w:r>
          </w:p>
        </w:tc>
        <w:tc>
          <w:tcPr>
            <w:tcW w:w="200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3</w:t>
            </w:r>
            <w:r>
              <w:rPr>
                <w:rFonts w:ascii="宋体" w:hAnsi="宋体" w:cs="宋体"/>
                <w:color w:val="000000"/>
                <w:kern w:val="0"/>
                <w:szCs w:val="24"/>
              </w:rPr>
              <w:t>93.37</w:t>
            </w:r>
          </w:p>
        </w:tc>
        <w:tc>
          <w:tcPr>
            <w:tcW w:w="233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7</w:t>
            </w:r>
            <w:r>
              <w:rPr>
                <w:rFonts w:ascii="宋体" w:hAnsi="宋体" w:cs="宋体"/>
                <w:color w:val="000000"/>
                <w:kern w:val="0"/>
                <w:szCs w:val="24"/>
              </w:rPr>
              <w:t>3.52</w:t>
            </w:r>
          </w:p>
        </w:tc>
      </w:tr>
    </w:tbl>
    <w:p>
      <w:pPr>
        <w:ind w:left="0" w:leftChars="0" w:right="0" w:rightChars="0" w:firstLine="0" w:firstLineChars="0"/>
        <w:jc w:val="center"/>
        <w:rPr>
          <w:szCs w:val="24"/>
        </w:rPr>
      </w:pPr>
    </w:p>
    <w:p>
      <w:pPr>
        <w:ind w:left="0" w:leftChars="0" w:right="0" w:rightChars="0" w:firstLine="480"/>
        <w:rPr>
          <w:szCs w:val="24"/>
        </w:rPr>
      </w:pPr>
      <w:r>
        <w:rPr>
          <w:rFonts w:hint="eastAsia"/>
          <w:szCs w:val="24"/>
        </w:rPr>
        <w:t>2</w:t>
      </w:r>
      <w:r>
        <w:rPr>
          <w:szCs w:val="24"/>
        </w:rPr>
        <w:t>021年汕尾市新建绿色建筑项目中</w:t>
      </w:r>
      <w:r>
        <w:rPr>
          <w:rFonts w:hint="eastAsia"/>
          <w:szCs w:val="24"/>
        </w:rPr>
        <w:t>，市直项目绿色建筑面积最大，达到</w:t>
      </w:r>
      <w:r>
        <w:rPr>
          <w:rFonts w:hint="eastAsia" w:ascii="宋体" w:hAnsi="宋体" w:cs="宋体"/>
          <w:color w:val="000000"/>
          <w:kern w:val="0"/>
          <w:szCs w:val="24"/>
        </w:rPr>
        <w:t>189.67</w:t>
      </w:r>
      <w:r>
        <w:rPr>
          <w:szCs w:val="24"/>
        </w:rPr>
        <w:t>万</w:t>
      </w:r>
      <w:r>
        <w:rPr>
          <w:rFonts w:hint="eastAsia" w:ascii="宋体" w:hAnsi="宋体" w:cs="宋体"/>
          <w:color w:val="000000"/>
          <w:kern w:val="0"/>
          <w:szCs w:val="24"/>
        </w:rPr>
        <w:t>m</w:t>
      </w:r>
      <w:r>
        <w:rPr>
          <w:rFonts w:ascii="宋体" w:hAnsi="宋体" w:cs="宋体"/>
          <w:color w:val="000000"/>
          <w:kern w:val="0"/>
          <w:szCs w:val="24"/>
          <w:vertAlign w:val="superscript"/>
        </w:rPr>
        <w:t>2</w:t>
      </w:r>
      <w:r>
        <w:rPr>
          <w:rFonts w:hint="eastAsia"/>
          <w:szCs w:val="24"/>
        </w:rPr>
        <w:t>，其次是</w:t>
      </w:r>
      <w:r>
        <w:rPr>
          <w:rFonts w:hint="eastAsia" w:ascii="宋体" w:hAnsi="宋体" w:cs="宋体"/>
          <w:color w:val="000000"/>
          <w:kern w:val="0"/>
          <w:szCs w:val="24"/>
        </w:rPr>
        <w:t>海丰县，面积为136.36</w:t>
      </w:r>
      <w:r>
        <w:rPr>
          <w:szCs w:val="24"/>
        </w:rPr>
        <w:t>万</w:t>
      </w:r>
      <w:r>
        <w:rPr>
          <w:rFonts w:hint="eastAsia" w:ascii="宋体" w:hAnsi="宋体" w:cs="宋体"/>
          <w:color w:val="000000"/>
          <w:kern w:val="0"/>
          <w:szCs w:val="24"/>
        </w:rPr>
        <w:t>m</w:t>
      </w:r>
      <w:r>
        <w:rPr>
          <w:rFonts w:ascii="宋体" w:hAnsi="宋体" w:cs="宋体"/>
          <w:color w:val="000000"/>
          <w:kern w:val="0"/>
          <w:szCs w:val="24"/>
          <w:vertAlign w:val="superscript"/>
        </w:rPr>
        <w:t>2</w:t>
      </w:r>
      <w:r>
        <w:rPr>
          <w:rFonts w:hint="eastAsia"/>
          <w:szCs w:val="24"/>
        </w:rPr>
        <w:t>。绿色建筑占新建建筑面积比例中，</w:t>
      </w:r>
      <w:r>
        <w:rPr>
          <w:rFonts w:hint="eastAsia" w:ascii="宋体" w:hAnsi="宋体" w:cs="宋体"/>
          <w:color w:val="000000"/>
          <w:kern w:val="0"/>
          <w:szCs w:val="24"/>
        </w:rPr>
        <w:t>陆丰市的占比最高，达到99%，其次是市直项目，达到88.11%，陆丰市和中心城区绿色建筑发展相对较快。</w:t>
      </w:r>
    </w:p>
    <w:p>
      <w:pPr>
        <w:pStyle w:val="102"/>
        <w:numPr>
          <w:ilvl w:val="0"/>
          <w:numId w:val="21"/>
        </w:numPr>
        <w:ind w:leftChars="0" w:right="0" w:rightChars="0" w:firstLineChars="0"/>
        <w:jc w:val="center"/>
        <w:rPr>
          <w:b/>
          <w:sz w:val="22"/>
          <w:szCs w:val="22"/>
        </w:rPr>
      </w:pPr>
      <w:r>
        <w:rPr>
          <w:b/>
          <w:sz w:val="22"/>
          <w:szCs w:val="22"/>
        </w:rPr>
        <w:t>汕尾市</w:t>
      </w:r>
      <w:r>
        <w:rPr>
          <w:rFonts w:hint="eastAsia"/>
          <w:b/>
          <w:sz w:val="22"/>
          <w:szCs w:val="22"/>
        </w:rPr>
        <w:t>2</w:t>
      </w:r>
      <w:r>
        <w:rPr>
          <w:b/>
          <w:sz w:val="22"/>
          <w:szCs w:val="22"/>
        </w:rPr>
        <w:t>021年各</w:t>
      </w:r>
      <w:r>
        <w:rPr>
          <w:rFonts w:hint="eastAsia"/>
          <w:b/>
          <w:sz w:val="22"/>
          <w:szCs w:val="22"/>
        </w:rPr>
        <w:t>县（市、区）绿色建筑面积和比例情况表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2330"/>
        <w:gridCol w:w="2622"/>
        <w:gridCol w:w="2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2083" w:type="pct"/>
            <w:gridSpan w:val="2"/>
            <w:shd w:val="clear" w:color="auto" w:fill="auto"/>
            <w:noWrap/>
            <w:vAlign w:val="center"/>
          </w:tcPr>
          <w:p>
            <w:pPr>
              <w:widowControl/>
              <w:spacing w:line="240" w:lineRule="auto"/>
              <w:ind w:left="0" w:leftChars="0" w:right="0" w:rightChars="0"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县（市、区）</w:t>
            </w:r>
          </w:p>
        </w:tc>
        <w:tc>
          <w:tcPr>
            <w:tcW w:w="1503" w:type="pct"/>
            <w:shd w:val="clear" w:color="auto" w:fill="auto"/>
            <w:vAlign w:val="center"/>
          </w:tcPr>
          <w:p>
            <w:pPr>
              <w:widowControl/>
              <w:spacing w:line="240" w:lineRule="auto"/>
              <w:ind w:left="0" w:leftChars="0" w:right="0" w:rightChars="0" w:firstLine="0" w:firstLineChars="0"/>
              <w:jc w:val="center"/>
              <w:rPr>
                <w:rFonts w:ascii="宋体" w:hAnsi="宋体" w:cs="宋体"/>
                <w:b/>
                <w:bCs/>
                <w:color w:val="000000"/>
                <w:kern w:val="0"/>
                <w:szCs w:val="24"/>
              </w:rPr>
            </w:pPr>
            <w:r>
              <w:rPr>
                <w:rFonts w:hint="eastAsia" w:ascii="宋体" w:hAnsi="宋体" w:cs="宋体"/>
                <w:b/>
                <w:bCs/>
                <w:color w:val="000000"/>
                <w:kern w:val="0"/>
                <w:szCs w:val="24"/>
              </w:rPr>
              <w:t>新建绿色建筑面积</w:t>
            </w:r>
          </w:p>
          <w:p>
            <w:pPr>
              <w:widowControl/>
              <w:spacing w:line="240" w:lineRule="auto"/>
              <w:ind w:left="0" w:leftChars="0" w:right="0" w:rightChars="0" w:firstLine="0" w:firstLineChars="0"/>
              <w:jc w:val="center"/>
              <w:rPr>
                <w:rFonts w:ascii="宋体" w:hAnsi="宋体" w:cs="宋体"/>
                <w:b/>
                <w:bCs/>
                <w:color w:val="000000"/>
                <w:kern w:val="0"/>
                <w:szCs w:val="24"/>
              </w:rPr>
            </w:pPr>
            <w:r>
              <w:rPr>
                <w:rFonts w:hint="eastAsia" w:ascii="宋体" w:hAnsi="宋体" w:cs="宋体"/>
                <w:b/>
                <w:bCs/>
                <w:color w:val="000000"/>
                <w:kern w:val="0"/>
                <w:szCs w:val="24"/>
              </w:rPr>
              <w:t>（万</w:t>
            </w:r>
            <w:r>
              <w:rPr>
                <w:rFonts w:hint="eastAsia" w:ascii="宋体" w:hAnsi="宋体" w:cs="宋体"/>
                <w:b/>
                <w:color w:val="000000"/>
                <w:kern w:val="0"/>
                <w:szCs w:val="24"/>
              </w:rPr>
              <w:t>m</w:t>
            </w:r>
            <w:r>
              <w:rPr>
                <w:rFonts w:ascii="宋体" w:hAnsi="宋体" w:cs="宋体"/>
                <w:b/>
                <w:color w:val="000000"/>
                <w:kern w:val="0"/>
                <w:szCs w:val="24"/>
                <w:vertAlign w:val="superscript"/>
              </w:rPr>
              <w:t>2</w:t>
            </w:r>
            <w:r>
              <w:rPr>
                <w:rFonts w:hint="eastAsia" w:ascii="宋体" w:hAnsi="宋体" w:cs="宋体"/>
                <w:b/>
                <w:bCs/>
                <w:color w:val="000000"/>
                <w:kern w:val="0"/>
                <w:szCs w:val="24"/>
              </w:rPr>
              <w:t>）</w:t>
            </w:r>
          </w:p>
        </w:tc>
        <w:tc>
          <w:tcPr>
            <w:tcW w:w="1414" w:type="pct"/>
            <w:shd w:val="clear" w:color="auto" w:fill="auto"/>
            <w:vAlign w:val="center"/>
          </w:tcPr>
          <w:p>
            <w:pPr>
              <w:widowControl/>
              <w:spacing w:line="240" w:lineRule="auto"/>
              <w:ind w:left="0" w:leftChars="0" w:right="0" w:rightChars="0" w:firstLine="0" w:firstLineChars="0"/>
              <w:jc w:val="center"/>
              <w:rPr>
                <w:rFonts w:ascii="宋体" w:hAnsi="宋体" w:cs="宋体"/>
                <w:b/>
                <w:bCs/>
                <w:color w:val="000000"/>
                <w:kern w:val="0"/>
                <w:szCs w:val="24"/>
              </w:rPr>
            </w:pPr>
            <w:r>
              <w:rPr>
                <w:rFonts w:hint="eastAsia" w:ascii="宋体" w:hAnsi="宋体" w:cs="宋体"/>
                <w:b/>
                <w:bCs/>
                <w:color w:val="000000"/>
                <w:kern w:val="0"/>
                <w:szCs w:val="24"/>
              </w:rPr>
              <w:t>绿色建筑占新建建筑面积比例（%）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7" w:type="pct"/>
            <w:vMerge w:val="restar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中心城区</w:t>
            </w:r>
          </w:p>
        </w:tc>
        <w:tc>
          <w:tcPr>
            <w:tcW w:w="1336"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市直</w:t>
            </w:r>
          </w:p>
        </w:tc>
        <w:tc>
          <w:tcPr>
            <w:tcW w:w="150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189.67</w:t>
            </w:r>
          </w:p>
        </w:tc>
        <w:tc>
          <w:tcPr>
            <w:tcW w:w="1414"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88.11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7"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1336"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城区</w:t>
            </w:r>
          </w:p>
        </w:tc>
        <w:tc>
          <w:tcPr>
            <w:tcW w:w="150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10.16</w:t>
            </w:r>
          </w:p>
        </w:tc>
        <w:tc>
          <w:tcPr>
            <w:tcW w:w="1414"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7"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1336"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szCs w:val="24"/>
              </w:rPr>
              <w:t>红海湾经济开发区</w:t>
            </w:r>
          </w:p>
        </w:tc>
        <w:tc>
          <w:tcPr>
            <w:tcW w:w="150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0.00</w:t>
            </w:r>
          </w:p>
        </w:tc>
        <w:tc>
          <w:tcPr>
            <w:tcW w:w="1414"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7"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1336"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szCs w:val="24"/>
              </w:rPr>
              <w:t>汕尾新区</w:t>
            </w:r>
          </w:p>
        </w:tc>
        <w:tc>
          <w:tcPr>
            <w:tcW w:w="150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0.00</w:t>
            </w:r>
          </w:p>
        </w:tc>
        <w:tc>
          <w:tcPr>
            <w:tcW w:w="1414"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7"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1336"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合计</w:t>
            </w:r>
          </w:p>
        </w:tc>
        <w:tc>
          <w:tcPr>
            <w:tcW w:w="150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199.83</w:t>
            </w:r>
          </w:p>
        </w:tc>
        <w:tc>
          <w:tcPr>
            <w:tcW w:w="1414"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87.08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7" w:type="pct"/>
            <w:vMerge w:val="restar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其他县（市</w:t>
            </w:r>
            <w:r>
              <w:rPr>
                <w:rFonts w:ascii="宋体" w:hAnsi="宋体" w:cs="宋体"/>
                <w:color w:val="000000"/>
                <w:kern w:val="0"/>
                <w:szCs w:val="24"/>
              </w:rPr>
              <w:t>、</w:t>
            </w:r>
            <w:r>
              <w:rPr>
                <w:rFonts w:hint="eastAsia" w:ascii="宋体" w:hAnsi="宋体" w:cs="宋体"/>
                <w:color w:val="000000"/>
                <w:kern w:val="0"/>
                <w:szCs w:val="24"/>
              </w:rPr>
              <w:t>区）</w:t>
            </w:r>
          </w:p>
        </w:tc>
        <w:tc>
          <w:tcPr>
            <w:tcW w:w="1336"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陆丰市</w:t>
            </w:r>
          </w:p>
        </w:tc>
        <w:tc>
          <w:tcPr>
            <w:tcW w:w="150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57.18</w:t>
            </w:r>
          </w:p>
        </w:tc>
        <w:tc>
          <w:tcPr>
            <w:tcW w:w="1414"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7"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1336"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华侨管理区</w:t>
            </w:r>
          </w:p>
        </w:tc>
        <w:tc>
          <w:tcPr>
            <w:tcW w:w="150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0.00</w:t>
            </w:r>
          </w:p>
        </w:tc>
        <w:tc>
          <w:tcPr>
            <w:tcW w:w="1414"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7"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1336"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海丰县</w:t>
            </w:r>
          </w:p>
        </w:tc>
        <w:tc>
          <w:tcPr>
            <w:tcW w:w="150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136.36</w:t>
            </w:r>
          </w:p>
        </w:tc>
        <w:tc>
          <w:tcPr>
            <w:tcW w:w="1414"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61.25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7"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1336"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陆河县</w:t>
            </w:r>
          </w:p>
        </w:tc>
        <w:tc>
          <w:tcPr>
            <w:tcW w:w="150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0.00</w:t>
            </w:r>
          </w:p>
        </w:tc>
        <w:tc>
          <w:tcPr>
            <w:tcW w:w="1414"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7"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1336"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合计</w:t>
            </w:r>
          </w:p>
        </w:tc>
        <w:tc>
          <w:tcPr>
            <w:tcW w:w="150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193.54</w:t>
            </w:r>
          </w:p>
        </w:tc>
        <w:tc>
          <w:tcPr>
            <w:tcW w:w="1414"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63.34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47"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全市</w:t>
            </w:r>
          </w:p>
        </w:tc>
        <w:tc>
          <w:tcPr>
            <w:tcW w:w="2839" w:type="pct"/>
            <w:gridSpan w:val="2"/>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393.37</w:t>
            </w:r>
          </w:p>
        </w:tc>
        <w:tc>
          <w:tcPr>
            <w:tcW w:w="1414"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73.52</w:t>
            </w:r>
          </w:p>
        </w:tc>
      </w:tr>
    </w:tbl>
    <w:p>
      <w:pPr>
        <w:ind w:left="0" w:leftChars="0" w:right="0" w:rightChars="0" w:firstLine="0" w:firstLineChars="0"/>
        <w:jc w:val="center"/>
        <w:rPr>
          <w:szCs w:val="24"/>
        </w:rPr>
      </w:pPr>
    </w:p>
    <w:p>
      <w:pPr>
        <w:ind w:left="0" w:leftChars="0" w:right="0" w:rightChars="0" w:firstLine="482"/>
        <w:rPr>
          <w:b/>
          <w:szCs w:val="24"/>
        </w:rPr>
      </w:pPr>
      <w:r>
        <w:rPr>
          <w:rFonts w:hint="eastAsia"/>
          <w:b/>
          <w:szCs w:val="24"/>
        </w:rPr>
        <w:t>（2）绿色建筑标识情况</w:t>
      </w:r>
    </w:p>
    <w:p>
      <w:pPr>
        <w:ind w:left="0" w:leftChars="0" w:right="0" w:rightChars="0" w:firstLine="480"/>
        <w:rPr>
          <w:szCs w:val="24"/>
        </w:rPr>
      </w:pPr>
      <w:r>
        <w:rPr>
          <w:rFonts w:hint="eastAsia"/>
          <w:szCs w:val="24"/>
        </w:rPr>
        <w:t>近年来，汕尾市陆续出台严格落实绿色建筑政策及管理办法，对建筑工程项目源头把控、措施联动、全过程闭合管理，开展多形式、多渠道推广绿色建筑工作。</w:t>
      </w:r>
      <w:r>
        <w:rPr>
          <w:szCs w:val="24"/>
        </w:rPr>
        <w:t>截至</w:t>
      </w:r>
      <w:r>
        <w:rPr>
          <w:rFonts w:hint="eastAsia"/>
          <w:szCs w:val="24"/>
        </w:rPr>
        <w:t>2</w:t>
      </w:r>
      <w:r>
        <w:rPr>
          <w:szCs w:val="24"/>
        </w:rPr>
        <w:t>021年</w:t>
      </w:r>
      <w:r>
        <w:rPr>
          <w:rFonts w:hint="eastAsia"/>
          <w:szCs w:val="24"/>
        </w:rPr>
        <w:t>1</w:t>
      </w:r>
      <w:r>
        <w:rPr>
          <w:szCs w:val="24"/>
        </w:rPr>
        <w:t>2月</w:t>
      </w:r>
      <w:r>
        <w:rPr>
          <w:rFonts w:hint="eastAsia"/>
          <w:szCs w:val="24"/>
        </w:rPr>
        <w:t>，</w:t>
      </w:r>
      <w:r>
        <w:rPr>
          <w:szCs w:val="24"/>
        </w:rPr>
        <w:t>汕尾市</w:t>
      </w:r>
      <w:r>
        <w:rPr>
          <w:rFonts w:hint="eastAsia"/>
          <w:szCs w:val="24"/>
        </w:rPr>
        <w:t>累计已竣工的获得绿色建筑评价标识的建筑项目总数量为1</w:t>
      </w:r>
      <w:r>
        <w:rPr>
          <w:szCs w:val="24"/>
        </w:rPr>
        <w:t>28个</w:t>
      </w:r>
      <w:r>
        <w:rPr>
          <w:rFonts w:hint="eastAsia"/>
          <w:szCs w:val="24"/>
        </w:rPr>
        <w:t>，</w:t>
      </w:r>
      <w:r>
        <w:rPr>
          <w:szCs w:val="24"/>
        </w:rPr>
        <w:t>总面积为</w:t>
      </w:r>
      <w:r>
        <w:rPr>
          <w:rFonts w:hint="eastAsia"/>
          <w:szCs w:val="24"/>
        </w:rPr>
        <w:t>1</w:t>
      </w:r>
      <w:r>
        <w:rPr>
          <w:szCs w:val="24"/>
        </w:rPr>
        <w:t>256.68万</w:t>
      </w:r>
      <w:r>
        <w:rPr>
          <w:rFonts w:hint="eastAsia" w:ascii="宋体" w:hAnsi="宋体" w:cs="宋体"/>
          <w:color w:val="000000"/>
          <w:kern w:val="0"/>
          <w:szCs w:val="24"/>
        </w:rPr>
        <w:t>m</w:t>
      </w:r>
      <w:r>
        <w:rPr>
          <w:rFonts w:ascii="宋体" w:hAnsi="宋体" w:cs="宋体"/>
          <w:color w:val="000000"/>
          <w:kern w:val="0"/>
          <w:szCs w:val="24"/>
          <w:vertAlign w:val="superscript"/>
        </w:rPr>
        <w:t>2</w:t>
      </w:r>
      <w:r>
        <w:rPr>
          <w:rFonts w:hint="eastAsia"/>
          <w:szCs w:val="24"/>
        </w:rPr>
        <w:t>，其中，</w:t>
      </w:r>
      <w:r>
        <w:rPr>
          <w:szCs w:val="24"/>
        </w:rPr>
        <w:t>累计获得绿色建筑一星级设计标识的建筑项目数量为</w:t>
      </w:r>
      <w:r>
        <w:rPr>
          <w:rFonts w:hint="eastAsia"/>
          <w:szCs w:val="24"/>
        </w:rPr>
        <w:t>1</w:t>
      </w:r>
      <w:r>
        <w:rPr>
          <w:szCs w:val="24"/>
        </w:rPr>
        <w:t>17个</w:t>
      </w:r>
      <w:r>
        <w:rPr>
          <w:rFonts w:hint="eastAsia"/>
          <w:szCs w:val="24"/>
        </w:rPr>
        <w:t>，其中中心城区有7</w:t>
      </w:r>
      <w:r>
        <w:rPr>
          <w:szCs w:val="24"/>
        </w:rPr>
        <w:t>1个</w:t>
      </w:r>
      <w:r>
        <w:rPr>
          <w:rFonts w:hint="eastAsia"/>
          <w:szCs w:val="24"/>
        </w:rPr>
        <w:t>、</w:t>
      </w:r>
      <w:r>
        <w:rPr>
          <w:szCs w:val="24"/>
        </w:rPr>
        <w:t>陆丰市有</w:t>
      </w:r>
      <w:r>
        <w:rPr>
          <w:rFonts w:hint="eastAsia"/>
          <w:szCs w:val="24"/>
        </w:rPr>
        <w:t>3</w:t>
      </w:r>
      <w:r>
        <w:rPr>
          <w:szCs w:val="24"/>
        </w:rPr>
        <w:t>4个</w:t>
      </w:r>
      <w:r>
        <w:rPr>
          <w:rFonts w:hint="eastAsia"/>
          <w:szCs w:val="24"/>
        </w:rPr>
        <w:t>、海丰县</w:t>
      </w:r>
      <w:r>
        <w:rPr>
          <w:szCs w:val="24"/>
        </w:rPr>
        <w:t>有</w:t>
      </w:r>
      <w:r>
        <w:rPr>
          <w:rFonts w:hint="eastAsia"/>
          <w:szCs w:val="24"/>
        </w:rPr>
        <w:t>1</w:t>
      </w:r>
      <w:r>
        <w:rPr>
          <w:szCs w:val="24"/>
        </w:rPr>
        <w:t>0个</w:t>
      </w:r>
      <w:r>
        <w:rPr>
          <w:rFonts w:hint="eastAsia"/>
          <w:szCs w:val="24"/>
        </w:rPr>
        <w:t>，</w:t>
      </w:r>
      <w:r>
        <w:rPr>
          <w:szCs w:val="24"/>
        </w:rPr>
        <w:t>面积为</w:t>
      </w:r>
      <w:r>
        <w:rPr>
          <w:rFonts w:hint="eastAsia"/>
          <w:szCs w:val="24"/>
        </w:rPr>
        <w:t>1</w:t>
      </w:r>
      <w:r>
        <w:rPr>
          <w:szCs w:val="24"/>
        </w:rPr>
        <w:t>138.36万</w:t>
      </w:r>
      <w:r>
        <w:rPr>
          <w:rFonts w:hint="eastAsia" w:ascii="宋体" w:hAnsi="宋体" w:cs="宋体"/>
          <w:color w:val="000000"/>
          <w:kern w:val="0"/>
          <w:szCs w:val="24"/>
        </w:rPr>
        <w:t>m</w:t>
      </w:r>
      <w:r>
        <w:rPr>
          <w:rFonts w:ascii="宋体" w:hAnsi="宋体" w:cs="宋体"/>
          <w:color w:val="000000"/>
          <w:kern w:val="0"/>
          <w:szCs w:val="24"/>
          <w:vertAlign w:val="superscript"/>
        </w:rPr>
        <w:t>2</w:t>
      </w:r>
      <w:r>
        <w:rPr>
          <w:rFonts w:hint="eastAsia"/>
          <w:szCs w:val="24"/>
        </w:rPr>
        <w:t>，无</w:t>
      </w:r>
      <w:r>
        <w:rPr>
          <w:szCs w:val="24"/>
        </w:rPr>
        <w:t>一星级</w:t>
      </w:r>
      <w:r>
        <w:rPr>
          <w:rFonts w:hint="eastAsia"/>
          <w:szCs w:val="24"/>
        </w:rPr>
        <w:t>运行标识；</w:t>
      </w:r>
      <w:r>
        <w:rPr>
          <w:szCs w:val="24"/>
        </w:rPr>
        <w:t>累计获得绿色建筑二星级设计标识的建筑项目数量为11个</w:t>
      </w:r>
      <w:r>
        <w:rPr>
          <w:rFonts w:hint="eastAsia"/>
          <w:szCs w:val="24"/>
        </w:rPr>
        <w:t>，均位于中心城区，</w:t>
      </w:r>
      <w:r>
        <w:rPr>
          <w:szCs w:val="24"/>
        </w:rPr>
        <w:t>面积为118.32万</w:t>
      </w:r>
      <w:r>
        <w:rPr>
          <w:rFonts w:hint="eastAsia" w:ascii="宋体" w:hAnsi="宋体" w:cs="宋体"/>
          <w:color w:val="000000"/>
          <w:kern w:val="0"/>
          <w:szCs w:val="24"/>
        </w:rPr>
        <w:t>m</w:t>
      </w:r>
      <w:r>
        <w:rPr>
          <w:rFonts w:ascii="宋体" w:hAnsi="宋体" w:cs="宋体"/>
          <w:color w:val="000000"/>
          <w:kern w:val="0"/>
          <w:szCs w:val="24"/>
          <w:vertAlign w:val="superscript"/>
        </w:rPr>
        <w:t>2</w:t>
      </w:r>
      <w:r>
        <w:rPr>
          <w:rFonts w:hint="eastAsia"/>
          <w:szCs w:val="24"/>
        </w:rPr>
        <w:t>，无二</w:t>
      </w:r>
      <w:r>
        <w:rPr>
          <w:szCs w:val="24"/>
        </w:rPr>
        <w:t>星级</w:t>
      </w:r>
      <w:r>
        <w:rPr>
          <w:rFonts w:hint="eastAsia"/>
          <w:szCs w:val="24"/>
        </w:rPr>
        <w:t>运行标识；无</w:t>
      </w:r>
      <w:r>
        <w:rPr>
          <w:szCs w:val="24"/>
        </w:rPr>
        <w:t>绿色建筑</w:t>
      </w:r>
      <w:r>
        <w:rPr>
          <w:rFonts w:hint="eastAsia"/>
          <w:szCs w:val="24"/>
        </w:rPr>
        <w:t>三</w:t>
      </w:r>
      <w:r>
        <w:rPr>
          <w:szCs w:val="24"/>
        </w:rPr>
        <w:t>星级设计标识</w:t>
      </w:r>
      <w:r>
        <w:rPr>
          <w:rFonts w:hint="eastAsia"/>
          <w:szCs w:val="24"/>
        </w:rPr>
        <w:t>和运行标识，汕尾市逐步</w:t>
      </w:r>
      <w:r>
        <w:rPr>
          <w:rFonts w:hint="eastAsia" w:ascii="宋体" w:cs="宋体"/>
          <w:kern w:val="0"/>
          <w:szCs w:val="24"/>
        </w:rPr>
        <w:t>形成绿色建筑稳步发展的态势。</w:t>
      </w:r>
    </w:p>
    <w:p>
      <w:pPr>
        <w:pStyle w:val="3"/>
        <w:numPr>
          <w:ilvl w:val="1"/>
          <w:numId w:val="12"/>
        </w:numPr>
        <w:spacing w:line="360" w:lineRule="auto"/>
        <w:ind w:left="0" w:leftChars="0" w:right="-84" w:rightChars="-35" w:firstLine="0" w:firstLineChars="0"/>
        <w:rPr>
          <w:rFonts w:ascii="黑体" w:hAnsi="黑体"/>
          <w:szCs w:val="30"/>
        </w:rPr>
      </w:pPr>
      <w:bookmarkStart w:id="30" w:name="_Toc117875448"/>
      <w:r>
        <w:rPr>
          <w:rFonts w:hint="eastAsia" w:ascii="黑体" w:hAnsi="黑体"/>
          <w:szCs w:val="30"/>
        </w:rPr>
        <w:t>装配式建筑现状</w:t>
      </w:r>
      <w:bookmarkEnd w:id="30"/>
    </w:p>
    <w:p>
      <w:pPr>
        <w:ind w:left="0" w:leftChars="0" w:right="0" w:rightChars="0" w:firstLine="480"/>
        <w:rPr>
          <w:szCs w:val="24"/>
        </w:rPr>
      </w:pPr>
      <w:r>
        <w:rPr>
          <w:rFonts w:hint="eastAsia"/>
          <w:szCs w:val="24"/>
        </w:rPr>
        <w:t>“十三五”期间，汕尾市不断加快推进装配式建筑发展，在政策制定、市场培育和项目建设方面取得了一些进展，技术日趋成熟。汕尾市出台了《汕尾市大力发展推进装配式建筑的实施意见》、《汕尾市装配式建筑专项规划（2019-2025）》、《汕尾市装配式建筑专项规划（2019-2025）工作要点》等。</w:t>
      </w:r>
    </w:p>
    <w:p>
      <w:pPr>
        <w:ind w:left="0" w:leftChars="0" w:right="0" w:rightChars="0" w:firstLine="480"/>
        <w:rPr>
          <w:rFonts w:ascii="宋体" w:hAnsi="宋体" w:cs="宋体"/>
          <w:color w:val="000000"/>
          <w:kern w:val="0"/>
          <w:szCs w:val="24"/>
        </w:rPr>
      </w:pPr>
      <w:r>
        <w:rPr>
          <w:rFonts w:hint="eastAsia"/>
          <w:szCs w:val="24"/>
        </w:rPr>
        <w:t>2</w:t>
      </w:r>
      <w:r>
        <w:rPr>
          <w:szCs w:val="24"/>
        </w:rPr>
        <w:t>021年</w:t>
      </w:r>
      <w:r>
        <w:rPr>
          <w:rFonts w:hint="eastAsia"/>
          <w:szCs w:val="24"/>
        </w:rPr>
        <w:t>，汕尾市新开工装配式建筑面积为</w:t>
      </w:r>
      <w:r>
        <w:rPr>
          <w:szCs w:val="24"/>
        </w:rPr>
        <w:t>43.32</w:t>
      </w:r>
      <w:r>
        <w:rPr>
          <w:rFonts w:hint="eastAsia" w:ascii="宋体" w:hAnsi="宋体" w:cs="宋体"/>
          <w:color w:val="000000"/>
          <w:kern w:val="0"/>
          <w:szCs w:val="24"/>
        </w:rPr>
        <w:t>万m</w:t>
      </w:r>
      <w:r>
        <w:rPr>
          <w:rFonts w:hint="eastAsia" w:ascii="宋体" w:hAnsi="宋体" w:cs="宋体"/>
          <w:color w:val="000000"/>
          <w:kern w:val="0"/>
          <w:szCs w:val="24"/>
          <w:vertAlign w:val="superscript"/>
        </w:rPr>
        <w:t>2</w:t>
      </w:r>
      <w:r>
        <w:rPr>
          <w:rFonts w:hint="eastAsia"/>
          <w:szCs w:val="24"/>
        </w:rPr>
        <w:t>，</w:t>
      </w:r>
      <w:r>
        <w:rPr>
          <w:rFonts w:hint="eastAsia" w:ascii="宋体" w:hAnsi="宋体" w:cs="宋体"/>
          <w:color w:val="000000"/>
          <w:kern w:val="0"/>
          <w:szCs w:val="24"/>
        </w:rPr>
        <w:t>新开工装配式建筑面积在新开工建筑总面积的占比为</w:t>
      </w:r>
      <w:r>
        <w:rPr>
          <w:szCs w:val="24"/>
        </w:rPr>
        <w:t>9.86%</w:t>
      </w:r>
      <w:r>
        <w:rPr>
          <w:rFonts w:hint="eastAsia"/>
          <w:szCs w:val="24"/>
        </w:rPr>
        <w:t>，均为装配式钢结构建筑；</w:t>
      </w:r>
      <w:r>
        <w:rPr>
          <w:rFonts w:hint="eastAsia" w:ascii="宋体" w:hAnsi="宋体" w:cs="宋体"/>
          <w:color w:val="000000"/>
          <w:kern w:val="0"/>
          <w:szCs w:val="24"/>
        </w:rPr>
        <w:t>竣工装配式建筑面积</w:t>
      </w:r>
      <w:r>
        <w:rPr>
          <w:rFonts w:hint="eastAsia"/>
          <w:szCs w:val="24"/>
        </w:rPr>
        <w:t>为</w:t>
      </w:r>
      <w:r>
        <w:rPr>
          <w:szCs w:val="24"/>
        </w:rPr>
        <w:t>3.09</w:t>
      </w:r>
      <w:r>
        <w:rPr>
          <w:rFonts w:hint="eastAsia" w:ascii="宋体" w:hAnsi="宋体" w:cs="宋体"/>
          <w:color w:val="000000"/>
          <w:kern w:val="0"/>
          <w:szCs w:val="24"/>
        </w:rPr>
        <w:t>万m</w:t>
      </w:r>
      <w:r>
        <w:rPr>
          <w:rFonts w:hint="eastAsia" w:ascii="宋体" w:hAnsi="宋体" w:cs="宋体"/>
          <w:color w:val="000000"/>
          <w:kern w:val="0"/>
          <w:szCs w:val="24"/>
          <w:vertAlign w:val="superscript"/>
        </w:rPr>
        <w:t>2</w:t>
      </w:r>
      <w:r>
        <w:rPr>
          <w:rFonts w:hint="eastAsia"/>
          <w:szCs w:val="24"/>
        </w:rPr>
        <w:t>，</w:t>
      </w:r>
      <w:r>
        <w:rPr>
          <w:rFonts w:hint="eastAsia" w:ascii="宋体" w:hAnsi="宋体" w:cs="宋体"/>
          <w:color w:val="000000"/>
          <w:kern w:val="0"/>
          <w:szCs w:val="24"/>
        </w:rPr>
        <w:t>竣工装配式建筑面积在竣工建筑总面积的占比为</w:t>
      </w:r>
      <w:r>
        <w:rPr>
          <w:rFonts w:ascii="宋体" w:hAnsi="宋体" w:cs="宋体"/>
          <w:color w:val="000000"/>
          <w:kern w:val="0"/>
          <w:szCs w:val="24"/>
        </w:rPr>
        <w:t>0.58</w:t>
      </w:r>
      <w:r>
        <w:rPr>
          <w:rFonts w:hint="eastAsia" w:ascii="宋体" w:hAnsi="宋体" w:cs="宋体"/>
          <w:color w:val="000000"/>
          <w:kern w:val="0"/>
          <w:szCs w:val="24"/>
        </w:rPr>
        <w:t>%；新开工政府投资工程装配式建筑面积为</w:t>
      </w:r>
      <w:r>
        <w:rPr>
          <w:rFonts w:ascii="宋体" w:hAnsi="宋体" w:cs="宋体"/>
          <w:color w:val="000000"/>
          <w:kern w:val="0"/>
          <w:szCs w:val="24"/>
        </w:rPr>
        <w:t>11.03</w:t>
      </w:r>
      <w:r>
        <w:rPr>
          <w:rFonts w:hint="eastAsia" w:ascii="宋体" w:hAnsi="宋体" w:cs="宋体"/>
          <w:color w:val="000000"/>
          <w:kern w:val="0"/>
          <w:szCs w:val="24"/>
        </w:rPr>
        <w:t>万m</w:t>
      </w:r>
      <w:r>
        <w:rPr>
          <w:rFonts w:hint="eastAsia" w:ascii="宋体" w:hAnsi="宋体" w:cs="宋体"/>
          <w:color w:val="000000"/>
          <w:kern w:val="0"/>
          <w:szCs w:val="24"/>
          <w:vertAlign w:val="superscript"/>
        </w:rPr>
        <w:t>2</w:t>
      </w:r>
      <w:r>
        <w:rPr>
          <w:rFonts w:hint="eastAsia" w:ascii="宋体" w:hAnsi="宋体" w:cs="宋体"/>
          <w:color w:val="000000"/>
          <w:kern w:val="0"/>
          <w:szCs w:val="24"/>
        </w:rPr>
        <w:t>，新开工政府投资工程装配式建筑面积在新开工建筑总面积的占比为</w:t>
      </w:r>
      <w:r>
        <w:rPr>
          <w:rFonts w:ascii="宋体" w:hAnsi="宋体" w:cs="宋体"/>
          <w:color w:val="000000"/>
          <w:kern w:val="0"/>
          <w:szCs w:val="24"/>
        </w:rPr>
        <w:t>21.85</w:t>
      </w:r>
      <w:r>
        <w:rPr>
          <w:rFonts w:hint="eastAsia" w:ascii="宋体" w:hAnsi="宋体" w:cs="宋体"/>
          <w:color w:val="000000"/>
          <w:kern w:val="0"/>
          <w:szCs w:val="24"/>
        </w:rPr>
        <w:t>%。</w:t>
      </w:r>
    </w:p>
    <w:p>
      <w:pPr>
        <w:ind w:left="0" w:leftChars="0" w:right="0" w:rightChars="0" w:firstLine="480"/>
        <w:rPr>
          <w:rFonts w:ascii="宋体" w:hAnsi="宋体" w:cs="宋体"/>
          <w:color w:val="000000"/>
          <w:kern w:val="0"/>
          <w:szCs w:val="24"/>
        </w:rPr>
      </w:pPr>
      <w:r>
        <w:rPr>
          <w:rFonts w:hint="eastAsia" w:ascii="宋体" w:hAnsi="宋体" w:cs="宋体"/>
          <w:color w:val="000000"/>
          <w:kern w:val="0"/>
          <w:szCs w:val="24"/>
        </w:rPr>
        <w:t>汕尾市装配式建筑项目共有2</w:t>
      </w:r>
      <w:r>
        <w:rPr>
          <w:rFonts w:ascii="宋体" w:hAnsi="宋体" w:cs="宋体"/>
          <w:color w:val="000000"/>
          <w:kern w:val="0"/>
          <w:szCs w:val="24"/>
        </w:rPr>
        <w:t>3个</w:t>
      </w:r>
      <w:r>
        <w:rPr>
          <w:rFonts w:hint="eastAsia" w:ascii="宋体" w:hAnsi="宋体" w:cs="宋体"/>
          <w:color w:val="000000"/>
          <w:kern w:val="0"/>
          <w:szCs w:val="24"/>
        </w:rPr>
        <w:t>，</w:t>
      </w:r>
      <w:r>
        <w:rPr>
          <w:rFonts w:ascii="宋体" w:hAnsi="宋体" w:cs="宋体"/>
          <w:color w:val="000000"/>
          <w:kern w:val="0"/>
          <w:szCs w:val="24"/>
        </w:rPr>
        <w:t>其中</w:t>
      </w:r>
      <w:r>
        <w:rPr>
          <w:rFonts w:hint="eastAsia" w:ascii="宋体" w:hAnsi="宋体" w:cs="宋体"/>
          <w:color w:val="000000"/>
          <w:kern w:val="0"/>
          <w:szCs w:val="24"/>
        </w:rPr>
        <w:t>新区有5个、海丰县有7个、陆丰市有6个、陆河县有3个、</w:t>
      </w:r>
      <w:r>
        <w:rPr>
          <w:rFonts w:hint="eastAsia"/>
          <w:szCs w:val="24"/>
        </w:rPr>
        <w:t>红海湾经济开发区</w:t>
      </w:r>
      <w:r>
        <w:rPr>
          <w:rFonts w:hint="eastAsia" w:ascii="宋体" w:hAnsi="宋体" w:cs="宋体"/>
          <w:color w:val="000000"/>
          <w:kern w:val="0"/>
          <w:szCs w:val="24"/>
        </w:rPr>
        <w:t>有2个。</w:t>
      </w:r>
    </w:p>
    <w:p>
      <w:pPr>
        <w:ind w:left="0" w:leftChars="0" w:right="0" w:rightChars="0" w:firstLine="480"/>
        <w:rPr>
          <w:szCs w:val="24"/>
        </w:rPr>
      </w:pPr>
      <w:r>
        <w:rPr>
          <w:rFonts w:hint="eastAsia"/>
          <w:szCs w:val="24"/>
        </w:rPr>
        <w:t>汕尾市目前有1家钢结构装配式构件生产企业，生产线有2条，设计产能为1</w:t>
      </w:r>
      <w:r>
        <w:rPr>
          <w:szCs w:val="24"/>
        </w:rPr>
        <w:t>.2万吨</w:t>
      </w:r>
      <w:r>
        <w:rPr>
          <w:rFonts w:hint="eastAsia"/>
          <w:szCs w:val="24"/>
        </w:rPr>
        <w:t>/年，</w:t>
      </w:r>
      <w:r>
        <w:rPr>
          <w:szCs w:val="24"/>
        </w:rPr>
        <w:t>实际产能为</w:t>
      </w:r>
      <w:r>
        <w:rPr>
          <w:rFonts w:hint="eastAsia"/>
          <w:szCs w:val="24"/>
        </w:rPr>
        <w:t>1万吨/年，应用面积达1</w:t>
      </w:r>
      <w:r>
        <w:rPr>
          <w:szCs w:val="24"/>
        </w:rPr>
        <w:t>5</w:t>
      </w:r>
      <w:r>
        <w:rPr>
          <w:rFonts w:hint="eastAsia" w:ascii="宋体" w:hAnsi="宋体" w:cs="宋体"/>
          <w:color w:val="000000"/>
          <w:kern w:val="0"/>
          <w:szCs w:val="24"/>
        </w:rPr>
        <w:t>万m</w:t>
      </w:r>
      <w:r>
        <w:rPr>
          <w:rFonts w:hint="eastAsia" w:ascii="宋体" w:hAnsi="宋体" w:cs="宋体"/>
          <w:color w:val="000000"/>
          <w:kern w:val="0"/>
          <w:szCs w:val="24"/>
          <w:vertAlign w:val="superscript"/>
        </w:rPr>
        <w:t>2</w:t>
      </w:r>
      <w:r>
        <w:rPr>
          <w:rFonts w:hint="eastAsia"/>
          <w:szCs w:val="24"/>
        </w:rPr>
        <w:t>。</w:t>
      </w:r>
    </w:p>
    <w:p>
      <w:pPr>
        <w:pStyle w:val="102"/>
        <w:numPr>
          <w:ilvl w:val="0"/>
          <w:numId w:val="21"/>
        </w:numPr>
        <w:ind w:leftChars="0" w:right="0" w:rightChars="0" w:firstLineChars="0"/>
        <w:jc w:val="center"/>
        <w:rPr>
          <w:b/>
          <w:sz w:val="22"/>
          <w:szCs w:val="22"/>
        </w:rPr>
      </w:pPr>
      <w:r>
        <w:rPr>
          <w:b/>
          <w:sz w:val="22"/>
          <w:szCs w:val="22"/>
        </w:rPr>
        <w:t>汕尾市装配式建筑面积</w:t>
      </w:r>
      <w:r>
        <w:rPr>
          <w:rFonts w:hint="eastAsia"/>
          <w:b/>
          <w:sz w:val="22"/>
          <w:szCs w:val="22"/>
        </w:rPr>
        <w:t>和比例情况表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2"/>
        <w:gridCol w:w="3056"/>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blHeader/>
        </w:trPr>
        <w:tc>
          <w:tcPr>
            <w:tcW w:w="1750" w:type="pct"/>
            <w:shd w:val="clear" w:color="auto" w:fill="auto"/>
            <w:vAlign w:val="center"/>
          </w:tcPr>
          <w:p>
            <w:pPr>
              <w:widowControl/>
              <w:spacing w:line="240" w:lineRule="auto"/>
              <w:ind w:left="0" w:leftChars="0" w:right="0" w:rightChars="0" w:firstLine="0" w:firstLineChars="0"/>
              <w:jc w:val="center"/>
              <w:rPr>
                <w:rFonts w:ascii="宋体" w:hAnsi="宋体" w:cs="宋体"/>
                <w:b/>
                <w:kern w:val="0"/>
                <w:szCs w:val="24"/>
              </w:rPr>
            </w:pPr>
          </w:p>
        </w:tc>
        <w:tc>
          <w:tcPr>
            <w:tcW w:w="1752" w:type="pct"/>
            <w:shd w:val="clear" w:color="auto" w:fill="auto"/>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积极推进地区</w:t>
            </w:r>
          </w:p>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（中心城区）</w:t>
            </w:r>
          </w:p>
        </w:tc>
        <w:tc>
          <w:tcPr>
            <w:tcW w:w="1499" w:type="pct"/>
            <w:shd w:val="clear" w:color="auto" w:fill="auto"/>
            <w:noWrap/>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鼓励推进地区</w:t>
            </w:r>
          </w:p>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（陆丰市、海丰县、陆河县)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750"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新开工装配式建筑面积</w:t>
            </w:r>
          </w:p>
        </w:tc>
        <w:tc>
          <w:tcPr>
            <w:tcW w:w="175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18.6</w:t>
            </w:r>
            <w:r>
              <w:rPr>
                <w:rFonts w:hint="eastAsia" w:ascii="宋体" w:hAnsi="宋体" w:cs="宋体"/>
                <w:color w:val="000000"/>
                <w:kern w:val="0"/>
                <w:szCs w:val="24"/>
              </w:rPr>
              <w:t>万m</w:t>
            </w:r>
            <w:r>
              <w:rPr>
                <w:rFonts w:hint="eastAsia" w:ascii="宋体" w:hAnsi="宋体" w:cs="宋体"/>
                <w:color w:val="000000"/>
                <w:kern w:val="0"/>
                <w:szCs w:val="24"/>
                <w:vertAlign w:val="superscript"/>
              </w:rPr>
              <w:t>2</w:t>
            </w:r>
          </w:p>
        </w:tc>
        <w:tc>
          <w:tcPr>
            <w:tcW w:w="1499"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24.72</w:t>
            </w:r>
            <w:r>
              <w:rPr>
                <w:rFonts w:hint="eastAsia" w:ascii="宋体" w:hAnsi="宋体" w:cs="宋体"/>
                <w:color w:val="000000"/>
                <w:kern w:val="0"/>
                <w:szCs w:val="24"/>
              </w:rPr>
              <w:t>万m</w:t>
            </w:r>
            <w:r>
              <w:rPr>
                <w:rFonts w:hint="eastAsia" w:ascii="宋体" w:hAnsi="宋体" w:cs="宋体"/>
                <w:color w:val="000000"/>
                <w:kern w:val="0"/>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750"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新开工装配式建筑面积在新开工建筑总面积的占比</w:t>
            </w:r>
          </w:p>
        </w:tc>
        <w:tc>
          <w:tcPr>
            <w:tcW w:w="175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7.04</w:t>
            </w:r>
            <w:r>
              <w:rPr>
                <w:rFonts w:hint="eastAsia" w:ascii="宋体" w:hAnsi="宋体" w:cs="宋体"/>
                <w:color w:val="000000"/>
                <w:kern w:val="0"/>
                <w:szCs w:val="24"/>
              </w:rPr>
              <w:t>%</w:t>
            </w:r>
          </w:p>
        </w:tc>
        <w:tc>
          <w:tcPr>
            <w:tcW w:w="1499"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14.11</w:t>
            </w:r>
            <w:r>
              <w:rPr>
                <w:rFonts w:hint="eastAsia" w:ascii="宋体" w:hAnsi="宋体" w:cs="宋体"/>
                <w:color w:val="000000"/>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750"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竣工装配式建筑面积</w:t>
            </w:r>
          </w:p>
        </w:tc>
        <w:tc>
          <w:tcPr>
            <w:tcW w:w="175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0</w:t>
            </w:r>
          </w:p>
        </w:tc>
        <w:tc>
          <w:tcPr>
            <w:tcW w:w="1499"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3.09</w:t>
            </w:r>
            <w:r>
              <w:rPr>
                <w:rFonts w:hint="eastAsia" w:ascii="宋体" w:hAnsi="宋体" w:cs="宋体"/>
                <w:color w:val="000000"/>
                <w:kern w:val="0"/>
                <w:szCs w:val="24"/>
              </w:rPr>
              <w:t>万m</w:t>
            </w:r>
            <w:r>
              <w:rPr>
                <w:rFonts w:hint="eastAsia" w:ascii="宋体" w:hAnsi="宋体" w:cs="宋体"/>
                <w:color w:val="000000"/>
                <w:kern w:val="0"/>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750"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竣工装配式建筑面积在新开工建筑总面积的占比</w:t>
            </w:r>
          </w:p>
        </w:tc>
        <w:tc>
          <w:tcPr>
            <w:tcW w:w="175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0</w:t>
            </w:r>
          </w:p>
        </w:tc>
        <w:tc>
          <w:tcPr>
            <w:tcW w:w="1499"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1.01</w:t>
            </w:r>
            <w:r>
              <w:rPr>
                <w:rFonts w:hint="eastAsia" w:ascii="宋体" w:hAnsi="宋体" w:cs="宋体"/>
                <w:color w:val="000000"/>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750"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新开工政府投资工程装配式建筑面积</w:t>
            </w:r>
          </w:p>
        </w:tc>
        <w:tc>
          <w:tcPr>
            <w:tcW w:w="175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4.03</w:t>
            </w:r>
            <w:r>
              <w:rPr>
                <w:rFonts w:hint="eastAsia" w:ascii="宋体" w:hAnsi="宋体" w:cs="宋体"/>
                <w:color w:val="000000"/>
                <w:kern w:val="0"/>
                <w:szCs w:val="24"/>
              </w:rPr>
              <w:t>万m</w:t>
            </w:r>
            <w:r>
              <w:rPr>
                <w:rFonts w:hint="eastAsia" w:ascii="宋体" w:hAnsi="宋体" w:cs="宋体"/>
                <w:color w:val="000000"/>
                <w:kern w:val="0"/>
                <w:szCs w:val="24"/>
                <w:vertAlign w:val="superscript"/>
              </w:rPr>
              <w:t>2</w:t>
            </w:r>
          </w:p>
        </w:tc>
        <w:tc>
          <w:tcPr>
            <w:tcW w:w="1499"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7</w:t>
            </w:r>
            <w:r>
              <w:rPr>
                <w:rFonts w:hint="eastAsia" w:ascii="宋体" w:hAnsi="宋体" w:cs="宋体"/>
                <w:color w:val="000000"/>
                <w:kern w:val="0"/>
                <w:szCs w:val="24"/>
              </w:rPr>
              <w:t>万m</w:t>
            </w:r>
            <w:r>
              <w:rPr>
                <w:rFonts w:hint="eastAsia" w:ascii="宋体" w:hAnsi="宋体" w:cs="宋体"/>
                <w:color w:val="000000"/>
                <w:kern w:val="0"/>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750"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新开工政府投资工程装配式建筑面积在新开工建筑总面积的占比</w:t>
            </w:r>
          </w:p>
        </w:tc>
        <w:tc>
          <w:tcPr>
            <w:tcW w:w="175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21.85</w:t>
            </w:r>
            <w:r>
              <w:rPr>
                <w:rFonts w:hint="eastAsia" w:ascii="宋体" w:hAnsi="宋体" w:cs="宋体"/>
                <w:color w:val="000000"/>
                <w:kern w:val="0"/>
                <w:szCs w:val="24"/>
              </w:rPr>
              <w:t>%</w:t>
            </w:r>
          </w:p>
        </w:tc>
        <w:tc>
          <w:tcPr>
            <w:tcW w:w="1499"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12.76</w:t>
            </w:r>
            <w:r>
              <w:rPr>
                <w:rFonts w:hint="eastAsia" w:ascii="宋体" w:hAnsi="宋体" w:cs="宋体"/>
                <w:color w:val="000000"/>
                <w:kern w:val="0"/>
                <w:szCs w:val="24"/>
              </w:rPr>
              <w:t>%</w:t>
            </w:r>
          </w:p>
        </w:tc>
      </w:tr>
    </w:tbl>
    <w:p>
      <w:pPr>
        <w:ind w:left="0" w:leftChars="0" w:right="0" w:rightChars="0" w:firstLine="0" w:firstLineChars="0"/>
        <w:jc w:val="center"/>
        <w:rPr>
          <w:szCs w:val="24"/>
        </w:rPr>
      </w:pPr>
    </w:p>
    <w:p>
      <w:pPr>
        <w:pStyle w:val="3"/>
        <w:numPr>
          <w:ilvl w:val="1"/>
          <w:numId w:val="12"/>
        </w:numPr>
        <w:spacing w:line="360" w:lineRule="auto"/>
        <w:ind w:left="0" w:leftChars="0" w:right="-84" w:rightChars="-35" w:firstLine="0" w:firstLineChars="0"/>
        <w:rPr>
          <w:rFonts w:ascii="黑体" w:hAnsi="黑体"/>
          <w:szCs w:val="30"/>
        </w:rPr>
      </w:pPr>
      <w:bookmarkStart w:id="31" w:name="_Toc117875449"/>
      <w:r>
        <w:rPr>
          <w:rFonts w:ascii="黑体" w:hAnsi="黑体"/>
          <w:szCs w:val="30"/>
        </w:rPr>
        <w:t>既有建筑绿色化改造</w:t>
      </w:r>
      <w:r>
        <w:rPr>
          <w:rFonts w:hint="eastAsia" w:ascii="黑体" w:hAnsi="黑体"/>
          <w:szCs w:val="30"/>
        </w:rPr>
        <w:t>现状</w:t>
      </w:r>
      <w:bookmarkEnd w:id="31"/>
    </w:p>
    <w:p>
      <w:pPr>
        <w:ind w:left="0" w:leftChars="0" w:right="0" w:rightChars="0" w:firstLine="480"/>
        <w:rPr>
          <w:szCs w:val="24"/>
        </w:rPr>
      </w:pPr>
      <w:r>
        <w:rPr>
          <w:rFonts w:hint="eastAsia"/>
          <w:szCs w:val="24"/>
        </w:rPr>
        <w:t>“十三五”期间，汕尾市既有建筑改造规模持续扩大，累计完成既有建筑节能改造项目</w:t>
      </w:r>
      <w:r>
        <w:rPr>
          <w:szCs w:val="24"/>
        </w:rPr>
        <w:t>6</w:t>
      </w:r>
      <w:r>
        <w:rPr>
          <w:rFonts w:hint="eastAsia"/>
          <w:szCs w:val="24"/>
        </w:rPr>
        <w:t>个，改造面积达3.54万m</w:t>
      </w:r>
      <w:r>
        <w:rPr>
          <w:szCs w:val="24"/>
          <w:vertAlign w:val="superscript"/>
        </w:rPr>
        <w:t>2</w:t>
      </w:r>
      <w:r>
        <w:rPr>
          <w:rFonts w:hint="eastAsia"/>
          <w:szCs w:val="24"/>
        </w:rPr>
        <w:t>。</w:t>
      </w:r>
    </w:p>
    <w:p>
      <w:pPr>
        <w:ind w:left="0" w:leftChars="0" w:right="0" w:rightChars="0" w:firstLine="480"/>
        <w:rPr>
          <w:szCs w:val="24"/>
        </w:rPr>
      </w:pPr>
      <w:r>
        <w:rPr>
          <w:rFonts w:hint="eastAsia"/>
          <w:szCs w:val="24"/>
        </w:rPr>
        <w:t>汕尾市贯彻落实《广东省民用建筑节能条例》、《公共建筑能耗限额》，定期开展房地产企业建筑节能专项检查，对监理单位未编制建筑节能专项监理方案的开展行政处罚，将节能验收纳入质量监督重点内容，凡未进行节能工程验收的项目不予办理竣工验收。</w:t>
      </w:r>
    </w:p>
    <w:p>
      <w:pPr>
        <w:ind w:left="0" w:leftChars="0" w:right="0" w:rightChars="0" w:firstLine="480"/>
        <w:rPr>
          <w:szCs w:val="24"/>
        </w:rPr>
      </w:pPr>
      <w:r>
        <w:rPr>
          <w:rFonts w:hint="eastAsia"/>
          <w:szCs w:val="24"/>
        </w:rPr>
        <w:t>汕尾市2012年印发了《汕尾市加快既有建筑节能改造实施方案》，全面推进全市建筑节能工作，并制定了《2021年汕尾市建筑领域节能宣传月工作方案》， 2021年10月举办了《建筑节能与绿色建筑宣贯培训会》，为汕尾市建立健全既有建筑绿色化改造体制机制，落实建筑领域“碳达峰、碳中和”行动打下了良好基础。</w:t>
      </w:r>
    </w:p>
    <w:p>
      <w:pPr>
        <w:pStyle w:val="3"/>
        <w:numPr>
          <w:ilvl w:val="1"/>
          <w:numId w:val="12"/>
        </w:numPr>
        <w:spacing w:line="360" w:lineRule="auto"/>
        <w:ind w:left="0" w:leftChars="0" w:right="-84" w:rightChars="-35" w:firstLine="0" w:firstLineChars="0"/>
        <w:rPr>
          <w:rFonts w:ascii="黑体" w:hAnsi="黑体"/>
          <w:szCs w:val="30"/>
        </w:rPr>
      </w:pPr>
      <w:bookmarkStart w:id="32" w:name="_Toc117875450"/>
      <w:r>
        <w:rPr>
          <w:rFonts w:ascii="黑体" w:hAnsi="黑体"/>
          <w:szCs w:val="30"/>
        </w:rPr>
        <w:t>可再生能源建筑应用</w:t>
      </w:r>
      <w:r>
        <w:rPr>
          <w:rFonts w:hint="eastAsia" w:ascii="黑体" w:hAnsi="黑体"/>
          <w:szCs w:val="30"/>
        </w:rPr>
        <w:t>现状</w:t>
      </w:r>
      <w:bookmarkEnd w:id="32"/>
    </w:p>
    <w:p>
      <w:pPr>
        <w:ind w:left="0" w:leftChars="0" w:right="0" w:rightChars="0" w:firstLine="480"/>
        <w:rPr>
          <w:szCs w:val="24"/>
        </w:rPr>
      </w:pPr>
      <w:r>
        <w:rPr>
          <w:rFonts w:hint="eastAsia"/>
          <w:szCs w:val="24"/>
        </w:rPr>
        <w:t>“十三五”期间，汕尾市实施可再生能源应用项目共7个，改造面积达</w:t>
      </w:r>
      <w:r>
        <w:rPr>
          <w:szCs w:val="24"/>
        </w:rPr>
        <w:t>23.88</w:t>
      </w:r>
      <w:r>
        <w:rPr>
          <w:rFonts w:hint="eastAsia"/>
          <w:szCs w:val="24"/>
        </w:rPr>
        <w:t>万m</w:t>
      </w:r>
      <w:r>
        <w:rPr>
          <w:szCs w:val="24"/>
          <w:vertAlign w:val="superscript"/>
        </w:rPr>
        <w:t>2</w:t>
      </w:r>
      <w:r>
        <w:rPr>
          <w:rFonts w:hint="eastAsia"/>
          <w:szCs w:val="24"/>
        </w:rPr>
        <w:t>。</w:t>
      </w:r>
    </w:p>
    <w:p>
      <w:pPr>
        <w:ind w:left="0" w:leftChars="0" w:right="0" w:rightChars="0" w:firstLine="480"/>
        <w:rPr>
          <w:szCs w:val="24"/>
        </w:rPr>
      </w:pPr>
      <w:r>
        <w:rPr>
          <w:rFonts w:hint="eastAsia"/>
          <w:szCs w:val="24"/>
        </w:rPr>
        <w:t>汕尾市为推动可再生能源建筑应用，2</w:t>
      </w:r>
      <w:r>
        <w:rPr>
          <w:szCs w:val="24"/>
        </w:rPr>
        <w:t>012</w:t>
      </w:r>
      <w:r>
        <w:rPr>
          <w:rFonts w:hint="eastAsia"/>
          <w:szCs w:val="24"/>
        </w:rPr>
        <w:t>年印发了《汕尾市推进可再生能源建筑应用工作的意见》。目前，汕尾市可再生能源建筑应用主要集中在太阳能、空气能、光伏发电方面，浅层地热能、生物质能等利用较少，太阳能光热应用较多。</w:t>
      </w:r>
    </w:p>
    <w:p>
      <w:pPr>
        <w:pStyle w:val="102"/>
        <w:numPr>
          <w:ilvl w:val="0"/>
          <w:numId w:val="21"/>
        </w:numPr>
        <w:ind w:leftChars="0" w:right="0" w:rightChars="0" w:firstLineChars="0"/>
        <w:jc w:val="center"/>
        <w:rPr>
          <w:b/>
          <w:sz w:val="22"/>
          <w:szCs w:val="22"/>
        </w:rPr>
      </w:pPr>
      <w:r>
        <w:rPr>
          <w:rFonts w:hint="eastAsia"/>
          <w:b/>
          <w:sz w:val="22"/>
          <w:szCs w:val="22"/>
        </w:rPr>
        <w:t>汕尾市实施可再生能源应用项目统计表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4"/>
        <w:gridCol w:w="2038"/>
        <w:gridCol w:w="1455"/>
        <w:gridCol w:w="3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14" w:type="pct"/>
            <w:vAlign w:val="center"/>
          </w:tcPr>
          <w:p>
            <w:pPr>
              <w:spacing w:after="120" w:line="276" w:lineRule="auto"/>
              <w:ind w:left="0" w:leftChars="0" w:right="0" w:rightChars="0" w:firstLine="0" w:firstLineChars="0"/>
              <w:jc w:val="center"/>
              <w:rPr>
                <w:rFonts w:asciiTheme="minorEastAsia" w:hAnsiTheme="minorEastAsia" w:eastAsiaTheme="minorEastAsia"/>
                <w:b/>
                <w:szCs w:val="24"/>
              </w:rPr>
            </w:pPr>
            <w:r>
              <w:rPr>
                <w:rFonts w:hint="eastAsia" w:asciiTheme="minorEastAsia" w:hAnsiTheme="minorEastAsia" w:eastAsiaTheme="minorEastAsia"/>
                <w:b/>
                <w:szCs w:val="24"/>
              </w:rPr>
              <w:t>序号</w:t>
            </w:r>
          </w:p>
        </w:tc>
        <w:tc>
          <w:tcPr>
            <w:tcW w:w="667" w:type="pct"/>
            <w:vAlign w:val="center"/>
          </w:tcPr>
          <w:p>
            <w:pPr>
              <w:spacing w:after="120" w:line="276" w:lineRule="auto"/>
              <w:ind w:left="0" w:leftChars="0" w:right="0" w:rightChars="0" w:firstLine="0" w:firstLineChars="0"/>
              <w:jc w:val="center"/>
              <w:rPr>
                <w:rFonts w:asciiTheme="minorEastAsia" w:hAnsiTheme="minorEastAsia" w:eastAsiaTheme="minorEastAsia"/>
                <w:b/>
                <w:szCs w:val="24"/>
              </w:rPr>
            </w:pPr>
            <w:r>
              <w:rPr>
                <w:rFonts w:hint="eastAsia" w:asciiTheme="minorEastAsia" w:hAnsiTheme="minorEastAsia" w:eastAsiaTheme="minorEastAsia"/>
                <w:b/>
                <w:szCs w:val="24"/>
              </w:rPr>
              <w:t>改造时间</w:t>
            </w:r>
          </w:p>
        </w:tc>
        <w:tc>
          <w:tcPr>
            <w:tcW w:w="1168" w:type="pct"/>
            <w:vAlign w:val="center"/>
          </w:tcPr>
          <w:p>
            <w:pPr>
              <w:spacing w:after="120" w:line="276" w:lineRule="auto"/>
              <w:ind w:left="0" w:leftChars="0" w:right="0" w:rightChars="0" w:firstLine="0" w:firstLineChars="0"/>
              <w:jc w:val="center"/>
              <w:rPr>
                <w:rFonts w:asciiTheme="minorEastAsia" w:hAnsiTheme="minorEastAsia" w:eastAsiaTheme="minorEastAsia"/>
                <w:b/>
                <w:szCs w:val="24"/>
              </w:rPr>
            </w:pPr>
            <w:r>
              <w:rPr>
                <w:rFonts w:hint="eastAsia" w:asciiTheme="minorEastAsia" w:hAnsiTheme="minorEastAsia" w:eastAsiaTheme="minorEastAsia"/>
                <w:b/>
                <w:szCs w:val="24"/>
              </w:rPr>
              <w:t>名称</w:t>
            </w:r>
          </w:p>
        </w:tc>
        <w:tc>
          <w:tcPr>
            <w:tcW w:w="834" w:type="pct"/>
            <w:vAlign w:val="center"/>
          </w:tcPr>
          <w:p>
            <w:pPr>
              <w:spacing w:after="120" w:line="276" w:lineRule="auto"/>
              <w:ind w:left="0" w:leftChars="0" w:right="0" w:rightChars="0" w:firstLine="0" w:firstLineChars="0"/>
              <w:jc w:val="center"/>
              <w:rPr>
                <w:rFonts w:asciiTheme="minorEastAsia" w:hAnsiTheme="minorEastAsia" w:eastAsiaTheme="minorEastAsia"/>
                <w:b/>
                <w:szCs w:val="24"/>
              </w:rPr>
            </w:pPr>
            <w:r>
              <w:rPr>
                <w:rFonts w:hint="eastAsia" w:asciiTheme="minorEastAsia" w:hAnsiTheme="minorEastAsia" w:eastAsiaTheme="minorEastAsia"/>
                <w:b/>
                <w:szCs w:val="24"/>
              </w:rPr>
              <w:t>面积（m</w:t>
            </w:r>
            <w:r>
              <w:rPr>
                <w:rFonts w:asciiTheme="minorEastAsia" w:hAnsiTheme="minorEastAsia" w:eastAsiaTheme="minorEastAsia"/>
                <w:b/>
                <w:szCs w:val="24"/>
                <w:vertAlign w:val="superscript"/>
              </w:rPr>
              <w:t>2</w:t>
            </w:r>
            <w:r>
              <w:rPr>
                <w:rFonts w:hint="eastAsia" w:asciiTheme="minorEastAsia" w:hAnsiTheme="minorEastAsia" w:eastAsiaTheme="minorEastAsia"/>
                <w:b/>
                <w:szCs w:val="24"/>
              </w:rPr>
              <w:t>）</w:t>
            </w:r>
          </w:p>
        </w:tc>
        <w:tc>
          <w:tcPr>
            <w:tcW w:w="1916" w:type="pct"/>
            <w:vAlign w:val="center"/>
          </w:tcPr>
          <w:p>
            <w:pPr>
              <w:spacing w:after="120" w:line="276" w:lineRule="auto"/>
              <w:ind w:left="0" w:leftChars="0" w:right="0" w:rightChars="0" w:firstLine="0" w:firstLineChars="0"/>
              <w:jc w:val="center"/>
              <w:rPr>
                <w:rFonts w:asciiTheme="minorEastAsia" w:hAnsiTheme="minorEastAsia" w:eastAsiaTheme="minorEastAsia"/>
                <w:b/>
                <w:szCs w:val="24"/>
              </w:rPr>
            </w:pPr>
            <w:r>
              <w:rPr>
                <w:rFonts w:hint="eastAsia" w:asciiTheme="minorEastAsia" w:hAnsiTheme="minorEastAsia" w:eastAsiaTheme="minorEastAsia"/>
                <w:b/>
                <w:szCs w:val="24"/>
              </w:rPr>
              <w:t>改造情况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1</w:t>
            </w:r>
          </w:p>
        </w:tc>
        <w:tc>
          <w:tcPr>
            <w:tcW w:w="667"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016</w:t>
            </w:r>
            <w:r>
              <w:rPr>
                <w:rFonts w:hint="eastAsia" w:asciiTheme="minorEastAsia" w:hAnsiTheme="minorEastAsia" w:eastAsiaTheme="minorEastAsia"/>
                <w:szCs w:val="24"/>
              </w:rPr>
              <w:t>年</w:t>
            </w:r>
          </w:p>
        </w:tc>
        <w:tc>
          <w:tcPr>
            <w:tcW w:w="1168"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陆丰市林启恩纪念学校</w:t>
            </w:r>
          </w:p>
        </w:tc>
        <w:tc>
          <w:tcPr>
            <w:tcW w:w="834"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7</w:t>
            </w:r>
            <w:r>
              <w:rPr>
                <w:rFonts w:asciiTheme="minorEastAsia" w:hAnsiTheme="minorEastAsia" w:eastAsiaTheme="minorEastAsia"/>
                <w:szCs w:val="24"/>
              </w:rPr>
              <w:t>086</w:t>
            </w:r>
          </w:p>
        </w:tc>
        <w:tc>
          <w:tcPr>
            <w:tcW w:w="1916"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供热系统改用太阳能及空气能热水器供应热水。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2</w:t>
            </w:r>
          </w:p>
        </w:tc>
        <w:tc>
          <w:tcPr>
            <w:tcW w:w="667"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017</w:t>
            </w:r>
            <w:r>
              <w:rPr>
                <w:rFonts w:hint="eastAsia" w:asciiTheme="minorEastAsia" w:hAnsiTheme="minorEastAsia" w:eastAsiaTheme="minorEastAsia"/>
                <w:szCs w:val="24"/>
              </w:rPr>
              <w:t>年</w:t>
            </w:r>
          </w:p>
        </w:tc>
        <w:tc>
          <w:tcPr>
            <w:tcW w:w="1168"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陆丰市沛润酒店有限公司</w:t>
            </w:r>
          </w:p>
        </w:tc>
        <w:tc>
          <w:tcPr>
            <w:tcW w:w="834"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5</w:t>
            </w:r>
            <w:r>
              <w:rPr>
                <w:rFonts w:asciiTheme="minorEastAsia" w:hAnsiTheme="minorEastAsia" w:eastAsiaTheme="minorEastAsia"/>
                <w:szCs w:val="24"/>
              </w:rPr>
              <w:t>460</w:t>
            </w:r>
          </w:p>
        </w:tc>
        <w:tc>
          <w:tcPr>
            <w:tcW w:w="1916"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供热系统改用空气能热水器供应热水。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3</w:t>
            </w:r>
          </w:p>
        </w:tc>
        <w:tc>
          <w:tcPr>
            <w:tcW w:w="667"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018</w:t>
            </w:r>
            <w:r>
              <w:rPr>
                <w:rFonts w:hint="eastAsia" w:asciiTheme="minorEastAsia" w:hAnsiTheme="minorEastAsia" w:eastAsiaTheme="minorEastAsia"/>
                <w:szCs w:val="24"/>
              </w:rPr>
              <w:t>年</w:t>
            </w:r>
          </w:p>
        </w:tc>
        <w:tc>
          <w:tcPr>
            <w:tcW w:w="1168"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汕尾比亚迪实业有限公司</w:t>
            </w:r>
          </w:p>
        </w:tc>
        <w:tc>
          <w:tcPr>
            <w:tcW w:w="834"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5</w:t>
            </w:r>
            <w:r>
              <w:rPr>
                <w:rFonts w:asciiTheme="minorEastAsia" w:hAnsiTheme="minorEastAsia" w:eastAsiaTheme="minorEastAsia"/>
                <w:szCs w:val="24"/>
              </w:rPr>
              <w:t>3400.28</w:t>
            </w:r>
          </w:p>
        </w:tc>
        <w:tc>
          <w:tcPr>
            <w:tcW w:w="1916"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宿舍安装太阳能中央热水工程，每栋屋面太阳能集热板8</w:t>
            </w:r>
            <w:r>
              <w:rPr>
                <w:rFonts w:asciiTheme="minorEastAsia" w:hAnsiTheme="minorEastAsia" w:eastAsiaTheme="minorEastAsia"/>
                <w:szCs w:val="24"/>
              </w:rPr>
              <w:t>48</w:t>
            </w:r>
            <w:r>
              <w:rPr>
                <w:rFonts w:hint="eastAsia" w:asciiTheme="minorEastAsia" w:hAnsiTheme="minorEastAsia" w:eastAsiaTheme="minorEastAsia"/>
                <w:szCs w:val="24"/>
              </w:rPr>
              <w:t>m</w:t>
            </w:r>
            <w:r>
              <w:rPr>
                <w:rFonts w:asciiTheme="minorEastAsia" w:hAnsiTheme="minorEastAsia" w:eastAsiaTheme="minorEastAsia"/>
                <w:szCs w:val="24"/>
                <w:vertAlign w:val="superscript"/>
              </w:rPr>
              <w:t>2</w:t>
            </w:r>
            <w:r>
              <w:rPr>
                <w:rFonts w:hint="eastAsia" w:asciiTheme="minorEastAsia" w:hAnsiTheme="minorEastAsia" w:eastAsiaTheme="minorEastAsia"/>
                <w:szCs w:val="24"/>
              </w:rPr>
              <w:t>，日造热水1</w:t>
            </w:r>
            <w:r>
              <w:rPr>
                <w:rFonts w:asciiTheme="minorEastAsia" w:hAnsiTheme="minorEastAsia" w:eastAsiaTheme="minorEastAsia"/>
                <w:szCs w:val="24"/>
              </w:rPr>
              <w:t>40</w:t>
            </w:r>
            <w:r>
              <w:rPr>
                <w:rFonts w:hint="eastAsia" w:asciiTheme="minorEastAsia" w:hAnsiTheme="minorEastAsia" w:eastAsiaTheme="minorEastAsia"/>
                <w:szCs w:val="24"/>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4</w:t>
            </w:r>
          </w:p>
        </w:tc>
        <w:tc>
          <w:tcPr>
            <w:tcW w:w="667"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018</w:t>
            </w:r>
            <w:r>
              <w:rPr>
                <w:rFonts w:hint="eastAsia" w:asciiTheme="minorEastAsia" w:hAnsiTheme="minorEastAsia" w:eastAsiaTheme="minorEastAsia"/>
                <w:szCs w:val="24"/>
              </w:rPr>
              <w:t>年</w:t>
            </w:r>
          </w:p>
        </w:tc>
        <w:tc>
          <w:tcPr>
            <w:tcW w:w="1168"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陆丰市恒业建材实业有限公司</w:t>
            </w:r>
          </w:p>
        </w:tc>
        <w:tc>
          <w:tcPr>
            <w:tcW w:w="834"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1</w:t>
            </w:r>
            <w:r>
              <w:rPr>
                <w:rFonts w:asciiTheme="minorEastAsia" w:hAnsiTheme="minorEastAsia" w:eastAsiaTheme="minorEastAsia"/>
                <w:szCs w:val="24"/>
              </w:rPr>
              <w:t>050</w:t>
            </w:r>
          </w:p>
        </w:tc>
        <w:tc>
          <w:tcPr>
            <w:tcW w:w="1916"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主体结构采用钢结构设计，按节能有关要求施工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5</w:t>
            </w:r>
          </w:p>
        </w:tc>
        <w:tc>
          <w:tcPr>
            <w:tcW w:w="667"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018</w:t>
            </w:r>
            <w:r>
              <w:rPr>
                <w:rFonts w:hint="eastAsia" w:asciiTheme="minorEastAsia" w:hAnsiTheme="minorEastAsia" w:eastAsiaTheme="minorEastAsia"/>
                <w:szCs w:val="24"/>
              </w:rPr>
              <w:t>年</w:t>
            </w:r>
          </w:p>
        </w:tc>
        <w:tc>
          <w:tcPr>
            <w:tcW w:w="1168"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陆河碧桂园一标段总承包工程</w:t>
            </w:r>
          </w:p>
        </w:tc>
        <w:tc>
          <w:tcPr>
            <w:tcW w:w="834"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4</w:t>
            </w:r>
            <w:r>
              <w:rPr>
                <w:rFonts w:asciiTheme="minorEastAsia" w:hAnsiTheme="minorEastAsia" w:eastAsiaTheme="minorEastAsia"/>
                <w:szCs w:val="24"/>
              </w:rPr>
              <w:t>020</w:t>
            </w:r>
          </w:p>
        </w:tc>
        <w:tc>
          <w:tcPr>
            <w:tcW w:w="1916"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施工时预埋太阳能集中供热设备。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6</w:t>
            </w:r>
          </w:p>
        </w:tc>
        <w:tc>
          <w:tcPr>
            <w:tcW w:w="667"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019</w:t>
            </w:r>
            <w:r>
              <w:rPr>
                <w:rFonts w:hint="eastAsia" w:asciiTheme="minorEastAsia" w:hAnsiTheme="minorEastAsia" w:eastAsiaTheme="minorEastAsia"/>
                <w:szCs w:val="24"/>
              </w:rPr>
              <w:t>年</w:t>
            </w:r>
          </w:p>
        </w:tc>
        <w:tc>
          <w:tcPr>
            <w:tcW w:w="1168"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陆丰市职业技术学校</w:t>
            </w:r>
          </w:p>
        </w:tc>
        <w:tc>
          <w:tcPr>
            <w:tcW w:w="834"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1</w:t>
            </w:r>
            <w:r>
              <w:rPr>
                <w:rFonts w:asciiTheme="minorEastAsia" w:hAnsiTheme="minorEastAsia" w:eastAsiaTheme="minorEastAsia"/>
                <w:szCs w:val="24"/>
              </w:rPr>
              <w:t>258</w:t>
            </w:r>
          </w:p>
        </w:tc>
        <w:tc>
          <w:tcPr>
            <w:tcW w:w="1916"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供热系统全部采用空气能热水器供应热水。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7</w:t>
            </w:r>
          </w:p>
        </w:tc>
        <w:tc>
          <w:tcPr>
            <w:tcW w:w="667"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020</w:t>
            </w:r>
            <w:r>
              <w:rPr>
                <w:rFonts w:hint="eastAsia" w:asciiTheme="minorEastAsia" w:hAnsiTheme="minorEastAsia" w:eastAsiaTheme="minorEastAsia"/>
                <w:szCs w:val="24"/>
              </w:rPr>
              <w:t>年</w:t>
            </w:r>
          </w:p>
        </w:tc>
        <w:tc>
          <w:tcPr>
            <w:tcW w:w="1168"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汕尾市中心医院</w:t>
            </w:r>
          </w:p>
        </w:tc>
        <w:tc>
          <w:tcPr>
            <w:tcW w:w="834"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1</w:t>
            </w:r>
            <w:r>
              <w:rPr>
                <w:rFonts w:asciiTheme="minorEastAsia" w:hAnsiTheme="minorEastAsia" w:eastAsiaTheme="minorEastAsia"/>
                <w:szCs w:val="24"/>
              </w:rPr>
              <w:t>6.65</w:t>
            </w:r>
            <w:r>
              <w:rPr>
                <w:rFonts w:hint="eastAsia" w:asciiTheme="minorEastAsia" w:hAnsiTheme="minorEastAsia" w:eastAsiaTheme="minorEastAsia"/>
                <w:szCs w:val="24"/>
              </w:rPr>
              <w:t>万</w:t>
            </w:r>
          </w:p>
        </w:tc>
        <w:tc>
          <w:tcPr>
            <w:tcW w:w="1916" w:type="pct"/>
            <w:vAlign w:val="center"/>
          </w:tcPr>
          <w:p>
            <w:pPr>
              <w:spacing w:after="120" w:line="276" w:lineRule="auto"/>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热媒采用太阳能加热辅助燃气锅炉产生高温热水加热热水供应方式。</w:t>
            </w:r>
          </w:p>
        </w:tc>
      </w:tr>
    </w:tbl>
    <w:p>
      <w:pPr>
        <w:ind w:left="0" w:leftChars="0" w:right="0" w:rightChars="0" w:firstLine="0" w:firstLineChars="0"/>
        <w:rPr>
          <w:szCs w:val="24"/>
        </w:rPr>
      </w:pPr>
    </w:p>
    <w:p>
      <w:pPr>
        <w:ind w:left="0" w:leftChars="0" w:right="0" w:rightChars="0" w:firstLine="0" w:firstLineChars="0"/>
        <w:rPr>
          <w:szCs w:val="24"/>
        </w:rPr>
      </w:pPr>
      <w:r>
        <w:drawing>
          <wp:inline distT="0" distB="0" distL="0" distR="0">
            <wp:extent cx="2574290" cy="19278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2595159" cy="1943700"/>
                    </a:xfrm>
                    <a:prstGeom prst="rect">
                      <a:avLst/>
                    </a:prstGeom>
                  </pic:spPr>
                </pic:pic>
              </a:graphicData>
            </a:graphic>
          </wp:inline>
        </w:drawing>
      </w:r>
      <w:r>
        <w:rPr>
          <w:rFonts w:hint="eastAsia"/>
          <w:szCs w:val="24"/>
        </w:rPr>
        <w:t xml:space="preserve"> </w:t>
      </w:r>
      <w:r>
        <w:rPr>
          <w:szCs w:val="24"/>
        </w:rPr>
        <w:t xml:space="preserve">  </w:t>
      </w:r>
      <w:r>
        <w:drawing>
          <wp:inline distT="0" distB="0" distL="0" distR="0">
            <wp:extent cx="2597785" cy="19462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2618566" cy="1961846"/>
                    </a:xfrm>
                    <a:prstGeom prst="rect">
                      <a:avLst/>
                    </a:prstGeom>
                  </pic:spPr>
                </pic:pic>
              </a:graphicData>
            </a:graphic>
          </wp:inline>
        </w:drawing>
      </w:r>
    </w:p>
    <w:p>
      <w:pPr>
        <w:pStyle w:val="102"/>
        <w:numPr>
          <w:ilvl w:val="0"/>
          <w:numId w:val="22"/>
        </w:numPr>
        <w:spacing w:before="120"/>
        <w:ind w:leftChars="0" w:right="0" w:rightChars="0" w:firstLineChars="0"/>
        <w:jc w:val="center"/>
        <w:rPr>
          <w:b/>
          <w:sz w:val="22"/>
        </w:rPr>
      </w:pPr>
      <w:r>
        <w:rPr>
          <w:rFonts w:hint="eastAsia"/>
          <w:b/>
          <w:sz w:val="22"/>
        </w:rPr>
        <w:t>汕尾市太阳能集热板、太阳能中央热水工程</w:t>
      </w:r>
    </w:p>
    <w:p>
      <w:pPr>
        <w:pStyle w:val="3"/>
        <w:numPr>
          <w:ilvl w:val="1"/>
          <w:numId w:val="12"/>
        </w:numPr>
        <w:spacing w:line="360" w:lineRule="auto"/>
        <w:ind w:left="0" w:leftChars="0" w:right="-84" w:rightChars="-35" w:firstLine="0" w:firstLineChars="0"/>
        <w:rPr>
          <w:rFonts w:ascii="黑体" w:hAnsi="黑体"/>
          <w:szCs w:val="30"/>
        </w:rPr>
      </w:pPr>
      <w:bookmarkStart w:id="33" w:name="_Toc117875451"/>
      <w:r>
        <w:rPr>
          <w:rFonts w:hint="eastAsia" w:ascii="黑体" w:hAnsi="黑体"/>
          <w:szCs w:val="30"/>
        </w:rPr>
        <w:t>绿色建材现状</w:t>
      </w:r>
      <w:bookmarkEnd w:id="33"/>
    </w:p>
    <w:p>
      <w:pPr>
        <w:ind w:left="0" w:leftChars="0" w:right="0" w:rightChars="0" w:firstLine="480"/>
        <w:rPr>
          <w:szCs w:val="24"/>
        </w:rPr>
      </w:pPr>
      <w:r>
        <w:rPr>
          <w:rFonts w:hint="eastAsia"/>
          <w:szCs w:val="24"/>
        </w:rPr>
        <w:t>为促进汕尾市绿色建材行业发展，提高绿色建材在建筑中的使用比例，汕尾市印发了《关于加强新型墙材产品认定备案管理的通知》、《关于推进汕尾市预拌混凝土搅拌站实行绿色生产规范标准的通知》、《汕尾市散装水泥发展和应用“十四五”规划》等政策文件，开展建筑工程新型墙材使用情况专项督查。</w:t>
      </w:r>
    </w:p>
    <w:p>
      <w:pPr>
        <w:ind w:left="0" w:leftChars="0" w:right="0" w:rightChars="0" w:firstLine="480"/>
        <w:rPr>
          <w:szCs w:val="24"/>
        </w:rPr>
      </w:pPr>
      <w:r>
        <w:rPr>
          <w:rFonts w:hint="eastAsia"/>
          <w:szCs w:val="24"/>
        </w:rPr>
        <w:t>目前，汕尾市已投产的预拌混凝土生产企业共</w:t>
      </w:r>
      <w:r>
        <w:rPr>
          <w:szCs w:val="24"/>
        </w:rPr>
        <w:t>24</w:t>
      </w:r>
      <w:r>
        <w:rPr>
          <w:rFonts w:hint="eastAsia"/>
          <w:szCs w:val="24"/>
        </w:rPr>
        <w:t>家，其中市城区</w:t>
      </w:r>
      <w:r>
        <w:rPr>
          <w:szCs w:val="24"/>
        </w:rPr>
        <w:t>5</w:t>
      </w:r>
      <w:r>
        <w:rPr>
          <w:rFonts w:hint="eastAsia"/>
          <w:szCs w:val="24"/>
        </w:rPr>
        <w:t>家、海丰县</w:t>
      </w:r>
      <w:r>
        <w:rPr>
          <w:szCs w:val="24"/>
        </w:rPr>
        <w:t>6</w:t>
      </w:r>
      <w:r>
        <w:rPr>
          <w:rFonts w:hint="eastAsia"/>
          <w:szCs w:val="24"/>
        </w:rPr>
        <w:t>家、陆丰市</w:t>
      </w:r>
      <w:r>
        <w:rPr>
          <w:szCs w:val="24"/>
        </w:rPr>
        <w:t>7</w:t>
      </w:r>
      <w:r>
        <w:rPr>
          <w:rFonts w:hint="eastAsia"/>
          <w:szCs w:val="24"/>
        </w:rPr>
        <w:t>家、陆河县4家、汕尾新区1家、红海湾经济开发区1家，合计产能为17</w:t>
      </w:r>
      <w:r>
        <w:rPr>
          <w:szCs w:val="24"/>
        </w:rPr>
        <w:t>26</w:t>
      </w:r>
      <w:r>
        <w:rPr>
          <w:rFonts w:hint="eastAsia"/>
          <w:szCs w:val="24"/>
        </w:rPr>
        <w:t>万m</w:t>
      </w:r>
      <w:r>
        <w:rPr>
          <w:rFonts w:hint="eastAsia"/>
          <w:szCs w:val="24"/>
          <w:vertAlign w:val="superscript"/>
        </w:rPr>
        <w:t>3</w:t>
      </w:r>
      <w:r>
        <w:rPr>
          <w:rFonts w:hint="eastAsia"/>
          <w:szCs w:val="24"/>
        </w:rPr>
        <w:t>/年。已投产的预拌砂浆生产企业共3家，合计产能为62万吨/年。目前全市84%的预拌混凝土和预拌砂浆生产企业已完成绿色生产改造，其中海丰富丽混凝土搅拌有限公司获评广东省预拌混凝土绿色生产三星级达标企业，其余的16%将逐步开展搬迁重建工作。</w:t>
      </w:r>
    </w:p>
    <w:p>
      <w:pPr>
        <w:ind w:left="0" w:leftChars="0" w:right="0" w:rightChars="0" w:firstLine="480"/>
        <w:rPr>
          <w:szCs w:val="24"/>
        </w:rPr>
      </w:pPr>
      <w:r>
        <w:rPr>
          <w:rFonts w:hint="eastAsia"/>
          <w:szCs w:val="24"/>
        </w:rPr>
        <w:t>汕尾市现有2个散装水泥中转站，其中汕尾市信安实业有限公司共有中转库4个，设计容量5200吨；汕尾红海湾寅润仓储有限公司共有水泥钢板仓6个，设计容量2200吨。</w:t>
      </w:r>
    </w:p>
    <w:p>
      <w:pPr>
        <w:ind w:left="0" w:leftChars="0" w:right="0" w:rightChars="0" w:firstLine="480"/>
        <w:rPr>
          <w:szCs w:val="24"/>
        </w:rPr>
      </w:pPr>
      <w:r>
        <w:rPr>
          <w:rFonts w:hint="eastAsia"/>
          <w:szCs w:val="24"/>
        </w:rPr>
        <w:t>汕尾市现有新型墙体材料生产企业共4家，其中市城区1家、红海湾经济开发区1家、海丰县2家，年生产能力为</w:t>
      </w:r>
      <w:r>
        <w:rPr>
          <w:rFonts w:hint="eastAsia" w:cs="宋体" w:asciiTheme="minorEastAsia" w:hAnsiTheme="minorEastAsia" w:eastAsiaTheme="minorEastAsia"/>
          <w:color w:val="000000"/>
          <w:kern w:val="0"/>
          <w:szCs w:val="24"/>
        </w:rPr>
        <w:t>7</w:t>
      </w:r>
      <w:r>
        <w:rPr>
          <w:rFonts w:cs="宋体" w:asciiTheme="minorEastAsia" w:hAnsiTheme="minorEastAsia" w:eastAsiaTheme="minorEastAsia"/>
          <w:color w:val="000000"/>
          <w:kern w:val="0"/>
          <w:szCs w:val="24"/>
        </w:rPr>
        <w:t>8.7</w:t>
      </w:r>
      <w:r>
        <w:rPr>
          <w:rFonts w:hint="eastAsia"/>
          <w:szCs w:val="24"/>
        </w:rPr>
        <w:t>万m</w:t>
      </w:r>
      <w:r>
        <w:rPr>
          <w:rFonts w:hint="eastAsia"/>
          <w:szCs w:val="24"/>
          <w:vertAlign w:val="superscript"/>
        </w:rPr>
        <w:t>3</w:t>
      </w:r>
      <w:r>
        <w:rPr>
          <w:rFonts w:hint="eastAsia" w:cs="宋体" w:asciiTheme="minorEastAsia" w:hAnsiTheme="minorEastAsia" w:eastAsiaTheme="minorEastAsia"/>
          <w:color w:val="000000"/>
          <w:kern w:val="0"/>
          <w:szCs w:val="24"/>
        </w:rPr>
        <w:t>，主要生产的墙体材料包括蒸压加气混凝土砌块、蒸压粉煤灰砖和蒸压灰砂砖等绿色建材产品，有利于加快绿色建筑发展和绿色建材的推广使用。</w:t>
      </w:r>
    </w:p>
    <w:p>
      <w:pPr>
        <w:pStyle w:val="102"/>
        <w:numPr>
          <w:ilvl w:val="0"/>
          <w:numId w:val="21"/>
        </w:numPr>
        <w:ind w:leftChars="0" w:right="0" w:rightChars="0" w:firstLineChars="0"/>
        <w:jc w:val="center"/>
        <w:rPr>
          <w:b/>
          <w:sz w:val="22"/>
          <w:szCs w:val="22"/>
        </w:rPr>
      </w:pPr>
      <w:bookmarkStart w:id="34" w:name="_Toc73369925"/>
      <w:r>
        <w:rPr>
          <w:b/>
          <w:sz w:val="22"/>
          <w:szCs w:val="22"/>
        </w:rPr>
        <w:t>汕尾市现状预拌混凝土生产企业一览表</w:t>
      </w:r>
      <w:bookmarkEnd w:id="34"/>
    </w:p>
    <w:tbl>
      <w:tblPr>
        <w:tblStyle w:val="39"/>
        <w:tblW w:w="50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311"/>
        <w:gridCol w:w="4223"/>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95" w:type="pct"/>
            <w:vMerge w:val="restart"/>
            <w:shd w:val="clear" w:color="auto" w:fill="auto"/>
            <w:vAlign w:val="center"/>
          </w:tcPr>
          <w:p>
            <w:pPr>
              <w:widowControl/>
              <w:spacing w:line="240" w:lineRule="auto"/>
              <w:ind w:left="0" w:leftChars="0" w:right="0" w:rightChars="0"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序号</w:t>
            </w:r>
          </w:p>
        </w:tc>
        <w:tc>
          <w:tcPr>
            <w:tcW w:w="750" w:type="pct"/>
            <w:vMerge w:val="restart"/>
            <w:shd w:val="clear" w:color="auto" w:fill="auto"/>
            <w:vAlign w:val="center"/>
          </w:tcPr>
          <w:p>
            <w:pPr>
              <w:widowControl/>
              <w:spacing w:line="240" w:lineRule="auto"/>
              <w:ind w:left="0" w:leftChars="0" w:right="0" w:rightChars="0"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县（市、区）</w:t>
            </w:r>
          </w:p>
        </w:tc>
        <w:tc>
          <w:tcPr>
            <w:tcW w:w="2416" w:type="pct"/>
            <w:vMerge w:val="restart"/>
            <w:shd w:val="clear" w:color="auto" w:fill="auto"/>
            <w:vAlign w:val="center"/>
          </w:tcPr>
          <w:p>
            <w:pPr>
              <w:widowControl/>
              <w:spacing w:line="240" w:lineRule="auto"/>
              <w:ind w:left="0" w:leftChars="0" w:right="0" w:rightChars="0" w:firstLine="0" w:firstLineChars="0"/>
              <w:jc w:val="center"/>
              <w:rPr>
                <w:rFonts w:ascii="宋体" w:hAnsi="宋体" w:cs="宋体"/>
                <w:b/>
                <w:bCs/>
                <w:color w:val="000000"/>
                <w:kern w:val="0"/>
                <w:szCs w:val="24"/>
              </w:rPr>
            </w:pPr>
            <w:r>
              <w:rPr>
                <w:rFonts w:hint="eastAsia" w:ascii="宋体" w:hAnsi="宋体" w:cs="宋体"/>
                <w:b/>
                <w:bCs/>
                <w:color w:val="000000"/>
                <w:kern w:val="0"/>
                <w:szCs w:val="24"/>
              </w:rPr>
              <w:t>企业名称</w:t>
            </w:r>
          </w:p>
        </w:tc>
        <w:tc>
          <w:tcPr>
            <w:tcW w:w="1338" w:type="pct"/>
            <w:vMerge w:val="restart"/>
            <w:shd w:val="clear" w:color="auto" w:fill="auto"/>
            <w:vAlign w:val="center"/>
          </w:tcPr>
          <w:p>
            <w:pPr>
              <w:widowControl/>
              <w:spacing w:line="240" w:lineRule="auto"/>
              <w:ind w:left="0" w:leftChars="0" w:right="0" w:rightChars="0" w:firstLine="0" w:firstLineChars="0"/>
              <w:jc w:val="center"/>
              <w:rPr>
                <w:rFonts w:ascii="宋体" w:hAnsi="宋体" w:cs="宋体"/>
                <w:b/>
                <w:bCs/>
                <w:color w:val="000000"/>
                <w:kern w:val="0"/>
                <w:szCs w:val="24"/>
              </w:rPr>
            </w:pPr>
            <w:r>
              <w:rPr>
                <w:rFonts w:hint="eastAsia" w:ascii="宋体" w:hAnsi="宋体" w:cs="宋体"/>
                <w:b/>
                <w:bCs/>
                <w:color w:val="000000"/>
                <w:kern w:val="0"/>
                <w:szCs w:val="24"/>
              </w:rPr>
              <w:t>预拌混凝土年设计生产能力（万m</w:t>
            </w:r>
            <w:r>
              <w:rPr>
                <w:rFonts w:hint="eastAsia" w:ascii="宋体" w:hAnsi="宋体" w:cs="宋体"/>
                <w:b/>
                <w:bCs/>
                <w:color w:val="000000"/>
                <w:kern w:val="0"/>
                <w:szCs w:val="24"/>
                <w:vertAlign w:val="superscript"/>
              </w:rPr>
              <w:t>3</w:t>
            </w:r>
            <w:r>
              <w:rPr>
                <w:rFonts w:hint="eastAsia" w:ascii="宋体" w:hAnsi="宋体" w:cs="宋体"/>
                <w:b/>
                <w:bCs/>
                <w:color w:val="000000"/>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95" w:type="pct"/>
            <w:vMerge w:val="continue"/>
            <w:vAlign w:val="center"/>
          </w:tcPr>
          <w:p>
            <w:pPr>
              <w:widowControl/>
              <w:spacing w:line="240" w:lineRule="auto"/>
              <w:ind w:left="0" w:leftChars="0" w:right="0" w:rightChars="0" w:firstLine="0" w:firstLineChars="0"/>
              <w:jc w:val="center"/>
              <w:rPr>
                <w:rFonts w:ascii="宋体" w:hAnsi="宋体" w:cs="宋体"/>
                <w:b/>
                <w:bCs/>
                <w:color w:val="000000"/>
                <w:kern w:val="0"/>
                <w:szCs w:val="24"/>
              </w:rPr>
            </w:pPr>
          </w:p>
        </w:tc>
        <w:tc>
          <w:tcPr>
            <w:tcW w:w="750" w:type="pct"/>
            <w:vMerge w:val="continue"/>
            <w:vAlign w:val="center"/>
          </w:tcPr>
          <w:p>
            <w:pPr>
              <w:widowControl/>
              <w:spacing w:line="240" w:lineRule="auto"/>
              <w:ind w:left="0" w:leftChars="0" w:right="0" w:rightChars="0" w:firstLine="0" w:firstLineChars="0"/>
              <w:jc w:val="center"/>
              <w:rPr>
                <w:rFonts w:ascii="宋体" w:hAnsi="宋体" w:cs="宋体"/>
                <w:b/>
                <w:bCs/>
                <w:color w:val="000000"/>
                <w:kern w:val="0"/>
                <w:szCs w:val="24"/>
              </w:rPr>
            </w:pPr>
          </w:p>
        </w:tc>
        <w:tc>
          <w:tcPr>
            <w:tcW w:w="2416" w:type="pct"/>
            <w:vMerge w:val="continue"/>
            <w:vAlign w:val="center"/>
          </w:tcPr>
          <w:p>
            <w:pPr>
              <w:widowControl/>
              <w:spacing w:line="240" w:lineRule="auto"/>
              <w:ind w:left="0" w:leftChars="0" w:right="0" w:rightChars="0" w:firstLine="0" w:firstLineChars="0"/>
              <w:jc w:val="center"/>
              <w:rPr>
                <w:rFonts w:ascii="宋体" w:hAnsi="宋体" w:cs="宋体"/>
                <w:b/>
                <w:bCs/>
                <w:color w:val="000000"/>
                <w:kern w:val="0"/>
                <w:szCs w:val="24"/>
              </w:rPr>
            </w:pPr>
          </w:p>
        </w:tc>
        <w:tc>
          <w:tcPr>
            <w:tcW w:w="1338" w:type="pct"/>
            <w:vMerge w:val="continue"/>
            <w:vAlign w:val="center"/>
          </w:tcPr>
          <w:p>
            <w:pPr>
              <w:widowControl/>
              <w:spacing w:line="240" w:lineRule="auto"/>
              <w:ind w:left="0" w:leftChars="0" w:right="0" w:rightChars="0" w:firstLine="0" w:firstLineChars="0"/>
              <w:jc w:val="center"/>
              <w:rPr>
                <w:rFonts w:ascii="宋体" w:hAnsi="宋体" w:cs="宋体"/>
                <w:b/>
                <w:bCs/>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blHeader/>
          <w:jc w:val="center"/>
        </w:trPr>
        <w:tc>
          <w:tcPr>
            <w:tcW w:w="495" w:type="pct"/>
            <w:vMerge w:val="continue"/>
            <w:vAlign w:val="center"/>
          </w:tcPr>
          <w:p>
            <w:pPr>
              <w:widowControl/>
              <w:spacing w:line="240" w:lineRule="auto"/>
              <w:ind w:left="0" w:leftChars="0" w:right="0" w:rightChars="0" w:firstLine="0" w:firstLineChars="0"/>
              <w:jc w:val="center"/>
              <w:rPr>
                <w:rFonts w:ascii="宋体" w:hAnsi="宋体" w:cs="宋体"/>
                <w:b/>
                <w:bCs/>
                <w:color w:val="000000"/>
                <w:kern w:val="0"/>
                <w:szCs w:val="24"/>
              </w:rPr>
            </w:pPr>
          </w:p>
        </w:tc>
        <w:tc>
          <w:tcPr>
            <w:tcW w:w="750" w:type="pct"/>
            <w:vMerge w:val="continue"/>
            <w:vAlign w:val="center"/>
          </w:tcPr>
          <w:p>
            <w:pPr>
              <w:widowControl/>
              <w:spacing w:line="240" w:lineRule="auto"/>
              <w:ind w:left="0" w:leftChars="0" w:right="0" w:rightChars="0" w:firstLine="0" w:firstLineChars="0"/>
              <w:jc w:val="center"/>
              <w:rPr>
                <w:rFonts w:ascii="宋体" w:hAnsi="宋体" w:cs="宋体"/>
                <w:b/>
                <w:bCs/>
                <w:color w:val="000000"/>
                <w:kern w:val="0"/>
                <w:szCs w:val="24"/>
              </w:rPr>
            </w:pPr>
          </w:p>
        </w:tc>
        <w:tc>
          <w:tcPr>
            <w:tcW w:w="2416" w:type="pct"/>
            <w:vMerge w:val="continue"/>
            <w:vAlign w:val="center"/>
          </w:tcPr>
          <w:p>
            <w:pPr>
              <w:widowControl/>
              <w:spacing w:line="240" w:lineRule="auto"/>
              <w:ind w:left="0" w:leftChars="0" w:right="0" w:rightChars="0" w:firstLine="0" w:firstLineChars="0"/>
              <w:jc w:val="center"/>
              <w:rPr>
                <w:rFonts w:ascii="宋体" w:hAnsi="宋体" w:cs="宋体"/>
                <w:b/>
                <w:bCs/>
                <w:color w:val="000000"/>
                <w:kern w:val="0"/>
                <w:szCs w:val="24"/>
              </w:rPr>
            </w:pPr>
          </w:p>
        </w:tc>
        <w:tc>
          <w:tcPr>
            <w:tcW w:w="1338" w:type="pct"/>
            <w:vMerge w:val="continue"/>
            <w:vAlign w:val="center"/>
          </w:tcPr>
          <w:p>
            <w:pPr>
              <w:widowControl/>
              <w:spacing w:line="240" w:lineRule="auto"/>
              <w:ind w:left="0" w:leftChars="0" w:right="0" w:rightChars="0" w:firstLine="0" w:firstLineChars="0"/>
              <w:jc w:val="center"/>
              <w:rPr>
                <w:rFonts w:ascii="宋体" w:hAnsi="宋体" w:cs="宋体"/>
                <w:b/>
                <w:bCs/>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w:t>
            </w:r>
          </w:p>
        </w:tc>
        <w:tc>
          <w:tcPr>
            <w:tcW w:w="750" w:type="pct"/>
            <w:vMerge w:val="restar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市城区</w:t>
            </w: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汕尾市绿源新型建材有限公司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汕尾市中稳混凝土有限公司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3</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汕尾市顺丰达建材有限公司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4</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汕尾市兴业混凝土搅拌有限公司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5</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汕尾市富丽混凝土搅拌有限公司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6</w:t>
            </w:r>
          </w:p>
        </w:tc>
        <w:tc>
          <w:tcPr>
            <w:tcW w:w="750" w:type="pct"/>
            <w:vMerge w:val="restar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陆丰市</w:t>
            </w: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陆丰市忠建实业有限公司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7</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陆丰市吉泓源混凝土有限公司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8</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汕尾市鸿顺混凝土有限公司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9</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陆丰市恒业混凝土有限公司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10</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陆丰市实兴建材有限公司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11</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陆丰市富成源混凝土有限公司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12</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陆丰市伟创混凝土有限公司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13</w:t>
            </w:r>
          </w:p>
        </w:tc>
        <w:tc>
          <w:tcPr>
            <w:tcW w:w="750" w:type="pct"/>
            <w:vMerge w:val="restar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海丰县</w:t>
            </w: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海丰县恒盛投资有限公司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14</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汕尾市海丰建嘉混凝土搅拌有限公司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15</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海丰县广富混凝土有限公司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16</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海丰县广建混凝土有限公司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17</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海丰县跃兴混凝土有限公司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18</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海丰富丽混凝土搅拌有限公司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19</w:t>
            </w:r>
          </w:p>
        </w:tc>
        <w:tc>
          <w:tcPr>
            <w:tcW w:w="750" w:type="pct"/>
            <w:vMerge w:val="restar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陆河县</w:t>
            </w: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陆河县恒锋混凝土有限公司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20</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陆河县塔牌混凝土有限公司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21</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陆河县新华通混凝土有限公司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22</w:t>
            </w:r>
          </w:p>
        </w:tc>
        <w:tc>
          <w:tcPr>
            <w:tcW w:w="750"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陆河县泰安混凝土有限公司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23</w:t>
            </w:r>
          </w:p>
        </w:tc>
        <w:tc>
          <w:tcPr>
            <w:tcW w:w="750"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汕尾新区</w:t>
            </w: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汕尾市冠绿实业有限公司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5"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24</w:t>
            </w:r>
          </w:p>
        </w:tc>
        <w:tc>
          <w:tcPr>
            <w:tcW w:w="750"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红海湾经济开发区</w:t>
            </w:r>
          </w:p>
        </w:tc>
        <w:tc>
          <w:tcPr>
            <w:tcW w:w="2416"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汕尾市红海湾佳龙混凝土有限公司</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kern w:val="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2" w:type="pct"/>
            <w:gridSpan w:val="3"/>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合计</w:t>
            </w:r>
          </w:p>
        </w:tc>
        <w:tc>
          <w:tcPr>
            <w:tcW w:w="133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1726</w:t>
            </w:r>
          </w:p>
        </w:tc>
      </w:tr>
    </w:tbl>
    <w:p>
      <w:pPr>
        <w:ind w:left="0" w:leftChars="0" w:right="0" w:rightChars="0" w:firstLine="0" w:firstLineChars="0"/>
        <w:rPr>
          <w:szCs w:val="24"/>
        </w:rPr>
      </w:pPr>
    </w:p>
    <w:p>
      <w:pPr>
        <w:pStyle w:val="102"/>
        <w:numPr>
          <w:ilvl w:val="0"/>
          <w:numId w:val="21"/>
        </w:numPr>
        <w:ind w:leftChars="0" w:right="0" w:rightChars="0" w:firstLineChars="0"/>
        <w:jc w:val="center"/>
        <w:rPr>
          <w:b/>
          <w:sz w:val="22"/>
          <w:szCs w:val="22"/>
        </w:rPr>
      </w:pPr>
      <w:r>
        <w:rPr>
          <w:b/>
          <w:sz w:val="22"/>
          <w:szCs w:val="22"/>
        </w:rPr>
        <w:t>汕尾市现状预拌</w:t>
      </w:r>
      <w:r>
        <w:rPr>
          <w:rFonts w:hint="eastAsia"/>
          <w:b/>
          <w:sz w:val="22"/>
          <w:szCs w:val="22"/>
        </w:rPr>
        <w:t>砂浆</w:t>
      </w:r>
      <w:r>
        <w:rPr>
          <w:b/>
          <w:sz w:val="22"/>
          <w:szCs w:val="22"/>
        </w:rPr>
        <w:t>生产企业一览表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310"/>
        <w:gridCol w:w="4219"/>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498" w:type="pct"/>
            <w:shd w:val="clear" w:color="auto" w:fill="auto"/>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序号</w:t>
            </w:r>
          </w:p>
        </w:tc>
        <w:tc>
          <w:tcPr>
            <w:tcW w:w="751" w:type="pct"/>
            <w:shd w:val="clear" w:color="auto" w:fill="auto"/>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县（市、区）</w:t>
            </w:r>
          </w:p>
        </w:tc>
        <w:tc>
          <w:tcPr>
            <w:tcW w:w="2419" w:type="pct"/>
            <w:shd w:val="clear" w:color="auto" w:fill="auto"/>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企业名称</w:t>
            </w:r>
          </w:p>
        </w:tc>
        <w:tc>
          <w:tcPr>
            <w:tcW w:w="1332" w:type="pct"/>
            <w:shd w:val="clear" w:color="auto" w:fill="auto"/>
            <w:vAlign w:val="center"/>
          </w:tcPr>
          <w:p>
            <w:pPr>
              <w:widowControl/>
              <w:spacing w:line="240" w:lineRule="auto"/>
              <w:ind w:left="0" w:leftChars="0" w:right="0" w:rightChars="0" w:firstLine="0" w:firstLineChars="0"/>
              <w:jc w:val="center"/>
              <w:rPr>
                <w:rFonts w:ascii="宋体" w:hAnsi="宋体" w:cs="宋体"/>
                <w:b/>
                <w:bCs/>
                <w:color w:val="000000"/>
                <w:kern w:val="0"/>
                <w:szCs w:val="24"/>
              </w:rPr>
            </w:pPr>
            <w:r>
              <w:rPr>
                <w:rFonts w:hint="eastAsia" w:ascii="宋体" w:hAnsi="宋体" w:cs="宋体"/>
                <w:b/>
                <w:bCs/>
                <w:color w:val="000000"/>
                <w:kern w:val="0"/>
                <w:szCs w:val="24"/>
              </w:rPr>
              <w:t>预拌砂浆年设计生产能力（万吨）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w:t>
            </w:r>
          </w:p>
        </w:tc>
        <w:tc>
          <w:tcPr>
            <w:tcW w:w="751"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市城区</w:t>
            </w:r>
          </w:p>
        </w:tc>
        <w:tc>
          <w:tcPr>
            <w:tcW w:w="2419" w:type="pct"/>
            <w:shd w:val="clear" w:color="auto" w:fill="auto"/>
            <w:vAlign w:val="center"/>
          </w:tcPr>
          <w:p>
            <w:pPr>
              <w:widowControl/>
              <w:spacing w:line="240" w:lineRule="auto"/>
              <w:ind w:left="0" w:leftChars="0" w:right="0" w:rightChars="0" w:firstLine="0" w:firstLineChars="0"/>
              <w:jc w:val="center"/>
              <w:rPr>
                <w:rFonts w:ascii="宋体" w:hAnsi="宋体" w:cs="宋体"/>
                <w:kern w:val="0"/>
                <w:szCs w:val="24"/>
              </w:rPr>
            </w:pPr>
            <w:r>
              <w:rPr>
                <w:rFonts w:hint="eastAsia" w:ascii="宋体" w:hAnsi="宋体" w:cs="宋体"/>
                <w:color w:val="000000"/>
                <w:kern w:val="0"/>
                <w:szCs w:val="24"/>
              </w:rPr>
              <w:t>汕尾中正砂浆环保材料有限公司</w:t>
            </w:r>
          </w:p>
        </w:tc>
        <w:tc>
          <w:tcPr>
            <w:tcW w:w="1332"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w:t>
            </w:r>
          </w:p>
        </w:tc>
        <w:tc>
          <w:tcPr>
            <w:tcW w:w="751" w:type="pct"/>
            <w:vMerge w:val="restar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海丰县</w:t>
            </w:r>
          </w:p>
        </w:tc>
        <w:tc>
          <w:tcPr>
            <w:tcW w:w="2419"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kern w:val="0"/>
                <w:szCs w:val="24"/>
              </w:rPr>
              <w:t>海丰和诚搅拌砂浆环保材料有限公司</w:t>
            </w:r>
          </w:p>
        </w:tc>
        <w:tc>
          <w:tcPr>
            <w:tcW w:w="1332"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8"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3</w:t>
            </w:r>
          </w:p>
        </w:tc>
        <w:tc>
          <w:tcPr>
            <w:tcW w:w="751" w:type="pct"/>
            <w:vMerge w:val="continue"/>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2419"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广东华润峰新材料有限公司</w:t>
            </w:r>
          </w:p>
        </w:tc>
        <w:tc>
          <w:tcPr>
            <w:tcW w:w="1332"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668" w:type="pct"/>
            <w:gridSpan w:val="3"/>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合计</w:t>
            </w:r>
          </w:p>
        </w:tc>
        <w:tc>
          <w:tcPr>
            <w:tcW w:w="1332" w:type="pct"/>
            <w:shd w:val="clear" w:color="auto" w:fill="auto"/>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62</w:t>
            </w:r>
          </w:p>
        </w:tc>
      </w:tr>
    </w:tbl>
    <w:p>
      <w:pPr>
        <w:ind w:left="0" w:leftChars="0" w:right="0" w:rightChars="0" w:firstLine="0" w:firstLineChars="0"/>
        <w:rPr>
          <w:szCs w:val="24"/>
        </w:rPr>
      </w:pPr>
    </w:p>
    <w:p>
      <w:pPr>
        <w:pStyle w:val="102"/>
        <w:numPr>
          <w:ilvl w:val="0"/>
          <w:numId w:val="21"/>
        </w:numPr>
        <w:ind w:leftChars="0" w:right="0" w:rightChars="0" w:firstLineChars="0"/>
        <w:jc w:val="center"/>
        <w:rPr>
          <w:b/>
          <w:sz w:val="22"/>
          <w:szCs w:val="22"/>
        </w:rPr>
      </w:pPr>
      <w:bookmarkStart w:id="35" w:name="_Toc82007580"/>
      <w:r>
        <w:rPr>
          <w:rFonts w:hint="eastAsia"/>
          <w:b/>
          <w:sz w:val="22"/>
          <w:szCs w:val="22"/>
        </w:rPr>
        <w:t>汕尾市新型墙体材料生产企业一览表</w:t>
      </w:r>
      <w:bookmarkEnd w:id="35"/>
    </w:p>
    <w:tbl>
      <w:tblPr>
        <w:tblStyle w:val="39"/>
        <w:tblW w:w="5018"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310"/>
        <w:gridCol w:w="2617"/>
        <w:gridCol w:w="2051"/>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blHeader/>
        </w:trPr>
        <w:tc>
          <w:tcPr>
            <w:tcW w:w="423"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b/>
                <w:bCs/>
                <w:color w:val="000000"/>
                <w:kern w:val="0"/>
                <w:szCs w:val="24"/>
              </w:rPr>
            </w:pPr>
            <w:r>
              <w:rPr>
                <w:rFonts w:hint="eastAsia" w:cs="宋体" w:asciiTheme="minorEastAsia" w:hAnsiTheme="minorEastAsia" w:eastAsiaTheme="minorEastAsia"/>
                <w:b/>
                <w:bCs/>
                <w:color w:val="000000"/>
                <w:kern w:val="0"/>
                <w:szCs w:val="24"/>
              </w:rPr>
              <w:t>序号</w:t>
            </w:r>
          </w:p>
        </w:tc>
        <w:tc>
          <w:tcPr>
            <w:tcW w:w="748"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b/>
                <w:bCs/>
                <w:color w:val="000000"/>
                <w:kern w:val="0"/>
                <w:szCs w:val="24"/>
              </w:rPr>
            </w:pPr>
            <w:r>
              <w:rPr>
                <w:rFonts w:hint="eastAsia" w:ascii="宋体" w:hAnsi="宋体" w:cs="宋体"/>
                <w:b/>
                <w:color w:val="000000"/>
                <w:kern w:val="0"/>
                <w:szCs w:val="24"/>
              </w:rPr>
              <w:t>县（市、区）</w:t>
            </w:r>
          </w:p>
        </w:tc>
        <w:tc>
          <w:tcPr>
            <w:tcW w:w="1495"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b/>
                <w:bCs/>
                <w:color w:val="000000"/>
                <w:kern w:val="0"/>
                <w:szCs w:val="24"/>
              </w:rPr>
            </w:pPr>
            <w:r>
              <w:rPr>
                <w:rFonts w:hint="eastAsia" w:cs="宋体" w:asciiTheme="minorEastAsia" w:hAnsiTheme="minorEastAsia" w:eastAsiaTheme="minorEastAsia"/>
                <w:b/>
                <w:bCs/>
                <w:color w:val="000000"/>
                <w:kern w:val="0"/>
                <w:szCs w:val="24"/>
              </w:rPr>
              <w:t>企业名称</w:t>
            </w:r>
          </w:p>
        </w:tc>
        <w:tc>
          <w:tcPr>
            <w:tcW w:w="1172"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b/>
                <w:bCs/>
                <w:color w:val="000000"/>
                <w:kern w:val="0"/>
                <w:szCs w:val="24"/>
              </w:rPr>
            </w:pPr>
            <w:r>
              <w:rPr>
                <w:rFonts w:hint="eastAsia" w:cs="宋体" w:asciiTheme="minorEastAsia" w:hAnsiTheme="minorEastAsia" w:eastAsiaTheme="minorEastAsia"/>
                <w:b/>
                <w:bCs/>
                <w:color w:val="000000"/>
                <w:kern w:val="0"/>
                <w:szCs w:val="24"/>
              </w:rPr>
              <w:t>年生产能力（万</w:t>
            </w:r>
            <w:r>
              <w:rPr>
                <w:rFonts w:hint="eastAsia" w:ascii="宋体" w:hAnsi="宋体" w:cs="宋体"/>
                <w:b/>
                <w:bCs/>
                <w:color w:val="000000"/>
                <w:kern w:val="0"/>
                <w:szCs w:val="24"/>
              </w:rPr>
              <w:t>m</w:t>
            </w:r>
            <w:r>
              <w:rPr>
                <w:rFonts w:hint="eastAsia" w:ascii="宋体" w:hAnsi="宋体" w:cs="宋体"/>
                <w:b/>
                <w:bCs/>
                <w:color w:val="000000"/>
                <w:kern w:val="0"/>
                <w:szCs w:val="24"/>
                <w:vertAlign w:val="superscript"/>
              </w:rPr>
              <w:t>3</w:t>
            </w:r>
            <w:r>
              <w:rPr>
                <w:rFonts w:hint="eastAsia" w:cs="宋体" w:asciiTheme="minorEastAsia" w:hAnsiTheme="minorEastAsia" w:eastAsiaTheme="minorEastAsia"/>
                <w:b/>
                <w:bCs/>
                <w:color w:val="000000"/>
                <w:kern w:val="0"/>
                <w:szCs w:val="24"/>
              </w:rPr>
              <w:t>）</w:t>
            </w:r>
          </w:p>
        </w:tc>
        <w:tc>
          <w:tcPr>
            <w:tcW w:w="1162"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b/>
                <w:bCs/>
                <w:color w:val="000000"/>
                <w:kern w:val="0"/>
                <w:szCs w:val="24"/>
              </w:rPr>
            </w:pPr>
            <w:r>
              <w:rPr>
                <w:rFonts w:hint="eastAsia" w:cs="宋体" w:asciiTheme="minorEastAsia" w:hAnsiTheme="minorEastAsia" w:eastAsiaTheme="minorEastAsia"/>
                <w:b/>
                <w:bCs/>
                <w:color w:val="000000"/>
                <w:kern w:val="0"/>
                <w:szCs w:val="24"/>
              </w:rPr>
              <w:t>墙体材料名称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423"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1</w:t>
            </w:r>
          </w:p>
        </w:tc>
        <w:tc>
          <w:tcPr>
            <w:tcW w:w="748"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市城区</w:t>
            </w:r>
          </w:p>
        </w:tc>
        <w:tc>
          <w:tcPr>
            <w:tcW w:w="1495"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汕尾市仁裕轻质砖厂有限公司</w:t>
            </w:r>
          </w:p>
        </w:tc>
        <w:tc>
          <w:tcPr>
            <w:tcW w:w="1172"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15</w:t>
            </w:r>
          </w:p>
        </w:tc>
        <w:tc>
          <w:tcPr>
            <w:tcW w:w="1162"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蒸压加气混凝土砌块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423"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2</w:t>
            </w:r>
          </w:p>
        </w:tc>
        <w:tc>
          <w:tcPr>
            <w:tcW w:w="748" w:type="pct"/>
            <w:vMerge w:val="restar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海丰县</w:t>
            </w:r>
          </w:p>
        </w:tc>
        <w:tc>
          <w:tcPr>
            <w:tcW w:w="1495"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海丰县鸿发新型建筑材料有限公司</w:t>
            </w:r>
          </w:p>
        </w:tc>
        <w:tc>
          <w:tcPr>
            <w:tcW w:w="1172"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3.7</w:t>
            </w:r>
          </w:p>
        </w:tc>
        <w:tc>
          <w:tcPr>
            <w:tcW w:w="1162"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蒸压粉煤灰砖、蒸压灰砂砖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423"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3</w:t>
            </w:r>
          </w:p>
        </w:tc>
        <w:tc>
          <w:tcPr>
            <w:tcW w:w="748" w:type="pct"/>
            <w:vMerge w:val="continue"/>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p>
        </w:tc>
        <w:tc>
          <w:tcPr>
            <w:tcW w:w="1495"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汕尾市创汇新型建材有限公司</w:t>
            </w:r>
          </w:p>
        </w:tc>
        <w:tc>
          <w:tcPr>
            <w:tcW w:w="1172"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30</w:t>
            </w:r>
          </w:p>
        </w:tc>
        <w:tc>
          <w:tcPr>
            <w:tcW w:w="1162"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蒸压加气混凝土砌块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423"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4</w:t>
            </w:r>
          </w:p>
        </w:tc>
        <w:tc>
          <w:tcPr>
            <w:tcW w:w="748"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ascii="宋体" w:hAnsi="宋体" w:cs="宋体"/>
                <w:color w:val="000000"/>
                <w:kern w:val="0"/>
                <w:szCs w:val="24"/>
              </w:rPr>
              <w:t>红海湾经济开发区</w:t>
            </w:r>
          </w:p>
        </w:tc>
        <w:tc>
          <w:tcPr>
            <w:tcW w:w="1495"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汕尾市广汇新型建筑材料科技有限公司</w:t>
            </w:r>
          </w:p>
        </w:tc>
        <w:tc>
          <w:tcPr>
            <w:tcW w:w="1172"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30</w:t>
            </w:r>
          </w:p>
        </w:tc>
        <w:tc>
          <w:tcPr>
            <w:tcW w:w="1162"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蒸压加气混凝土砌块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666" w:type="pct"/>
            <w:gridSpan w:val="3"/>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合计</w:t>
            </w:r>
          </w:p>
        </w:tc>
        <w:tc>
          <w:tcPr>
            <w:tcW w:w="1172" w:type="pct"/>
            <w:shd w:val="clear" w:color="auto" w:fill="auto"/>
            <w:noWrap/>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7</w:t>
            </w:r>
            <w:r>
              <w:rPr>
                <w:rFonts w:cs="宋体" w:asciiTheme="minorEastAsia" w:hAnsiTheme="minorEastAsia" w:eastAsiaTheme="minorEastAsia"/>
                <w:color w:val="000000"/>
                <w:kern w:val="0"/>
                <w:szCs w:val="24"/>
              </w:rPr>
              <w:t>8.7</w:t>
            </w:r>
          </w:p>
        </w:tc>
        <w:tc>
          <w:tcPr>
            <w:tcW w:w="1162"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w:t>
            </w:r>
            <w:r>
              <w:rPr>
                <w:rFonts w:cs="宋体" w:asciiTheme="minorEastAsia" w:hAnsiTheme="minorEastAsia" w:eastAsiaTheme="minorEastAsia"/>
                <w:color w:val="000000"/>
                <w:kern w:val="0"/>
                <w:szCs w:val="24"/>
              </w:rPr>
              <w:t>-</w:t>
            </w:r>
          </w:p>
        </w:tc>
      </w:tr>
    </w:tbl>
    <w:p>
      <w:pPr>
        <w:ind w:left="0" w:leftChars="0" w:right="0" w:rightChars="0" w:firstLine="0" w:firstLineChars="0"/>
        <w:rPr>
          <w:szCs w:val="24"/>
        </w:rPr>
      </w:pPr>
    </w:p>
    <w:p>
      <w:pPr>
        <w:pStyle w:val="3"/>
        <w:numPr>
          <w:ilvl w:val="1"/>
          <w:numId w:val="12"/>
        </w:numPr>
        <w:spacing w:line="360" w:lineRule="auto"/>
        <w:ind w:left="0" w:leftChars="0" w:right="-84" w:rightChars="-35" w:firstLine="0" w:firstLineChars="0"/>
        <w:rPr>
          <w:rFonts w:ascii="黑体" w:hAnsi="黑体"/>
          <w:szCs w:val="30"/>
        </w:rPr>
      </w:pPr>
      <w:bookmarkStart w:id="36" w:name="_Toc117875452"/>
      <w:r>
        <w:rPr>
          <w:rFonts w:hint="eastAsia" w:ascii="黑体" w:hAnsi="黑体"/>
          <w:szCs w:val="30"/>
        </w:rPr>
        <w:t>发展形势</w:t>
      </w:r>
      <w:bookmarkEnd w:id="36"/>
    </w:p>
    <w:p>
      <w:pPr>
        <w:pStyle w:val="4"/>
        <w:numPr>
          <w:ilvl w:val="2"/>
          <w:numId w:val="23"/>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城乡建设绿色发展带来新机遇</w:t>
      </w:r>
    </w:p>
    <w:p>
      <w:pPr>
        <w:ind w:left="0" w:leftChars="0" w:right="0" w:rightChars="0" w:firstLine="480"/>
        <w:rPr>
          <w:szCs w:val="24"/>
        </w:rPr>
      </w:pPr>
      <w:r>
        <w:rPr>
          <w:rFonts w:hint="eastAsia"/>
          <w:szCs w:val="24"/>
        </w:rPr>
        <w:t>随着我国城镇化进程的推进，城市发展逐步由增量扩张进入存量优化阶段，由追求发展速度和规模转变为更多的追求质量和效益。2015年8月，工信部和住建部联合出台了《促进绿色建材生产和应用行动方案》，要求以新型工业化、城镇化等需求为牵引，以促进绿色生产和绿色消费为主要目的，以绿色建材生产和应用突出问题为导向，实现建材工业和建筑业稳增长、调结构、转方式和可持续发展。2020年7月，住建部等13部门联合出台了《关于推动智能建造与建筑工业化协同发展的指导意见》在“积极推行绿色建造”中提出要“实行工程建设项目全生命周期内的绿色建造，以节约资源、保护环境为核心，通过智能建造与</w:t>
      </w:r>
      <w:r>
        <w:rPr>
          <w:rFonts w:hint="eastAsia" w:asciiTheme="minorEastAsia" w:hAnsiTheme="minorEastAsia" w:eastAsiaTheme="minorEastAsia" w:cstheme="minorEastAsia"/>
        </w:rPr>
        <w:t>新型</w:t>
      </w:r>
      <w:r>
        <w:rPr>
          <w:rFonts w:hint="eastAsia"/>
          <w:szCs w:val="24"/>
        </w:rPr>
        <w:t>建筑工业化协同发展，提高资源利用效率，减少建筑垃圾的产生，大幅降低能耗、物耗和水耗水平”。城乡建设要坚持生态优先、绿色发展的高质量发展新路，绿色建筑在环境保护和资源综合利用方面扮演越来越重要的角色。</w:t>
      </w:r>
    </w:p>
    <w:p>
      <w:pPr>
        <w:pStyle w:val="4"/>
        <w:numPr>
          <w:ilvl w:val="2"/>
          <w:numId w:val="23"/>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广东</w:t>
      </w:r>
      <w:r>
        <w:rPr>
          <w:rFonts w:ascii="黑体" w:hAnsi="黑体" w:eastAsia="黑体"/>
          <w:sz w:val="28"/>
          <w:szCs w:val="28"/>
        </w:rPr>
        <w:t>大力发展</w:t>
      </w:r>
      <w:r>
        <w:rPr>
          <w:rFonts w:hint="eastAsia" w:ascii="黑体" w:hAnsi="黑体" w:eastAsia="黑体"/>
          <w:sz w:val="28"/>
          <w:szCs w:val="28"/>
        </w:rPr>
        <w:t>推进</w:t>
      </w:r>
      <w:r>
        <w:rPr>
          <w:rFonts w:ascii="黑体" w:hAnsi="黑体" w:eastAsia="黑体"/>
          <w:sz w:val="28"/>
          <w:szCs w:val="28"/>
        </w:rPr>
        <w:t>绿色建筑</w:t>
      </w:r>
      <w:r>
        <w:rPr>
          <w:rFonts w:hint="eastAsia" w:ascii="黑体" w:hAnsi="黑体" w:eastAsia="黑体"/>
          <w:sz w:val="28"/>
          <w:szCs w:val="28"/>
        </w:rPr>
        <w:t>发展</w:t>
      </w:r>
    </w:p>
    <w:p>
      <w:pPr>
        <w:ind w:left="0" w:leftChars="0" w:right="0" w:rightChars="0" w:firstLine="480"/>
        <w:rPr>
          <w:szCs w:val="24"/>
        </w:rPr>
      </w:pPr>
      <w:r>
        <w:rPr>
          <w:rFonts w:hint="eastAsia"/>
          <w:szCs w:val="24"/>
        </w:rPr>
        <w:t>近年来，广东省建筑领域节能水平稳步提高。城镇新建节能建筑面积9.5亿m</w:t>
      </w:r>
      <w:r>
        <w:rPr>
          <w:szCs w:val="24"/>
          <w:vertAlign w:val="superscript"/>
        </w:rPr>
        <w:t>2</w:t>
      </w:r>
      <w:r>
        <w:rPr>
          <w:rFonts w:hint="eastAsia"/>
          <w:szCs w:val="24"/>
        </w:rPr>
        <w:t>，完成既有建筑节能改造面积超过2500万m</w:t>
      </w:r>
      <w:r>
        <w:rPr>
          <w:szCs w:val="24"/>
          <w:vertAlign w:val="superscript"/>
        </w:rPr>
        <w:t>2</w:t>
      </w:r>
      <w:r>
        <w:rPr>
          <w:rFonts w:hint="eastAsia"/>
          <w:szCs w:val="24"/>
        </w:rPr>
        <w:t>，绿色建筑总面积超过5亿m</w:t>
      </w:r>
      <w:r>
        <w:rPr>
          <w:szCs w:val="24"/>
          <w:vertAlign w:val="superscript"/>
        </w:rPr>
        <w:t>2</w:t>
      </w:r>
      <w:r>
        <w:rPr>
          <w:rFonts w:hint="eastAsia"/>
          <w:szCs w:val="24"/>
        </w:rPr>
        <w:t>，2021年城镇新增绿色建筑面积占新建建筑面积比例达到73%。全国绿色建筑面积累计为59.84亿m</w:t>
      </w:r>
      <w:r>
        <w:rPr>
          <w:szCs w:val="24"/>
          <w:vertAlign w:val="superscript"/>
        </w:rPr>
        <w:t>2</w:t>
      </w:r>
      <w:r>
        <w:rPr>
          <w:rFonts w:hint="eastAsia"/>
          <w:szCs w:val="24"/>
        </w:rPr>
        <w:t>，其中广东是绿色建筑面积排名第二的省份。广东作为经济大省，</w:t>
      </w:r>
      <w:r>
        <w:rPr>
          <w:szCs w:val="24"/>
        </w:rPr>
        <w:t>不断加快绿色建筑、装配式建筑及超低能耗建筑</w:t>
      </w:r>
      <w:r>
        <w:rPr>
          <w:rFonts w:hint="eastAsia"/>
          <w:szCs w:val="24"/>
        </w:rPr>
        <w:t>的</w:t>
      </w:r>
      <w:r>
        <w:rPr>
          <w:szCs w:val="24"/>
        </w:rPr>
        <w:t>推广步伐，在政策制定、标准规范等方面取得了显著进展。</w:t>
      </w:r>
    </w:p>
    <w:p>
      <w:pPr>
        <w:ind w:left="0" w:leftChars="0" w:right="0" w:rightChars="0" w:firstLine="480"/>
        <w:rPr>
          <w:szCs w:val="24"/>
        </w:rPr>
      </w:pPr>
      <w:r>
        <w:rPr>
          <w:rFonts w:hint="eastAsia"/>
          <w:szCs w:val="24"/>
        </w:rPr>
        <w:t>2</w:t>
      </w:r>
      <w:r>
        <w:rPr>
          <w:szCs w:val="24"/>
        </w:rPr>
        <w:t>021</w:t>
      </w:r>
      <w:r>
        <w:rPr>
          <w:rFonts w:hint="eastAsia"/>
          <w:szCs w:val="24"/>
        </w:rPr>
        <w:t>年1月1日，《广东省绿色建筑条例》正式出台施行，为广东省全面推行绿色建筑，建立健全绿色建筑全寿命期监管体制机制提供法治保障。广东省各级住房城乡建设主管部门就按照《绿色建筑创建行动实施方案》的有关要求，已全面开展绿色建筑创建行动。广东省住房和城乡建设厅印发的《广东省建筑节能与绿色建筑发展“十四五”规划》，提出“十四五”总目标，到2025年，建筑能源利用效率稳步提升，建筑能耗和碳排放增长趋势得到有效控制，绿色建筑全面建设。广东省鼓励各地市根据自身实际情况和具体特点，推行具有地方特色的技术标准。如广州编制《岭南特色超低能耗建筑技术指南》等设计指引，强化设计引领。惠州、东莞印发绿色建筑设计、施工图审查、验收各环节工作要点和指南，实现全流程闭环管理。</w:t>
      </w:r>
    </w:p>
    <w:p>
      <w:pPr>
        <w:pStyle w:val="4"/>
        <w:numPr>
          <w:ilvl w:val="2"/>
          <w:numId w:val="23"/>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汕尾市处于高质量发展阶段</w:t>
      </w:r>
    </w:p>
    <w:p>
      <w:pPr>
        <w:ind w:left="0" w:leftChars="0" w:right="0" w:rightChars="0" w:firstLine="480"/>
        <w:rPr>
          <w:szCs w:val="24"/>
        </w:rPr>
      </w:pPr>
      <w:r>
        <w:t>经过</w:t>
      </w:r>
      <w:r>
        <w:rPr>
          <w:rFonts w:hint="eastAsia"/>
        </w:rPr>
        <w:t>“</w:t>
      </w:r>
      <w:r>
        <w:t>十三五</w:t>
      </w:r>
      <w:r>
        <w:rPr>
          <w:rFonts w:hint="eastAsia"/>
        </w:rPr>
        <w:t>”</w:t>
      </w:r>
      <w:r>
        <w:t>时期的发展，</w:t>
      </w:r>
      <w:r>
        <w:rPr>
          <w:rFonts w:hint="eastAsia"/>
        </w:rPr>
        <w:t>汕尾</w:t>
      </w:r>
      <w:r>
        <w:t>市综合实力和核心竞争力明显提升，经济规模跨越千亿大关。</w:t>
      </w:r>
      <w:r>
        <w:rPr>
          <w:rFonts w:hint="eastAsia"/>
        </w:rPr>
        <w:t>目前汕尾</w:t>
      </w:r>
      <w:r>
        <w:t>市经济社会发展面临新形势。一方面，发展潜力巨大，汕尾毗邻</w:t>
      </w:r>
      <w:r>
        <w:rPr>
          <w:rFonts w:hint="eastAsia"/>
        </w:rPr>
        <w:t>“</w:t>
      </w:r>
      <w:r>
        <w:t>双区</w:t>
      </w:r>
      <w:r>
        <w:rPr>
          <w:rFonts w:hint="eastAsia"/>
        </w:rPr>
        <w:t>”</w:t>
      </w:r>
      <w:r>
        <w:t>，是</w:t>
      </w:r>
      <w:r>
        <w:rPr>
          <w:rFonts w:hint="eastAsia"/>
        </w:rPr>
        <w:t>广东</w:t>
      </w:r>
      <w:r>
        <w:t>省东翼沿海经济带重要战略支点，东承西接的区位优势日益凸显，革命老区扶持政策、深圳都市圈规划建设及深圳全面对口帮扶汕尾、潮汕揭都市圈建设等多重政策利好叠加，为汕尾高质量发展注入了强大动力。另一方面与省内发达城市仍有较大差距</w:t>
      </w:r>
      <w:r>
        <w:rPr>
          <w:rFonts w:hint="eastAsia"/>
        </w:rPr>
        <w:t>，</w:t>
      </w:r>
      <w:r>
        <w:t>自身发展还面临不少突出问题和挑战</w:t>
      </w:r>
      <w:r>
        <w:rPr>
          <w:rFonts w:hint="eastAsia"/>
        </w:rPr>
        <w:t>，</w:t>
      </w:r>
      <w:r>
        <w:t>发展基础薄弱，急需提升经济规模与发展质量。目前</w:t>
      </w:r>
      <w:r>
        <w:rPr>
          <w:rFonts w:hint="eastAsia"/>
        </w:rPr>
        <w:t>汕尾</w:t>
      </w:r>
      <w:r>
        <w:t>市仍处于工业化起步阶段，经济体量较小，人均GDP仅为全国平均水平的一半。</w:t>
      </w:r>
    </w:p>
    <w:p>
      <w:pPr>
        <w:ind w:left="0" w:leftChars="0" w:right="0" w:rightChars="0" w:firstLine="480"/>
        <w:rPr>
          <w:szCs w:val="24"/>
        </w:rPr>
      </w:pPr>
      <w:r>
        <w:rPr>
          <w:rFonts w:hint="eastAsia"/>
        </w:rPr>
        <w:t>新时期</w:t>
      </w:r>
      <w:r>
        <w:t>，汕尾发展面临的内外环境更加错综复杂，发展机遇和风险挑战并存，但总体来看机遇大于挑战，依然是</w:t>
      </w:r>
      <w:r>
        <w:rPr>
          <w:rFonts w:hint="eastAsia"/>
        </w:rPr>
        <w:t>汕尾</w:t>
      </w:r>
      <w:r>
        <w:t>市实现跨越式发展的重要机遇期和窗口期。</w:t>
      </w:r>
      <w:r>
        <w:rPr>
          <w:rFonts w:hint="eastAsia"/>
        </w:rPr>
        <w:t>汕尾</w:t>
      </w:r>
      <w:r>
        <w:t>市经济社会发展稳中向好、长期向好的基本趋势没有改变，应对重大风险和挑战的韧性明显增强，</w:t>
      </w:r>
      <w:r>
        <w:rPr>
          <w:rFonts w:hint="eastAsia"/>
        </w:rPr>
        <w:t>“</w:t>
      </w:r>
      <w:r>
        <w:t>湾+区+带</w:t>
      </w:r>
      <w:r>
        <w:rPr>
          <w:rFonts w:hint="eastAsia"/>
        </w:rPr>
        <w:t>”</w:t>
      </w:r>
      <w:r>
        <w:t>的政策利好持续叠加。</w:t>
      </w:r>
    </w:p>
    <w:p>
      <w:pPr>
        <w:pStyle w:val="3"/>
        <w:numPr>
          <w:ilvl w:val="1"/>
          <w:numId w:val="12"/>
        </w:numPr>
        <w:spacing w:line="360" w:lineRule="auto"/>
        <w:ind w:left="0" w:leftChars="0" w:right="-84" w:rightChars="-35" w:firstLine="0" w:firstLineChars="0"/>
        <w:rPr>
          <w:rFonts w:ascii="黑体" w:hAnsi="黑体"/>
          <w:szCs w:val="30"/>
        </w:rPr>
      </w:pPr>
      <w:bookmarkStart w:id="37" w:name="_Toc117875453"/>
      <w:r>
        <w:rPr>
          <w:rFonts w:hint="eastAsia" w:ascii="黑体" w:hAnsi="黑体"/>
          <w:szCs w:val="30"/>
        </w:rPr>
        <w:t>存在问题</w:t>
      </w:r>
      <w:bookmarkEnd w:id="37"/>
    </w:p>
    <w:p>
      <w:pPr>
        <w:pStyle w:val="4"/>
        <w:numPr>
          <w:ilvl w:val="2"/>
          <w:numId w:val="24"/>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政策及产业支撑有待进一步完善</w:t>
      </w:r>
    </w:p>
    <w:p>
      <w:pPr>
        <w:ind w:left="0" w:leftChars="0" w:right="0" w:rightChars="0" w:firstLine="480"/>
      </w:pPr>
      <w:r>
        <w:rPr>
          <w:rFonts w:hint="eastAsia"/>
        </w:rPr>
        <w:t>汕尾市绿色建筑相关工作考核机制需进一步完善，绿色建筑、装配式建筑和绿色建材等政策标准有待完善。高质量发展绿色建筑缺少内在动力。同时，缺乏相关的激励政策，建设单位实施高星级运行标识绿色建筑的积极性不足。装配式建筑标准化设计、构件生产基地规模、装配式施工水平有待进一步提高。绿色建材发展缺乏相关配套政策措施，绿色建材推广应用机制尚未建立，在推广工作中缺少有力的抓手。</w:t>
      </w:r>
    </w:p>
    <w:p>
      <w:pPr>
        <w:pStyle w:val="4"/>
        <w:numPr>
          <w:ilvl w:val="2"/>
          <w:numId w:val="24"/>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市场主体发挥作用有待进一步加强</w:t>
      </w:r>
    </w:p>
    <w:p>
      <w:pPr>
        <w:ind w:left="0" w:leftChars="0" w:right="0" w:rightChars="0" w:firstLine="480"/>
      </w:pPr>
      <w:r>
        <w:rPr>
          <w:rFonts w:hint="eastAsia"/>
        </w:rPr>
        <w:t>现阶段发展绿色建筑主要依靠政府引导推广，房地产开发企业对绿色建筑的成本投入主动性不强，物业服务企业的绿色建筑运营管理能力有待加强，市场机制有待培育。部分企业将实施绿色建筑、装配式建筑视为任务、负担，在进行项目建设时仅仅是为了达到政策要求，未能实现市场需求驱动。利用市场手段推进重点耗能建筑实施既有建筑节能改造难度加大，建筑碳交易市场尚未建立。</w:t>
      </w:r>
    </w:p>
    <w:p>
      <w:pPr>
        <w:pStyle w:val="4"/>
        <w:numPr>
          <w:ilvl w:val="2"/>
          <w:numId w:val="24"/>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人民群众获得感有待进一步提升</w:t>
      </w:r>
    </w:p>
    <w:p>
      <w:pPr>
        <w:ind w:left="0" w:leftChars="0" w:right="0" w:rightChars="0" w:firstLine="480"/>
      </w:pPr>
      <w:r>
        <w:rPr>
          <w:rFonts w:hint="eastAsia"/>
        </w:rPr>
        <w:t>绿色建筑标准执行水平与质量有待提高，适应项目实际的绿色建筑技术水平有待提升。部分项目“重设计、轻运行”导致实际运行效果不尽如人意，建筑管理和使用者普遍对绿色建筑的了解认识不够，对绿色设施设备使用维护的引导、培训缺失。绿色建筑的优势未能很好发挥，装配式建筑的接受度不强。绿色建筑技术指标体系、标识监督机制还需进一步贴合使用者的感受和需求。</w:t>
      </w:r>
    </w:p>
    <w:p>
      <w:pPr>
        <w:ind w:left="0" w:leftChars="0" w:right="0" w:rightChars="0" w:firstLine="480"/>
      </w:pPr>
    </w:p>
    <w:p>
      <w:pPr>
        <w:pStyle w:val="2"/>
        <w:keepLines w:val="0"/>
        <w:pageBreakBefore/>
        <w:numPr>
          <w:ilvl w:val="0"/>
          <w:numId w:val="12"/>
        </w:numPr>
        <w:spacing w:line="360" w:lineRule="auto"/>
        <w:ind w:left="0" w:leftChars="0" w:right="0" w:rightChars="0" w:firstLine="0" w:firstLineChars="0"/>
        <w:jc w:val="center"/>
        <w:rPr>
          <w:rFonts w:ascii="黑体" w:hAnsi="黑体" w:eastAsia="黑体"/>
          <w:sz w:val="36"/>
          <w:szCs w:val="32"/>
        </w:rPr>
      </w:pPr>
      <w:bookmarkStart w:id="38" w:name="_Toc117875454"/>
      <w:bookmarkStart w:id="39" w:name="_Toc458715037"/>
      <w:bookmarkStart w:id="40" w:name="_Toc450586738"/>
      <w:bookmarkStart w:id="41" w:name="_Toc458714985"/>
      <w:r>
        <w:rPr>
          <w:rFonts w:hint="eastAsia" w:ascii="黑体" w:hAnsi="黑体" w:eastAsia="黑体"/>
          <w:sz w:val="36"/>
          <w:szCs w:val="32"/>
        </w:rPr>
        <w:t>绿色建筑发展目标</w:t>
      </w:r>
      <w:bookmarkEnd w:id="38"/>
    </w:p>
    <w:p>
      <w:pPr>
        <w:pStyle w:val="3"/>
        <w:numPr>
          <w:ilvl w:val="1"/>
          <w:numId w:val="25"/>
        </w:numPr>
        <w:spacing w:line="360" w:lineRule="auto"/>
        <w:ind w:left="0" w:leftChars="0" w:right="-84" w:rightChars="-35" w:firstLine="0" w:firstLineChars="0"/>
        <w:rPr>
          <w:rFonts w:ascii="黑体" w:hAnsi="黑体"/>
          <w:szCs w:val="30"/>
        </w:rPr>
      </w:pPr>
      <w:bookmarkStart w:id="42" w:name="_Toc117875455"/>
      <w:r>
        <w:rPr>
          <w:rFonts w:hint="eastAsia" w:ascii="黑体" w:hAnsi="黑体"/>
          <w:szCs w:val="30"/>
        </w:rPr>
        <w:t>发展定位</w:t>
      </w:r>
      <w:bookmarkEnd w:id="42"/>
    </w:p>
    <w:p>
      <w:pPr>
        <w:ind w:left="0" w:leftChars="0" w:right="0" w:rightChars="0" w:firstLine="480"/>
        <w:rPr>
          <w:szCs w:val="24"/>
        </w:rPr>
      </w:pPr>
      <w:r>
        <w:rPr>
          <w:szCs w:val="24"/>
        </w:rPr>
        <w:t>党的二十大</w:t>
      </w:r>
      <w:r>
        <w:rPr>
          <w:rFonts w:hint="eastAsia"/>
          <w:szCs w:val="24"/>
        </w:rPr>
        <w:t>作出到2</w:t>
      </w:r>
      <w:r>
        <w:rPr>
          <w:szCs w:val="24"/>
        </w:rPr>
        <w:t>035</w:t>
      </w:r>
      <w:r>
        <w:rPr>
          <w:rFonts w:hint="eastAsia"/>
          <w:szCs w:val="24"/>
        </w:rPr>
        <w:t>年我国基本实现社会主义现代化的战略安排，同时</w:t>
      </w:r>
      <w:r>
        <w:rPr>
          <w:szCs w:val="24"/>
        </w:rPr>
        <w:t>提出要</w:t>
      </w:r>
      <w:r>
        <w:rPr>
          <w:rFonts w:hint="eastAsia"/>
          <w:szCs w:val="24"/>
        </w:rPr>
        <w:t>推动绿色发展，促进人与自然和谐共生。展望2</w:t>
      </w:r>
      <w:r>
        <w:rPr>
          <w:szCs w:val="24"/>
        </w:rPr>
        <w:t>035</w:t>
      </w:r>
      <w:r>
        <w:rPr>
          <w:rFonts w:hint="eastAsia"/>
          <w:szCs w:val="24"/>
        </w:rPr>
        <w:t>年，汕尾市也将与全国、广东省同步基本实现社会主义现代化，基本建成沿海经济带的靓丽明珠。为此，汕尾市将加大生态文明建设，实现碳排放、能源消耗、水资源消耗、建设用地等总量和强度“双控”，加快构筑城乡一体的绿色生态体系；遵循“集约、智能、绿色、低碳”原则，充分考虑建设资源节约、环境友好型社会以及生态文明建设的要求，发挥绿色建筑</w:t>
      </w:r>
      <w:r>
        <w:t>发展</w:t>
      </w:r>
      <w:r>
        <w:rPr>
          <w:rFonts w:hint="eastAsia"/>
          <w:szCs w:val="24"/>
        </w:rPr>
        <w:t>专项规划在推进新型城镇化、建设汕尾市在粤东西北地区的引领作用。</w:t>
      </w:r>
    </w:p>
    <w:p>
      <w:pPr>
        <w:ind w:left="0" w:leftChars="0" w:right="0" w:rightChars="0" w:firstLine="480"/>
        <w:rPr>
          <w:szCs w:val="24"/>
        </w:rPr>
      </w:pPr>
      <w:r>
        <w:rPr>
          <w:rFonts w:hint="eastAsia"/>
          <w:szCs w:val="24"/>
        </w:rPr>
        <w:t>围绕“沿海经济带战略支点、双区山海花园、革命老区高质量发展示范区、海洋经济振兴发展示范区”的发展定位，汕尾市应当在绿色建筑和</w:t>
      </w:r>
      <w:r>
        <w:rPr>
          <w:rFonts w:hint="eastAsia" w:asciiTheme="minorEastAsia" w:hAnsiTheme="minorEastAsia" w:eastAsiaTheme="minorEastAsia" w:cstheme="minorEastAsia"/>
        </w:rPr>
        <w:t>新型</w:t>
      </w:r>
      <w:r>
        <w:rPr>
          <w:rFonts w:hint="eastAsia"/>
          <w:szCs w:val="24"/>
        </w:rPr>
        <w:t>建筑工业化领域力争走在前列，在巩固和保持汕尾市已有优势的基础上，进一步推动绿色建筑和</w:t>
      </w:r>
      <w:r>
        <w:rPr>
          <w:rFonts w:hint="eastAsia" w:asciiTheme="minorEastAsia" w:hAnsiTheme="minorEastAsia" w:eastAsiaTheme="minorEastAsia" w:cstheme="minorEastAsia"/>
        </w:rPr>
        <w:t>新型</w:t>
      </w:r>
      <w:r>
        <w:rPr>
          <w:rFonts w:hint="eastAsia"/>
          <w:szCs w:val="24"/>
        </w:rPr>
        <w:t>建筑工业化的各项工作，使得绿色建筑和</w:t>
      </w:r>
      <w:r>
        <w:rPr>
          <w:rFonts w:hint="eastAsia" w:asciiTheme="minorEastAsia" w:hAnsiTheme="minorEastAsia" w:eastAsiaTheme="minorEastAsia" w:cstheme="minorEastAsia"/>
        </w:rPr>
        <w:t>新型</w:t>
      </w:r>
      <w:r>
        <w:rPr>
          <w:rFonts w:hint="eastAsia"/>
          <w:szCs w:val="24"/>
        </w:rPr>
        <w:t>建筑工业化发展水平与社会经济水平相协调。加快实现绿色建筑和</w:t>
      </w:r>
      <w:r>
        <w:rPr>
          <w:rFonts w:hint="eastAsia" w:asciiTheme="minorEastAsia" w:hAnsiTheme="minorEastAsia" w:eastAsiaTheme="minorEastAsia" w:cstheme="minorEastAsia"/>
        </w:rPr>
        <w:t>新型</w:t>
      </w:r>
      <w:r>
        <w:rPr>
          <w:rFonts w:hint="eastAsia"/>
          <w:szCs w:val="24"/>
        </w:rPr>
        <w:t>建筑工业化的规模化发展，力争各项工作成效综合指标达到粤东西北地区领先水平，将汕尾市打造成粤东西北地区因地制宜的绿色建筑体系建设示范城市、现代品质城市绿色建筑量质提升发展标杆。</w:t>
      </w:r>
    </w:p>
    <w:p>
      <w:pPr>
        <w:pStyle w:val="3"/>
        <w:numPr>
          <w:ilvl w:val="1"/>
          <w:numId w:val="25"/>
        </w:numPr>
        <w:spacing w:line="360" w:lineRule="auto"/>
        <w:ind w:left="0" w:leftChars="0" w:right="-84" w:rightChars="-35" w:firstLine="0" w:firstLineChars="0"/>
        <w:rPr>
          <w:rFonts w:ascii="黑体" w:hAnsi="黑体"/>
          <w:szCs w:val="30"/>
        </w:rPr>
      </w:pPr>
      <w:bookmarkStart w:id="43" w:name="_Toc117875456"/>
      <w:r>
        <w:rPr>
          <w:rFonts w:hint="eastAsia" w:ascii="黑体" w:hAnsi="黑体"/>
          <w:szCs w:val="30"/>
        </w:rPr>
        <w:t>发展目标</w:t>
      </w:r>
      <w:bookmarkEnd w:id="43"/>
    </w:p>
    <w:p>
      <w:pPr>
        <w:pStyle w:val="4"/>
        <w:numPr>
          <w:ilvl w:val="2"/>
          <w:numId w:val="26"/>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总体目标</w:t>
      </w:r>
    </w:p>
    <w:p>
      <w:pPr>
        <w:ind w:left="0" w:leftChars="0" w:right="0" w:rightChars="0" w:firstLine="480"/>
        <w:rPr>
          <w:szCs w:val="24"/>
        </w:rPr>
      </w:pPr>
      <w:r>
        <w:rPr>
          <w:szCs w:val="24"/>
        </w:rPr>
        <w:t>以构建</w:t>
      </w:r>
      <w:r>
        <w:rPr>
          <w:rFonts w:hint="eastAsia"/>
          <w:szCs w:val="24"/>
        </w:rPr>
        <w:t>“现代化滨海花园城市”</w:t>
      </w:r>
      <w:r>
        <w:rPr>
          <w:szCs w:val="24"/>
        </w:rPr>
        <w:t>为发展蓝图，以</w:t>
      </w:r>
      <w:r>
        <w:rPr>
          <w:rFonts w:hint="eastAsia"/>
          <w:szCs w:val="24"/>
        </w:rPr>
        <w:t>“</w:t>
      </w:r>
      <w:r>
        <w:rPr>
          <w:szCs w:val="24"/>
        </w:rPr>
        <w:t>碳达峰、碳中和</w:t>
      </w:r>
      <w:r>
        <w:rPr>
          <w:rFonts w:hint="eastAsia"/>
          <w:szCs w:val="24"/>
        </w:rPr>
        <w:t>”</w:t>
      </w:r>
      <w:r>
        <w:rPr>
          <w:szCs w:val="24"/>
        </w:rPr>
        <w:t>为目标导向，围绕</w:t>
      </w:r>
      <w:r>
        <w:rPr>
          <w:rFonts w:hint="eastAsia"/>
          <w:szCs w:val="24"/>
        </w:rPr>
        <w:t>“培育发展高质量绿色产业</w:t>
      </w:r>
      <w:r>
        <w:rPr>
          <w:szCs w:val="24"/>
        </w:rPr>
        <w:t>、</w:t>
      </w:r>
      <w:r>
        <w:rPr>
          <w:rFonts w:hint="eastAsia"/>
          <w:szCs w:val="24"/>
        </w:rPr>
        <w:t>强化资源集约循环利用</w:t>
      </w:r>
      <w:r>
        <w:rPr>
          <w:szCs w:val="24"/>
        </w:rPr>
        <w:t>、</w:t>
      </w:r>
      <w:r>
        <w:rPr>
          <w:rFonts w:hint="eastAsia"/>
          <w:szCs w:val="24"/>
        </w:rPr>
        <w:t>推行绿色生活方式”三</w:t>
      </w:r>
      <w:r>
        <w:rPr>
          <w:szCs w:val="24"/>
        </w:rPr>
        <w:t>个战略方向，高质量推动</w:t>
      </w:r>
      <w:r>
        <w:rPr>
          <w:rFonts w:hint="eastAsia"/>
          <w:szCs w:val="24"/>
        </w:rPr>
        <w:t>汕尾</w:t>
      </w:r>
      <w:r>
        <w:rPr>
          <w:szCs w:val="24"/>
        </w:rPr>
        <w:t>市绿色建筑全面发展，着力提升既有建筑能效水平，大力推广新型绿色建造方式，促进建筑领域碳达峰、碳中和，提升人民群众获得感、幸福感和安全感，将汕尾市建设成为</w:t>
      </w:r>
      <w:r>
        <w:rPr>
          <w:rFonts w:hint="eastAsia"/>
          <w:szCs w:val="24"/>
        </w:rPr>
        <w:t>粤东西北地区因地制宜的绿色建筑体系建设示范城市、现代品质城市绿色建筑量质提升发展标杆。</w:t>
      </w:r>
    </w:p>
    <w:p>
      <w:pPr>
        <w:ind w:left="0" w:leftChars="0" w:right="0" w:rightChars="0" w:firstLine="480"/>
        <w:rPr>
          <w:szCs w:val="24"/>
        </w:rPr>
      </w:pPr>
      <w:r>
        <w:rPr>
          <w:szCs w:val="24"/>
        </w:rPr>
        <w:t>近期（2022-2025</w:t>
      </w:r>
      <w:r>
        <w:rPr>
          <w:rFonts w:hint="eastAsia"/>
          <w:szCs w:val="24"/>
        </w:rPr>
        <w:t>年），新建民用建筑全面执行绿色建筑标准，重点区域的核心目标单元率先提高高星级绿色建筑的占比，打造一批超低能耗建筑和可再生能源建筑应用示范项目。建筑能效水平稳步提升，建筑能耗和碳排放增长趋势有所控制，人民群众生产生活空间更加宜居，岭南特色初步彰显，绿色建筑高质量发展和建筑低碳水平走在粤东西北地区前列。</w:t>
      </w:r>
    </w:p>
    <w:p>
      <w:pPr>
        <w:ind w:left="0" w:leftChars="0" w:right="0" w:rightChars="0" w:firstLine="480"/>
        <w:rPr>
          <w:szCs w:val="24"/>
        </w:rPr>
      </w:pPr>
      <w:r>
        <w:rPr>
          <w:rFonts w:hint="eastAsia"/>
          <w:szCs w:val="24"/>
        </w:rPr>
        <w:t>中期（</w:t>
      </w:r>
      <w:r>
        <w:rPr>
          <w:szCs w:val="24"/>
        </w:rPr>
        <w:t>2026-2030</w:t>
      </w:r>
      <w:r>
        <w:rPr>
          <w:rFonts w:hint="eastAsia"/>
          <w:szCs w:val="24"/>
        </w:rPr>
        <w:t>年），新建民用建筑全面按照绿色建筑一星级及以上标准建设，重点区域全面提高高星级绿色建筑的覆盖率，超低能耗建筑和可再生能源建筑应用规模化发展，示范效应进一步增强。建筑能效水平进一步提升，建筑领域碳排放达到峰值，绿色低碳发展模式基本形成，人民群众生产生活空间明显改善，岭南特色更加突出，绿色建筑高质量发展和建筑低碳水平走在全国前列。</w:t>
      </w:r>
    </w:p>
    <w:p>
      <w:pPr>
        <w:ind w:left="0" w:leftChars="0" w:right="0" w:rightChars="0" w:firstLine="480"/>
        <w:rPr>
          <w:szCs w:val="24"/>
        </w:rPr>
      </w:pPr>
      <w:r>
        <w:rPr>
          <w:rFonts w:hint="eastAsia"/>
          <w:szCs w:val="24"/>
        </w:rPr>
        <w:t>远期（</w:t>
      </w:r>
      <w:r>
        <w:rPr>
          <w:szCs w:val="24"/>
        </w:rPr>
        <w:t>2031-2035</w:t>
      </w:r>
      <w:r>
        <w:rPr>
          <w:rFonts w:hint="eastAsia"/>
          <w:szCs w:val="24"/>
        </w:rPr>
        <w:t>年），新建民用建筑全面按照绿色建筑二星级及以上标准建设，实现全域高星级绿色建筑全覆盖，超低能耗建筑和可再生能源建筑应用成为全国发展样板。建筑领域碳排放稳中有降，人民群众生产生活空间品质优良，岭南特色鲜明，绿色建筑高质量发展和建筑低碳水平成为粤东西北地区先进标杆、绿色建筑体系建设示范城市。</w:t>
      </w:r>
    </w:p>
    <w:p>
      <w:pPr>
        <w:pStyle w:val="4"/>
        <w:numPr>
          <w:ilvl w:val="2"/>
          <w:numId w:val="26"/>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发展指标</w:t>
      </w:r>
    </w:p>
    <w:p>
      <w:pPr>
        <w:ind w:left="0" w:leftChars="0" w:right="0" w:rightChars="0" w:firstLine="480"/>
        <w:rPr>
          <w:szCs w:val="24"/>
        </w:rPr>
      </w:pPr>
      <w:r>
        <w:rPr>
          <w:szCs w:val="24"/>
        </w:rPr>
        <w:t>从绿色建筑、既有建筑</w:t>
      </w:r>
      <w:r>
        <w:rPr>
          <w:rFonts w:hint="eastAsia"/>
          <w:szCs w:val="24"/>
        </w:rPr>
        <w:t>绿色化</w:t>
      </w:r>
      <w:r>
        <w:rPr>
          <w:szCs w:val="24"/>
        </w:rPr>
        <w:t>改造、装配式建筑、可再生能源建筑应用</w:t>
      </w:r>
      <w:r>
        <w:rPr>
          <w:rFonts w:hint="eastAsia"/>
          <w:szCs w:val="24"/>
        </w:rPr>
        <w:t>、绿色建材五</w:t>
      </w:r>
      <w:r>
        <w:rPr>
          <w:szCs w:val="24"/>
        </w:rPr>
        <w:t>个方面制定13</w:t>
      </w:r>
      <w:r>
        <w:rPr>
          <w:rFonts w:hint="eastAsia"/>
          <w:szCs w:val="24"/>
        </w:rPr>
        <w:t>项发</w:t>
      </w:r>
      <w:r>
        <w:rPr>
          <w:szCs w:val="24"/>
        </w:rPr>
        <w:t>展指标（见</w:t>
      </w:r>
      <w:r>
        <w:rPr>
          <w:rFonts w:hint="eastAsia"/>
          <w:szCs w:val="24"/>
        </w:rPr>
        <w:t>下表</w:t>
      </w:r>
      <w:r>
        <w:rPr>
          <w:szCs w:val="24"/>
        </w:rPr>
        <w:t>）。</w:t>
      </w:r>
    </w:p>
    <w:p>
      <w:pPr>
        <w:pStyle w:val="102"/>
        <w:numPr>
          <w:ilvl w:val="0"/>
          <w:numId w:val="21"/>
        </w:numPr>
        <w:ind w:leftChars="0" w:right="0" w:rightChars="0" w:firstLineChars="0"/>
        <w:jc w:val="center"/>
        <w:rPr>
          <w:b/>
          <w:sz w:val="22"/>
          <w:szCs w:val="22"/>
        </w:rPr>
      </w:pPr>
      <w:r>
        <w:rPr>
          <w:rFonts w:hint="eastAsia"/>
          <w:b/>
          <w:sz w:val="22"/>
          <w:szCs w:val="22"/>
        </w:rPr>
        <w:t>汕尾</w:t>
      </w:r>
      <w:r>
        <w:rPr>
          <w:b/>
          <w:sz w:val="22"/>
          <w:szCs w:val="22"/>
        </w:rPr>
        <w:t>市绿色建筑规划指标表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460"/>
        <w:gridCol w:w="932"/>
        <w:gridCol w:w="1658"/>
        <w:gridCol w:w="1658"/>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29" w:type="dxa"/>
            <w:vAlign w:val="center"/>
          </w:tcPr>
          <w:p>
            <w:pPr>
              <w:spacing w:line="340" w:lineRule="exact"/>
              <w:ind w:left="0" w:leftChars="0" w:right="0" w:rightChars="0" w:firstLine="0" w:firstLineChars="0"/>
              <w:jc w:val="center"/>
              <w:rPr>
                <w:b/>
                <w:szCs w:val="24"/>
              </w:rPr>
            </w:pPr>
            <w:r>
              <w:rPr>
                <w:rFonts w:hint="eastAsia"/>
                <w:b/>
                <w:szCs w:val="24"/>
              </w:rPr>
              <w:t>指标类型</w:t>
            </w:r>
          </w:p>
        </w:tc>
        <w:tc>
          <w:tcPr>
            <w:tcW w:w="2392" w:type="dxa"/>
            <w:gridSpan w:val="2"/>
            <w:vAlign w:val="center"/>
          </w:tcPr>
          <w:p>
            <w:pPr>
              <w:spacing w:line="340" w:lineRule="exact"/>
              <w:ind w:left="0" w:leftChars="0" w:right="0" w:rightChars="0" w:firstLine="0" w:firstLineChars="0"/>
              <w:jc w:val="center"/>
              <w:rPr>
                <w:b/>
                <w:szCs w:val="24"/>
              </w:rPr>
            </w:pPr>
            <w:r>
              <w:rPr>
                <w:rFonts w:hint="eastAsia"/>
                <w:b/>
                <w:szCs w:val="24"/>
              </w:rPr>
              <w:t>指标名称</w:t>
            </w:r>
          </w:p>
        </w:tc>
        <w:tc>
          <w:tcPr>
            <w:tcW w:w="1658" w:type="dxa"/>
            <w:vAlign w:val="center"/>
          </w:tcPr>
          <w:p>
            <w:pPr>
              <w:spacing w:line="340" w:lineRule="exact"/>
              <w:ind w:left="0" w:leftChars="0" w:right="0" w:rightChars="0" w:firstLine="0" w:firstLineChars="0"/>
              <w:jc w:val="center"/>
              <w:rPr>
                <w:b/>
                <w:szCs w:val="24"/>
              </w:rPr>
            </w:pPr>
            <w:r>
              <w:rPr>
                <w:rFonts w:hint="eastAsia"/>
                <w:b/>
                <w:szCs w:val="24"/>
              </w:rPr>
              <w:t>2</w:t>
            </w:r>
            <w:r>
              <w:rPr>
                <w:b/>
                <w:szCs w:val="24"/>
              </w:rPr>
              <w:t>025</w:t>
            </w:r>
            <w:r>
              <w:rPr>
                <w:rFonts w:hint="eastAsia"/>
                <w:b/>
                <w:szCs w:val="24"/>
              </w:rPr>
              <w:t>年目标值</w:t>
            </w:r>
          </w:p>
        </w:tc>
        <w:tc>
          <w:tcPr>
            <w:tcW w:w="1658" w:type="dxa"/>
            <w:vAlign w:val="center"/>
          </w:tcPr>
          <w:p>
            <w:pPr>
              <w:spacing w:line="340" w:lineRule="exact"/>
              <w:ind w:left="0" w:leftChars="0" w:right="0" w:rightChars="0" w:firstLine="0" w:firstLineChars="0"/>
              <w:jc w:val="center"/>
              <w:rPr>
                <w:b/>
                <w:szCs w:val="24"/>
              </w:rPr>
            </w:pPr>
            <w:r>
              <w:rPr>
                <w:rFonts w:hint="eastAsia"/>
                <w:b/>
                <w:szCs w:val="24"/>
              </w:rPr>
              <w:t>2</w:t>
            </w:r>
            <w:r>
              <w:rPr>
                <w:b/>
                <w:szCs w:val="24"/>
              </w:rPr>
              <w:t>035</w:t>
            </w:r>
            <w:r>
              <w:rPr>
                <w:rFonts w:hint="eastAsia"/>
                <w:b/>
                <w:szCs w:val="24"/>
              </w:rPr>
              <w:t>年目标值</w:t>
            </w:r>
          </w:p>
        </w:tc>
        <w:tc>
          <w:tcPr>
            <w:tcW w:w="1658" w:type="dxa"/>
            <w:vAlign w:val="center"/>
          </w:tcPr>
          <w:p>
            <w:pPr>
              <w:spacing w:line="340" w:lineRule="exact"/>
              <w:ind w:left="0" w:leftChars="0" w:right="0" w:rightChars="0" w:firstLine="0" w:firstLineChars="0"/>
              <w:jc w:val="center"/>
              <w:rPr>
                <w:b/>
                <w:szCs w:val="24"/>
              </w:rPr>
            </w:pPr>
            <w:r>
              <w:rPr>
                <w:rFonts w:hint="eastAsia"/>
                <w:b/>
                <w:szCs w:val="24"/>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spacing w:line="340" w:lineRule="exact"/>
              <w:ind w:left="0" w:leftChars="0" w:right="0" w:rightChars="0" w:firstLine="0" w:firstLineChars="0"/>
              <w:jc w:val="center"/>
              <w:rPr>
                <w:szCs w:val="24"/>
              </w:rPr>
            </w:pPr>
            <w:r>
              <w:rPr>
                <w:rFonts w:hint="eastAsia"/>
                <w:szCs w:val="24"/>
              </w:rPr>
              <w:t>绿色建筑</w:t>
            </w:r>
          </w:p>
        </w:tc>
        <w:tc>
          <w:tcPr>
            <w:tcW w:w="2392" w:type="dxa"/>
            <w:gridSpan w:val="2"/>
            <w:vAlign w:val="center"/>
          </w:tcPr>
          <w:p>
            <w:pPr>
              <w:spacing w:line="340" w:lineRule="exact"/>
              <w:ind w:left="0" w:leftChars="0" w:right="0" w:rightChars="0" w:firstLine="0" w:firstLineChars="0"/>
              <w:jc w:val="center"/>
              <w:rPr>
                <w:szCs w:val="24"/>
              </w:rPr>
            </w:pPr>
            <w:r>
              <w:rPr>
                <w:rFonts w:hint="eastAsia"/>
                <w:szCs w:val="24"/>
              </w:rPr>
              <w:t>城镇新建民用建筑中绿色建筑占比</w:t>
            </w:r>
          </w:p>
        </w:tc>
        <w:tc>
          <w:tcPr>
            <w:tcW w:w="1658" w:type="dxa"/>
            <w:vAlign w:val="center"/>
          </w:tcPr>
          <w:p>
            <w:pPr>
              <w:spacing w:line="340" w:lineRule="exact"/>
              <w:ind w:left="0" w:leftChars="0" w:right="0" w:rightChars="0" w:firstLine="0" w:firstLineChars="0"/>
              <w:jc w:val="center"/>
              <w:rPr>
                <w:szCs w:val="24"/>
              </w:rPr>
            </w:pPr>
            <w:r>
              <w:rPr>
                <w:rFonts w:hint="eastAsia"/>
                <w:szCs w:val="24"/>
              </w:rPr>
              <w:t>1</w:t>
            </w:r>
            <w:r>
              <w:rPr>
                <w:szCs w:val="24"/>
              </w:rPr>
              <w:t>00</w:t>
            </w:r>
            <w:r>
              <w:rPr>
                <w:rFonts w:hint="eastAsia"/>
                <w:szCs w:val="24"/>
              </w:rPr>
              <w:t>%</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1</w:t>
            </w:r>
            <w:r>
              <w:rPr>
                <w:szCs w:val="24"/>
              </w:rPr>
              <w:t>00</w:t>
            </w:r>
            <w:r>
              <w:rPr>
                <w:rFonts w:hint="eastAsia"/>
                <w:szCs w:val="24"/>
              </w:rPr>
              <w:t>%</w:t>
            </w:r>
          </w:p>
        </w:tc>
        <w:tc>
          <w:tcPr>
            <w:tcW w:w="1658" w:type="dxa"/>
            <w:vAlign w:val="center"/>
          </w:tcPr>
          <w:p>
            <w:pPr>
              <w:spacing w:line="340" w:lineRule="exact"/>
              <w:ind w:left="0" w:leftChars="0" w:right="0" w:rightChars="0" w:firstLine="0" w:firstLineChars="0"/>
              <w:jc w:val="center"/>
              <w:rPr>
                <w:szCs w:val="24"/>
              </w:rPr>
            </w:pPr>
            <w:r>
              <w:rPr>
                <w:rFonts w:hint="eastAsia"/>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spacing w:line="340" w:lineRule="exact"/>
              <w:ind w:left="0" w:leftChars="0" w:right="0" w:rightChars="0" w:firstLine="0" w:firstLineChars="0"/>
              <w:jc w:val="center"/>
              <w:rPr>
                <w:szCs w:val="24"/>
              </w:rPr>
            </w:pPr>
          </w:p>
        </w:tc>
        <w:tc>
          <w:tcPr>
            <w:tcW w:w="2392" w:type="dxa"/>
            <w:gridSpan w:val="2"/>
            <w:vAlign w:val="center"/>
          </w:tcPr>
          <w:p>
            <w:pPr>
              <w:spacing w:line="340" w:lineRule="exact"/>
              <w:ind w:left="0" w:leftChars="0" w:right="0" w:rightChars="0" w:firstLine="0" w:firstLineChars="0"/>
              <w:jc w:val="center"/>
              <w:rPr>
                <w:szCs w:val="24"/>
              </w:rPr>
            </w:pPr>
            <w:r>
              <w:rPr>
                <w:rFonts w:hint="eastAsia"/>
                <w:szCs w:val="24"/>
              </w:rPr>
              <w:t>星级绿色建筑占新建建筑比例</w:t>
            </w:r>
          </w:p>
        </w:tc>
        <w:tc>
          <w:tcPr>
            <w:tcW w:w="1658" w:type="dxa"/>
            <w:vAlign w:val="center"/>
          </w:tcPr>
          <w:p>
            <w:pPr>
              <w:spacing w:line="340" w:lineRule="exact"/>
              <w:ind w:left="0" w:leftChars="0" w:right="0" w:rightChars="0" w:firstLine="0" w:firstLineChars="0"/>
              <w:jc w:val="center"/>
              <w:rPr>
                <w:szCs w:val="24"/>
              </w:rPr>
            </w:pPr>
            <w:r>
              <w:rPr>
                <w:rFonts w:hint="eastAsia"/>
                <w:szCs w:val="24"/>
              </w:rPr>
              <w:t>2</w:t>
            </w:r>
            <w:r>
              <w:rPr>
                <w:szCs w:val="24"/>
              </w:rPr>
              <w:t>0</w:t>
            </w:r>
            <w:r>
              <w:rPr>
                <w:rFonts w:hint="eastAsia"/>
                <w:szCs w:val="24"/>
              </w:rPr>
              <w:t>%</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1</w:t>
            </w:r>
            <w:r>
              <w:rPr>
                <w:szCs w:val="24"/>
              </w:rPr>
              <w:t>00</w:t>
            </w:r>
            <w:r>
              <w:rPr>
                <w:rFonts w:hint="eastAsia"/>
                <w:szCs w:val="24"/>
              </w:rPr>
              <w:t>%</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spacing w:line="340" w:lineRule="exact"/>
              <w:ind w:left="0" w:leftChars="0" w:right="0" w:rightChars="0" w:firstLine="0" w:firstLineChars="0"/>
              <w:jc w:val="center"/>
              <w:rPr>
                <w:szCs w:val="24"/>
              </w:rPr>
            </w:pPr>
          </w:p>
        </w:tc>
        <w:tc>
          <w:tcPr>
            <w:tcW w:w="2392" w:type="dxa"/>
            <w:gridSpan w:val="2"/>
            <w:vAlign w:val="center"/>
          </w:tcPr>
          <w:p>
            <w:pPr>
              <w:spacing w:after="120" w:line="340" w:lineRule="exact"/>
              <w:ind w:left="0" w:leftChars="0" w:right="0" w:rightChars="0" w:firstLine="0" w:firstLineChars="0"/>
              <w:jc w:val="center"/>
              <w:rPr>
                <w:szCs w:val="24"/>
              </w:rPr>
            </w:pPr>
            <w:r>
              <w:rPr>
                <w:rFonts w:hint="eastAsia"/>
                <w:szCs w:val="24"/>
              </w:rPr>
              <w:t>绿色生态城区</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≥1个</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w:t>
            </w:r>
            <w:r>
              <w:rPr>
                <w:szCs w:val="24"/>
              </w:rPr>
              <w:t>2</w:t>
            </w:r>
            <w:r>
              <w:rPr>
                <w:rFonts w:hint="eastAsia"/>
                <w:szCs w:val="24"/>
              </w:rPr>
              <w:t>个</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spacing w:line="340" w:lineRule="exact"/>
              <w:ind w:left="0" w:leftChars="0" w:right="0" w:rightChars="0" w:firstLine="0" w:firstLineChars="0"/>
              <w:jc w:val="center"/>
              <w:rPr>
                <w:szCs w:val="24"/>
              </w:rPr>
            </w:pPr>
          </w:p>
        </w:tc>
        <w:tc>
          <w:tcPr>
            <w:tcW w:w="2392" w:type="dxa"/>
            <w:gridSpan w:val="2"/>
            <w:vAlign w:val="center"/>
          </w:tcPr>
          <w:p>
            <w:pPr>
              <w:spacing w:line="340" w:lineRule="exact"/>
              <w:ind w:left="0" w:leftChars="0" w:right="0" w:rightChars="0" w:firstLine="0" w:firstLineChars="0"/>
              <w:jc w:val="center"/>
              <w:rPr>
                <w:szCs w:val="24"/>
              </w:rPr>
            </w:pPr>
            <w:r>
              <w:rPr>
                <w:rFonts w:hint="eastAsia"/>
                <w:szCs w:val="24"/>
              </w:rPr>
              <w:t>能耗监测</w:t>
            </w:r>
          </w:p>
        </w:tc>
        <w:tc>
          <w:tcPr>
            <w:tcW w:w="1658" w:type="dxa"/>
            <w:vAlign w:val="center"/>
          </w:tcPr>
          <w:p>
            <w:pPr>
              <w:spacing w:line="340" w:lineRule="exact"/>
              <w:ind w:left="0" w:leftChars="0" w:right="0" w:rightChars="0" w:firstLine="0" w:firstLineChars="0"/>
              <w:jc w:val="center"/>
              <w:rPr>
                <w:szCs w:val="24"/>
              </w:rPr>
            </w:pPr>
            <w:r>
              <w:rPr>
                <w:rFonts w:hint="eastAsia"/>
                <w:szCs w:val="24"/>
              </w:rPr>
              <w:t>单位建筑面积5</w:t>
            </w:r>
            <w:r>
              <w:rPr>
                <w:szCs w:val="24"/>
              </w:rPr>
              <w:t>000</w:t>
            </w:r>
            <w:r>
              <w:rPr>
                <w:rFonts w:hint="eastAsia"/>
                <w:szCs w:val="24"/>
              </w:rPr>
              <w:t>m</w:t>
            </w:r>
            <w:r>
              <w:rPr>
                <w:szCs w:val="24"/>
                <w:vertAlign w:val="superscript"/>
              </w:rPr>
              <w:t>2</w:t>
            </w:r>
            <w:r>
              <w:rPr>
                <w:rFonts w:hint="eastAsia"/>
                <w:szCs w:val="24"/>
              </w:rPr>
              <w:t>及以上的国家机关办公建筑、单体建筑面积1</w:t>
            </w:r>
            <w:r>
              <w:rPr>
                <w:szCs w:val="24"/>
              </w:rPr>
              <w:t>0000</w:t>
            </w:r>
            <w:r>
              <w:rPr>
                <w:rFonts w:hint="eastAsia"/>
                <w:szCs w:val="24"/>
              </w:rPr>
              <w:t>m</w:t>
            </w:r>
            <w:r>
              <w:rPr>
                <w:szCs w:val="24"/>
                <w:vertAlign w:val="superscript"/>
              </w:rPr>
              <w:t>2</w:t>
            </w:r>
            <w:r>
              <w:rPr>
                <w:rFonts w:hint="eastAsia"/>
                <w:szCs w:val="24"/>
              </w:rPr>
              <w:t>及以上的公共建筑</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所有公共建筑</w:t>
            </w:r>
          </w:p>
        </w:tc>
        <w:tc>
          <w:tcPr>
            <w:tcW w:w="1658" w:type="dxa"/>
            <w:vAlign w:val="center"/>
          </w:tcPr>
          <w:p>
            <w:pPr>
              <w:spacing w:line="340" w:lineRule="exact"/>
              <w:ind w:left="0" w:leftChars="0" w:right="0" w:rightChars="0" w:firstLine="0" w:firstLineChars="0"/>
              <w:jc w:val="center"/>
              <w:rPr>
                <w:szCs w:val="24"/>
              </w:rPr>
            </w:pPr>
            <w:r>
              <w:rPr>
                <w:rFonts w:hint="eastAsia"/>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40" w:lineRule="exact"/>
              <w:ind w:left="0" w:leftChars="0" w:right="0" w:rightChars="0" w:firstLine="0" w:firstLineChars="0"/>
              <w:jc w:val="center"/>
              <w:rPr>
                <w:szCs w:val="24"/>
              </w:rPr>
            </w:pPr>
            <w:r>
              <w:rPr>
                <w:rFonts w:hint="eastAsia"/>
                <w:szCs w:val="24"/>
              </w:rPr>
              <w:t>既有建筑绿色化改造</w:t>
            </w:r>
          </w:p>
        </w:tc>
        <w:tc>
          <w:tcPr>
            <w:tcW w:w="2392" w:type="dxa"/>
            <w:gridSpan w:val="2"/>
            <w:vAlign w:val="center"/>
          </w:tcPr>
          <w:p>
            <w:pPr>
              <w:spacing w:after="120" w:line="340" w:lineRule="exact"/>
              <w:ind w:left="0" w:leftChars="0" w:right="0" w:rightChars="0" w:firstLine="0" w:firstLineChars="0"/>
              <w:jc w:val="center"/>
              <w:rPr>
                <w:szCs w:val="24"/>
              </w:rPr>
            </w:pPr>
            <w:r>
              <w:rPr>
                <w:rFonts w:hint="eastAsia"/>
                <w:szCs w:val="24"/>
              </w:rPr>
              <w:t>既有建筑绿色化改造面积</w:t>
            </w:r>
          </w:p>
        </w:tc>
        <w:tc>
          <w:tcPr>
            <w:tcW w:w="1658" w:type="dxa"/>
            <w:vAlign w:val="center"/>
          </w:tcPr>
          <w:p>
            <w:pPr>
              <w:spacing w:line="340" w:lineRule="exact"/>
              <w:ind w:left="0" w:leftChars="0" w:right="0" w:rightChars="0" w:firstLine="0" w:firstLineChars="0"/>
              <w:jc w:val="center"/>
              <w:rPr>
                <w:szCs w:val="24"/>
              </w:rPr>
            </w:pPr>
            <w:r>
              <w:rPr>
                <w:szCs w:val="24"/>
              </w:rPr>
              <w:t>10</w:t>
            </w:r>
            <w:r>
              <w:rPr>
                <w:rFonts w:hint="eastAsia"/>
                <w:szCs w:val="24"/>
              </w:rPr>
              <w:t>万m</w:t>
            </w:r>
            <w:r>
              <w:rPr>
                <w:szCs w:val="24"/>
                <w:vertAlign w:val="superscript"/>
              </w:rPr>
              <w:t>2</w:t>
            </w:r>
          </w:p>
        </w:tc>
        <w:tc>
          <w:tcPr>
            <w:tcW w:w="1658" w:type="dxa"/>
            <w:vAlign w:val="center"/>
          </w:tcPr>
          <w:p>
            <w:pPr>
              <w:spacing w:after="120" w:line="340" w:lineRule="exact"/>
              <w:ind w:left="0" w:leftChars="0" w:right="0" w:rightChars="0" w:firstLine="0" w:firstLineChars="0"/>
              <w:jc w:val="center"/>
              <w:rPr>
                <w:szCs w:val="24"/>
              </w:rPr>
            </w:pPr>
            <w:r>
              <w:rPr>
                <w:szCs w:val="24"/>
              </w:rPr>
              <w:t>15</w:t>
            </w:r>
            <w:r>
              <w:rPr>
                <w:rFonts w:hint="eastAsia"/>
                <w:szCs w:val="24"/>
              </w:rPr>
              <w:t>万m</w:t>
            </w:r>
            <w:r>
              <w:rPr>
                <w:szCs w:val="24"/>
                <w:vertAlign w:val="superscript"/>
              </w:rPr>
              <w:t>2</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spacing w:line="340" w:lineRule="exact"/>
              <w:ind w:left="0" w:leftChars="0" w:right="0" w:rightChars="0" w:firstLine="0" w:firstLineChars="0"/>
              <w:jc w:val="center"/>
              <w:rPr>
                <w:szCs w:val="24"/>
              </w:rPr>
            </w:pPr>
            <w:r>
              <w:rPr>
                <w:rFonts w:hint="eastAsia"/>
                <w:szCs w:val="24"/>
              </w:rPr>
              <w:t>装配式建筑</w:t>
            </w:r>
          </w:p>
        </w:tc>
        <w:tc>
          <w:tcPr>
            <w:tcW w:w="1460" w:type="dxa"/>
            <w:vMerge w:val="restart"/>
            <w:vAlign w:val="center"/>
          </w:tcPr>
          <w:p>
            <w:pPr>
              <w:spacing w:after="120" w:line="340" w:lineRule="exact"/>
              <w:ind w:left="0" w:leftChars="0" w:right="0" w:rightChars="0" w:firstLine="0" w:firstLineChars="0"/>
              <w:jc w:val="center"/>
              <w:rPr>
                <w:szCs w:val="24"/>
              </w:rPr>
            </w:pPr>
            <w:r>
              <w:rPr>
                <w:rFonts w:hint="eastAsia"/>
                <w:szCs w:val="24"/>
              </w:rPr>
              <w:t>装配式建筑占新建建筑比例</w:t>
            </w:r>
          </w:p>
        </w:tc>
        <w:tc>
          <w:tcPr>
            <w:tcW w:w="932" w:type="dxa"/>
            <w:vAlign w:val="center"/>
          </w:tcPr>
          <w:p>
            <w:pPr>
              <w:spacing w:after="120" w:line="340" w:lineRule="exact"/>
              <w:ind w:left="0" w:leftChars="0" w:right="0" w:rightChars="0" w:firstLine="0" w:firstLineChars="0"/>
              <w:jc w:val="center"/>
              <w:rPr>
                <w:szCs w:val="24"/>
              </w:rPr>
            </w:pPr>
            <w:r>
              <w:rPr>
                <w:rFonts w:hint="eastAsia"/>
                <w:szCs w:val="24"/>
              </w:rPr>
              <w:t>中心城区</w:t>
            </w:r>
          </w:p>
        </w:tc>
        <w:tc>
          <w:tcPr>
            <w:tcW w:w="1658" w:type="dxa"/>
            <w:vAlign w:val="center"/>
          </w:tcPr>
          <w:p>
            <w:pPr>
              <w:spacing w:after="120" w:line="340" w:lineRule="exact"/>
              <w:ind w:left="0" w:leftChars="0" w:right="0" w:rightChars="0" w:firstLine="0" w:firstLineChars="0"/>
              <w:jc w:val="center"/>
              <w:rPr>
                <w:szCs w:val="24"/>
              </w:rPr>
            </w:pPr>
            <w:r>
              <w:rPr>
                <w:szCs w:val="24"/>
              </w:rPr>
              <w:t>≥30</w:t>
            </w:r>
            <w:r>
              <w:rPr>
                <w:rFonts w:hint="eastAsia"/>
                <w:szCs w:val="24"/>
              </w:rPr>
              <w:t>%</w:t>
            </w:r>
          </w:p>
        </w:tc>
        <w:tc>
          <w:tcPr>
            <w:tcW w:w="1658" w:type="dxa"/>
            <w:vAlign w:val="center"/>
          </w:tcPr>
          <w:p>
            <w:pPr>
              <w:spacing w:after="120" w:line="340" w:lineRule="exact"/>
              <w:ind w:left="0" w:leftChars="0" w:right="0" w:rightChars="0" w:firstLine="0" w:firstLineChars="0"/>
              <w:jc w:val="center"/>
              <w:rPr>
                <w:szCs w:val="24"/>
              </w:rPr>
            </w:pPr>
            <w:r>
              <w:rPr>
                <w:szCs w:val="24"/>
              </w:rPr>
              <w:t>≥50</w:t>
            </w:r>
            <w:r>
              <w:rPr>
                <w:rFonts w:hint="eastAsia"/>
                <w:szCs w:val="24"/>
              </w:rPr>
              <w:t>%</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spacing w:line="340" w:lineRule="exact"/>
              <w:ind w:left="0" w:leftChars="0" w:right="0" w:rightChars="0" w:firstLine="0" w:firstLineChars="0"/>
              <w:jc w:val="center"/>
              <w:rPr>
                <w:szCs w:val="24"/>
              </w:rPr>
            </w:pPr>
          </w:p>
        </w:tc>
        <w:tc>
          <w:tcPr>
            <w:tcW w:w="1460" w:type="dxa"/>
            <w:vMerge w:val="continue"/>
            <w:vAlign w:val="center"/>
          </w:tcPr>
          <w:p>
            <w:pPr>
              <w:spacing w:after="120" w:line="340" w:lineRule="exact"/>
              <w:ind w:left="0" w:leftChars="0" w:right="0" w:rightChars="0" w:firstLine="0" w:firstLineChars="0"/>
              <w:jc w:val="center"/>
              <w:rPr>
                <w:szCs w:val="24"/>
              </w:rPr>
            </w:pPr>
          </w:p>
        </w:tc>
        <w:tc>
          <w:tcPr>
            <w:tcW w:w="932" w:type="dxa"/>
            <w:vAlign w:val="center"/>
          </w:tcPr>
          <w:p>
            <w:pPr>
              <w:spacing w:after="120" w:line="340" w:lineRule="exact"/>
              <w:ind w:left="0" w:leftChars="0" w:right="0" w:rightChars="0" w:firstLine="0" w:firstLineChars="0"/>
              <w:jc w:val="center"/>
              <w:rPr>
                <w:szCs w:val="24"/>
              </w:rPr>
            </w:pPr>
            <w:r>
              <w:rPr>
                <w:rFonts w:hint="eastAsia"/>
                <w:szCs w:val="24"/>
              </w:rPr>
              <w:t>其他地区</w:t>
            </w:r>
          </w:p>
        </w:tc>
        <w:tc>
          <w:tcPr>
            <w:tcW w:w="1658" w:type="dxa"/>
            <w:vAlign w:val="center"/>
          </w:tcPr>
          <w:p>
            <w:pPr>
              <w:spacing w:after="120" w:line="340" w:lineRule="exact"/>
              <w:ind w:left="0" w:leftChars="0" w:right="0" w:rightChars="0" w:firstLine="0" w:firstLineChars="0"/>
              <w:jc w:val="center"/>
              <w:rPr>
                <w:szCs w:val="24"/>
              </w:rPr>
            </w:pPr>
            <w:r>
              <w:rPr>
                <w:szCs w:val="24"/>
              </w:rPr>
              <w:t>≥20</w:t>
            </w:r>
            <w:r>
              <w:rPr>
                <w:rFonts w:hint="eastAsia"/>
                <w:szCs w:val="24"/>
              </w:rPr>
              <w:t>%</w:t>
            </w:r>
          </w:p>
        </w:tc>
        <w:tc>
          <w:tcPr>
            <w:tcW w:w="1658" w:type="dxa"/>
            <w:vAlign w:val="center"/>
          </w:tcPr>
          <w:p>
            <w:pPr>
              <w:spacing w:after="120" w:line="340" w:lineRule="exact"/>
              <w:ind w:left="0" w:leftChars="0" w:right="0" w:rightChars="0" w:firstLine="0" w:firstLineChars="0"/>
              <w:jc w:val="center"/>
              <w:rPr>
                <w:szCs w:val="24"/>
              </w:rPr>
            </w:pPr>
            <w:r>
              <w:rPr>
                <w:szCs w:val="24"/>
              </w:rPr>
              <w:t>≥40</w:t>
            </w:r>
            <w:r>
              <w:rPr>
                <w:rFonts w:hint="eastAsia"/>
                <w:szCs w:val="24"/>
              </w:rPr>
              <w:t>%</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spacing w:line="340" w:lineRule="exact"/>
              <w:ind w:left="0" w:leftChars="0" w:right="0" w:rightChars="0" w:firstLine="0" w:firstLineChars="0"/>
              <w:jc w:val="center"/>
              <w:rPr>
                <w:szCs w:val="24"/>
              </w:rPr>
            </w:pPr>
          </w:p>
        </w:tc>
        <w:tc>
          <w:tcPr>
            <w:tcW w:w="2392" w:type="dxa"/>
            <w:gridSpan w:val="2"/>
            <w:vAlign w:val="center"/>
          </w:tcPr>
          <w:p>
            <w:pPr>
              <w:spacing w:line="340" w:lineRule="exact"/>
              <w:ind w:left="0" w:leftChars="0" w:right="0" w:rightChars="0" w:firstLine="0" w:firstLineChars="0"/>
              <w:jc w:val="center"/>
              <w:rPr>
                <w:szCs w:val="24"/>
              </w:rPr>
            </w:pPr>
            <w:r>
              <w:rPr>
                <w:rFonts w:hint="eastAsia"/>
              </w:rPr>
              <w:t>政府投资工程装配式建筑面积占比</w:t>
            </w:r>
          </w:p>
        </w:tc>
        <w:tc>
          <w:tcPr>
            <w:tcW w:w="1658" w:type="dxa"/>
            <w:vAlign w:val="center"/>
          </w:tcPr>
          <w:p>
            <w:pPr>
              <w:spacing w:after="120" w:line="340" w:lineRule="exact"/>
              <w:ind w:left="0" w:leftChars="0" w:right="0" w:rightChars="0" w:firstLine="0" w:firstLineChars="0"/>
              <w:jc w:val="center"/>
              <w:rPr>
                <w:szCs w:val="24"/>
              </w:rPr>
            </w:pPr>
            <w:r>
              <w:rPr>
                <w:szCs w:val="24"/>
              </w:rPr>
              <w:t>≥50</w:t>
            </w:r>
            <w:r>
              <w:rPr>
                <w:rFonts w:hint="eastAsia"/>
                <w:szCs w:val="24"/>
              </w:rPr>
              <w:t>%</w:t>
            </w:r>
          </w:p>
        </w:tc>
        <w:tc>
          <w:tcPr>
            <w:tcW w:w="1658" w:type="dxa"/>
            <w:vAlign w:val="center"/>
          </w:tcPr>
          <w:p>
            <w:pPr>
              <w:spacing w:after="120" w:line="340" w:lineRule="exact"/>
              <w:ind w:left="0" w:leftChars="0" w:right="0" w:rightChars="0" w:firstLine="0" w:firstLineChars="0"/>
              <w:jc w:val="center"/>
              <w:rPr>
                <w:szCs w:val="24"/>
              </w:rPr>
            </w:pPr>
            <w:r>
              <w:rPr>
                <w:szCs w:val="24"/>
              </w:rPr>
              <w:t>≥70</w:t>
            </w:r>
            <w:r>
              <w:rPr>
                <w:rFonts w:hint="eastAsia"/>
                <w:szCs w:val="24"/>
              </w:rPr>
              <w:t>%</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spacing w:line="340" w:lineRule="exact"/>
              <w:ind w:left="0" w:leftChars="0" w:right="0" w:rightChars="0" w:firstLine="0" w:firstLineChars="0"/>
              <w:jc w:val="center"/>
              <w:rPr>
                <w:szCs w:val="24"/>
              </w:rPr>
            </w:pPr>
          </w:p>
        </w:tc>
        <w:tc>
          <w:tcPr>
            <w:tcW w:w="2392" w:type="dxa"/>
            <w:gridSpan w:val="2"/>
            <w:vAlign w:val="center"/>
          </w:tcPr>
          <w:p>
            <w:pPr>
              <w:spacing w:line="340" w:lineRule="exact"/>
              <w:ind w:left="0" w:leftChars="0" w:right="0" w:rightChars="0" w:firstLine="0" w:firstLineChars="0"/>
              <w:jc w:val="center"/>
              <w:rPr>
                <w:szCs w:val="24"/>
              </w:rPr>
            </w:pPr>
            <w:r>
              <w:rPr>
                <w:rFonts w:hint="eastAsia"/>
              </w:rPr>
              <w:t>装配式建筑部品部件生产基地</w:t>
            </w:r>
          </w:p>
        </w:tc>
        <w:tc>
          <w:tcPr>
            <w:tcW w:w="1658" w:type="dxa"/>
            <w:vAlign w:val="center"/>
          </w:tcPr>
          <w:p>
            <w:pPr>
              <w:spacing w:line="340" w:lineRule="exact"/>
              <w:ind w:left="0" w:leftChars="0" w:right="0" w:rightChars="0" w:firstLine="0" w:firstLineChars="0"/>
              <w:jc w:val="center"/>
              <w:rPr>
                <w:szCs w:val="24"/>
              </w:rPr>
            </w:pPr>
            <w:r>
              <w:rPr>
                <w:szCs w:val="24"/>
              </w:rPr>
              <w:t>≥2</w:t>
            </w:r>
            <w:r>
              <w:rPr>
                <w:rFonts w:hint="eastAsia"/>
                <w:szCs w:val="24"/>
              </w:rPr>
              <w:t>个</w:t>
            </w:r>
          </w:p>
        </w:tc>
        <w:tc>
          <w:tcPr>
            <w:tcW w:w="1658" w:type="dxa"/>
            <w:vAlign w:val="center"/>
          </w:tcPr>
          <w:p>
            <w:pPr>
              <w:spacing w:line="340" w:lineRule="exact"/>
              <w:ind w:left="0" w:leftChars="0" w:right="0" w:rightChars="0" w:firstLine="0" w:firstLineChars="0"/>
              <w:jc w:val="center"/>
              <w:rPr>
                <w:szCs w:val="24"/>
              </w:rPr>
            </w:pPr>
            <w:r>
              <w:rPr>
                <w:szCs w:val="24"/>
              </w:rPr>
              <w:t>≥3</w:t>
            </w:r>
            <w:r>
              <w:rPr>
                <w:rFonts w:hint="eastAsia"/>
                <w:szCs w:val="24"/>
              </w:rPr>
              <w:t>个</w:t>
            </w:r>
          </w:p>
        </w:tc>
        <w:tc>
          <w:tcPr>
            <w:tcW w:w="1658" w:type="dxa"/>
            <w:vAlign w:val="center"/>
          </w:tcPr>
          <w:p>
            <w:pPr>
              <w:spacing w:line="340" w:lineRule="exact"/>
              <w:ind w:left="0" w:leftChars="0" w:right="0" w:rightChars="0" w:firstLine="0" w:firstLineChars="0"/>
              <w:jc w:val="center"/>
              <w:rPr>
                <w:szCs w:val="24"/>
              </w:rPr>
            </w:pPr>
            <w:r>
              <w:rPr>
                <w:rFonts w:hint="eastAsia"/>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spacing w:line="340" w:lineRule="exact"/>
              <w:ind w:left="0" w:leftChars="0" w:right="0" w:rightChars="0" w:firstLine="0" w:firstLineChars="0"/>
              <w:jc w:val="center"/>
              <w:rPr>
                <w:szCs w:val="24"/>
              </w:rPr>
            </w:pPr>
          </w:p>
        </w:tc>
        <w:tc>
          <w:tcPr>
            <w:tcW w:w="2392" w:type="dxa"/>
            <w:gridSpan w:val="2"/>
            <w:vAlign w:val="center"/>
          </w:tcPr>
          <w:p>
            <w:pPr>
              <w:spacing w:line="340" w:lineRule="exact"/>
              <w:ind w:left="0" w:leftChars="0" w:right="0" w:rightChars="0" w:firstLine="0" w:firstLineChars="0"/>
              <w:jc w:val="center"/>
              <w:rPr>
                <w:szCs w:val="24"/>
              </w:rPr>
            </w:pPr>
            <w:r>
              <w:rPr>
                <w:rFonts w:hint="eastAsia"/>
              </w:rPr>
              <w:t>装配式建筑示范项目</w:t>
            </w:r>
          </w:p>
        </w:tc>
        <w:tc>
          <w:tcPr>
            <w:tcW w:w="1658" w:type="dxa"/>
            <w:vAlign w:val="center"/>
          </w:tcPr>
          <w:p>
            <w:pPr>
              <w:spacing w:line="340" w:lineRule="exact"/>
              <w:ind w:left="0" w:leftChars="0" w:right="0" w:rightChars="0" w:firstLine="0" w:firstLineChars="0"/>
              <w:jc w:val="center"/>
              <w:rPr>
                <w:szCs w:val="24"/>
              </w:rPr>
            </w:pPr>
            <w:r>
              <w:rPr>
                <w:szCs w:val="24"/>
              </w:rPr>
              <w:t>≥</w:t>
            </w:r>
            <w:r>
              <w:rPr>
                <w:rFonts w:hint="eastAsia"/>
                <w:szCs w:val="24"/>
              </w:rPr>
              <w:t>5个</w:t>
            </w:r>
          </w:p>
        </w:tc>
        <w:tc>
          <w:tcPr>
            <w:tcW w:w="1658" w:type="dxa"/>
            <w:vAlign w:val="center"/>
          </w:tcPr>
          <w:p>
            <w:pPr>
              <w:spacing w:line="340" w:lineRule="exact"/>
              <w:ind w:left="0" w:leftChars="0" w:right="0" w:rightChars="0" w:firstLine="0" w:firstLineChars="0"/>
              <w:jc w:val="center"/>
              <w:rPr>
                <w:szCs w:val="24"/>
              </w:rPr>
            </w:pPr>
            <w:r>
              <w:rPr>
                <w:szCs w:val="24"/>
              </w:rPr>
              <w:t>≥10</w:t>
            </w:r>
            <w:r>
              <w:rPr>
                <w:rFonts w:hint="eastAsia"/>
                <w:szCs w:val="24"/>
              </w:rPr>
              <w:t>个</w:t>
            </w:r>
          </w:p>
        </w:tc>
        <w:tc>
          <w:tcPr>
            <w:tcW w:w="1658" w:type="dxa"/>
            <w:vAlign w:val="center"/>
          </w:tcPr>
          <w:p>
            <w:pPr>
              <w:spacing w:line="340" w:lineRule="exact"/>
              <w:ind w:left="0" w:leftChars="0" w:right="0" w:rightChars="0" w:firstLine="0" w:firstLineChars="0"/>
              <w:jc w:val="center"/>
              <w:rPr>
                <w:szCs w:val="24"/>
              </w:rPr>
            </w:pPr>
            <w:r>
              <w:rPr>
                <w:rFonts w:hint="eastAsia"/>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spacing w:line="340" w:lineRule="exact"/>
              <w:ind w:left="0" w:leftChars="0" w:right="0" w:rightChars="0" w:firstLine="0" w:firstLineChars="0"/>
              <w:jc w:val="center"/>
              <w:rPr>
                <w:szCs w:val="24"/>
              </w:rPr>
            </w:pPr>
            <w:r>
              <w:rPr>
                <w:rFonts w:hint="eastAsia"/>
                <w:szCs w:val="24"/>
              </w:rPr>
              <w:t>可再生能源建筑应用</w:t>
            </w:r>
          </w:p>
        </w:tc>
        <w:tc>
          <w:tcPr>
            <w:tcW w:w="2392" w:type="dxa"/>
            <w:gridSpan w:val="2"/>
            <w:vAlign w:val="center"/>
          </w:tcPr>
          <w:p>
            <w:pPr>
              <w:spacing w:line="340" w:lineRule="exact"/>
              <w:ind w:left="0" w:leftChars="0" w:right="0" w:rightChars="0" w:firstLine="0" w:firstLineChars="0"/>
              <w:jc w:val="center"/>
              <w:rPr>
                <w:szCs w:val="24"/>
              </w:rPr>
            </w:pPr>
            <w:r>
              <w:rPr>
                <w:rFonts w:hint="eastAsia"/>
                <w:szCs w:val="24"/>
              </w:rPr>
              <w:t>超低能耗建筑</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≥1个</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w:t>
            </w:r>
            <w:r>
              <w:rPr>
                <w:szCs w:val="24"/>
              </w:rPr>
              <w:t>2</w:t>
            </w:r>
            <w:r>
              <w:rPr>
                <w:rFonts w:hint="eastAsia"/>
                <w:szCs w:val="24"/>
              </w:rPr>
              <w:t>个</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spacing w:line="340" w:lineRule="exact"/>
              <w:ind w:left="0" w:leftChars="0" w:right="0" w:rightChars="0" w:firstLine="0" w:firstLineChars="0"/>
              <w:jc w:val="center"/>
              <w:rPr>
                <w:szCs w:val="24"/>
              </w:rPr>
            </w:pPr>
          </w:p>
        </w:tc>
        <w:tc>
          <w:tcPr>
            <w:tcW w:w="2392" w:type="dxa"/>
            <w:gridSpan w:val="2"/>
            <w:vAlign w:val="center"/>
          </w:tcPr>
          <w:p>
            <w:pPr>
              <w:spacing w:line="340" w:lineRule="exact"/>
              <w:ind w:left="0" w:leftChars="0" w:right="0" w:rightChars="0" w:firstLine="0" w:firstLineChars="0"/>
              <w:jc w:val="center"/>
              <w:rPr>
                <w:szCs w:val="24"/>
              </w:rPr>
            </w:pPr>
            <w:r>
              <w:rPr>
                <w:rFonts w:hint="eastAsia"/>
                <w:szCs w:val="24"/>
              </w:rPr>
              <w:t>近零能耗建筑</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≥1个</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w:t>
            </w:r>
            <w:r>
              <w:rPr>
                <w:szCs w:val="24"/>
              </w:rPr>
              <w:t>2</w:t>
            </w:r>
            <w:r>
              <w:rPr>
                <w:rFonts w:hint="eastAsia"/>
                <w:szCs w:val="24"/>
              </w:rPr>
              <w:t>个</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spacing w:line="340" w:lineRule="exact"/>
              <w:ind w:left="0" w:leftChars="0" w:right="0" w:rightChars="0" w:firstLine="0" w:firstLineChars="0"/>
              <w:jc w:val="center"/>
              <w:rPr>
                <w:szCs w:val="24"/>
              </w:rPr>
            </w:pPr>
          </w:p>
        </w:tc>
        <w:tc>
          <w:tcPr>
            <w:tcW w:w="2392" w:type="dxa"/>
            <w:gridSpan w:val="2"/>
            <w:vAlign w:val="center"/>
          </w:tcPr>
          <w:p>
            <w:pPr>
              <w:spacing w:line="340" w:lineRule="exact"/>
              <w:ind w:left="0" w:leftChars="0" w:right="0" w:rightChars="0" w:firstLine="0" w:firstLineChars="0"/>
              <w:jc w:val="center"/>
              <w:rPr>
                <w:szCs w:val="24"/>
              </w:rPr>
            </w:pPr>
            <w:r>
              <w:rPr>
                <w:rFonts w:hint="eastAsia"/>
                <w:szCs w:val="24"/>
              </w:rPr>
              <w:t>当年新建公共建筑、新建厂房屋顶光伏覆盖率</w:t>
            </w:r>
          </w:p>
        </w:tc>
        <w:tc>
          <w:tcPr>
            <w:tcW w:w="1658" w:type="dxa"/>
            <w:vAlign w:val="center"/>
          </w:tcPr>
          <w:p>
            <w:pPr>
              <w:spacing w:after="120" w:line="340" w:lineRule="exact"/>
              <w:ind w:left="0" w:leftChars="0" w:right="0" w:rightChars="0" w:firstLine="0" w:firstLineChars="0"/>
              <w:jc w:val="center"/>
              <w:rPr>
                <w:szCs w:val="24"/>
              </w:rPr>
            </w:pPr>
            <w:r>
              <w:rPr>
                <w:szCs w:val="24"/>
              </w:rPr>
              <w:t>≥30</w:t>
            </w:r>
            <w:r>
              <w:rPr>
                <w:rFonts w:hint="eastAsia"/>
                <w:szCs w:val="24"/>
              </w:rPr>
              <w:t>%</w:t>
            </w:r>
          </w:p>
        </w:tc>
        <w:tc>
          <w:tcPr>
            <w:tcW w:w="1658" w:type="dxa"/>
            <w:vAlign w:val="center"/>
          </w:tcPr>
          <w:p>
            <w:pPr>
              <w:spacing w:after="120" w:line="340" w:lineRule="exact"/>
              <w:ind w:left="0" w:leftChars="0" w:right="0" w:rightChars="0" w:firstLine="0" w:firstLineChars="0"/>
              <w:jc w:val="center"/>
              <w:rPr>
                <w:szCs w:val="24"/>
              </w:rPr>
            </w:pPr>
            <w:r>
              <w:rPr>
                <w:szCs w:val="24"/>
              </w:rPr>
              <w:t>≥50</w:t>
            </w:r>
            <w:r>
              <w:rPr>
                <w:rFonts w:hint="eastAsia"/>
                <w:szCs w:val="24"/>
              </w:rPr>
              <w:t>%</w:t>
            </w:r>
          </w:p>
        </w:tc>
        <w:tc>
          <w:tcPr>
            <w:tcW w:w="1658" w:type="dxa"/>
            <w:vAlign w:val="center"/>
          </w:tcPr>
          <w:p>
            <w:pPr>
              <w:spacing w:line="340" w:lineRule="exact"/>
              <w:ind w:left="0" w:leftChars="0" w:right="0" w:rightChars="0" w:firstLine="0" w:firstLineChars="0"/>
              <w:jc w:val="center"/>
              <w:rPr>
                <w:szCs w:val="24"/>
              </w:rPr>
            </w:pPr>
            <w:r>
              <w:rPr>
                <w:rFonts w:hint="eastAsia"/>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spacing w:line="340" w:lineRule="exact"/>
              <w:ind w:left="0" w:leftChars="0" w:right="0" w:rightChars="0" w:firstLine="0" w:firstLineChars="0"/>
              <w:jc w:val="center"/>
              <w:rPr>
                <w:szCs w:val="24"/>
              </w:rPr>
            </w:pPr>
            <w:r>
              <w:rPr>
                <w:rFonts w:hint="eastAsia"/>
                <w:szCs w:val="24"/>
              </w:rPr>
              <w:t>绿色建材</w:t>
            </w:r>
          </w:p>
        </w:tc>
        <w:tc>
          <w:tcPr>
            <w:tcW w:w="2392" w:type="dxa"/>
            <w:gridSpan w:val="2"/>
            <w:vAlign w:val="center"/>
          </w:tcPr>
          <w:p>
            <w:pPr>
              <w:spacing w:line="340" w:lineRule="exact"/>
              <w:ind w:left="0" w:leftChars="0" w:right="0" w:rightChars="0" w:firstLine="0" w:firstLineChars="0"/>
              <w:jc w:val="center"/>
              <w:rPr>
                <w:szCs w:val="24"/>
              </w:rPr>
            </w:pPr>
            <w:r>
              <w:rPr>
                <w:rFonts w:hint="eastAsia"/>
                <w:szCs w:val="24"/>
              </w:rPr>
              <w:t>水泥散装率</w:t>
            </w:r>
          </w:p>
        </w:tc>
        <w:tc>
          <w:tcPr>
            <w:tcW w:w="1658" w:type="dxa"/>
            <w:vAlign w:val="center"/>
          </w:tcPr>
          <w:p>
            <w:pPr>
              <w:spacing w:after="120" w:line="340" w:lineRule="exact"/>
              <w:ind w:left="0" w:leftChars="0" w:right="0" w:rightChars="0" w:firstLine="0" w:firstLineChars="0"/>
              <w:jc w:val="center"/>
              <w:rPr>
                <w:szCs w:val="24"/>
              </w:rPr>
            </w:pPr>
            <w:r>
              <w:rPr>
                <w:szCs w:val="24"/>
              </w:rPr>
              <w:t>≥80</w:t>
            </w:r>
            <w:r>
              <w:rPr>
                <w:rFonts w:hint="eastAsia"/>
                <w:szCs w:val="24"/>
              </w:rPr>
              <w:t>%</w:t>
            </w:r>
          </w:p>
        </w:tc>
        <w:tc>
          <w:tcPr>
            <w:tcW w:w="1658" w:type="dxa"/>
            <w:vAlign w:val="center"/>
          </w:tcPr>
          <w:p>
            <w:pPr>
              <w:spacing w:after="120" w:line="340" w:lineRule="exact"/>
              <w:ind w:left="0" w:leftChars="0" w:right="0" w:rightChars="0" w:firstLine="0" w:firstLineChars="0"/>
              <w:jc w:val="center"/>
              <w:rPr>
                <w:szCs w:val="24"/>
              </w:rPr>
            </w:pPr>
            <w:r>
              <w:rPr>
                <w:szCs w:val="24"/>
              </w:rPr>
              <w:t>≥100</w:t>
            </w:r>
            <w:r>
              <w:rPr>
                <w:rFonts w:hint="eastAsia"/>
                <w:szCs w:val="24"/>
              </w:rPr>
              <w:t>%</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spacing w:line="340" w:lineRule="exact"/>
              <w:ind w:left="0" w:leftChars="0" w:right="0" w:rightChars="0" w:firstLine="0" w:firstLineChars="0"/>
              <w:jc w:val="center"/>
              <w:rPr>
                <w:szCs w:val="24"/>
              </w:rPr>
            </w:pPr>
          </w:p>
        </w:tc>
        <w:tc>
          <w:tcPr>
            <w:tcW w:w="2392" w:type="dxa"/>
            <w:gridSpan w:val="2"/>
            <w:vAlign w:val="center"/>
          </w:tcPr>
          <w:p>
            <w:pPr>
              <w:spacing w:line="340" w:lineRule="exact"/>
              <w:ind w:left="0" w:leftChars="0" w:right="0" w:rightChars="0" w:firstLine="0" w:firstLineChars="0"/>
              <w:jc w:val="center"/>
              <w:rPr>
                <w:szCs w:val="24"/>
              </w:rPr>
            </w:pPr>
            <w:r>
              <w:rPr>
                <w:rFonts w:hint="eastAsia"/>
                <w:szCs w:val="24"/>
              </w:rPr>
              <w:t>散装水泥中转站</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3</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5</w:t>
            </w:r>
          </w:p>
        </w:tc>
        <w:tc>
          <w:tcPr>
            <w:tcW w:w="1658" w:type="dxa"/>
            <w:vAlign w:val="center"/>
          </w:tcPr>
          <w:p>
            <w:pPr>
              <w:spacing w:after="120" w:line="340" w:lineRule="exact"/>
              <w:ind w:left="0" w:leftChars="0" w:right="0" w:rightChars="0" w:firstLine="0" w:firstLineChars="0"/>
              <w:jc w:val="center"/>
              <w:rPr>
                <w:szCs w:val="24"/>
              </w:rPr>
            </w:pPr>
            <w:r>
              <w:rPr>
                <w:rFonts w:hint="eastAsia"/>
                <w:szCs w:val="24"/>
              </w:rPr>
              <w:t>预期性</w:t>
            </w:r>
          </w:p>
        </w:tc>
      </w:tr>
    </w:tbl>
    <w:p>
      <w:pPr>
        <w:ind w:left="0" w:leftChars="0" w:right="0" w:rightChars="0" w:firstLine="440"/>
        <w:rPr>
          <w:sz w:val="22"/>
          <w:szCs w:val="24"/>
        </w:rPr>
      </w:pPr>
      <w:r>
        <w:rPr>
          <w:sz w:val="22"/>
          <w:szCs w:val="24"/>
        </w:rPr>
        <w:t>备注</w:t>
      </w:r>
      <w:r>
        <w:rPr>
          <w:rFonts w:hint="eastAsia"/>
          <w:sz w:val="22"/>
          <w:szCs w:val="24"/>
        </w:rPr>
        <w:t>：装配式建筑相关指标参考《汕尾市装配式建筑专项规划（2019-2025）》，绿色建材相关指标参考《汕尾市散装水泥发展和应用“十四五”规划》。</w:t>
      </w:r>
    </w:p>
    <w:p>
      <w:pPr>
        <w:pStyle w:val="3"/>
        <w:numPr>
          <w:ilvl w:val="1"/>
          <w:numId w:val="25"/>
        </w:numPr>
        <w:spacing w:line="360" w:lineRule="auto"/>
        <w:ind w:left="0" w:leftChars="0" w:right="-84" w:rightChars="-35" w:firstLine="0" w:firstLineChars="0"/>
        <w:rPr>
          <w:rFonts w:ascii="黑体" w:hAnsi="黑体"/>
          <w:szCs w:val="30"/>
        </w:rPr>
      </w:pPr>
      <w:bookmarkStart w:id="44" w:name="_Toc117875457"/>
      <w:r>
        <w:rPr>
          <w:rFonts w:hint="eastAsia" w:ascii="黑体" w:hAnsi="黑体"/>
          <w:szCs w:val="30"/>
        </w:rPr>
        <w:t>总体发展战略与技术路线</w:t>
      </w:r>
      <w:bookmarkEnd w:id="44"/>
    </w:p>
    <w:p>
      <w:pPr>
        <w:pStyle w:val="4"/>
        <w:numPr>
          <w:ilvl w:val="2"/>
          <w:numId w:val="27"/>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绿色建筑的总体发展战略</w:t>
      </w:r>
    </w:p>
    <w:p>
      <w:pPr>
        <w:pStyle w:val="5"/>
        <w:numPr>
          <w:ilvl w:val="3"/>
          <w:numId w:val="28"/>
        </w:numPr>
        <w:spacing w:before="160" w:after="160"/>
        <w:ind w:left="0" w:leftChars="0" w:right="198" w:rightChars="0" w:firstLine="482" w:firstLineChars="0"/>
        <w:rPr>
          <w:rFonts w:ascii="仿宋_GB2312" w:eastAsia="仿宋_GB2312"/>
          <w:kern w:val="0"/>
          <w:sz w:val="24"/>
        </w:rPr>
      </w:pPr>
      <w:r>
        <w:rPr>
          <w:rFonts w:hint="eastAsia"/>
          <w:sz w:val="24"/>
        </w:rPr>
        <w:t>全生命周期绿色发展战略</w:t>
      </w:r>
    </w:p>
    <w:p>
      <w:pPr>
        <w:ind w:left="0" w:leftChars="0" w:right="0" w:rightChars="0" w:firstLine="480"/>
      </w:pPr>
      <w:r>
        <w:rPr>
          <w:rFonts w:hint="eastAsia"/>
        </w:rPr>
        <w:t>（1）大力营造建筑设计、施工、运行、改造全生命周期中绿色、节能、低碳、环保的绿色建筑氛围。</w:t>
      </w:r>
    </w:p>
    <w:p>
      <w:pPr>
        <w:ind w:left="0" w:leftChars="0" w:right="0" w:rightChars="0" w:firstLine="480"/>
      </w:pPr>
      <w:r>
        <w:rPr>
          <w:rFonts w:hint="eastAsia"/>
        </w:rPr>
        <w:t>（2）从项目立项、规划、设计、施工、运行及管理、维修和养护到拆除再利用的全生命期视角进行绿色建筑实践活动，有效实现绿色建筑专项规划、设计、施工、竣工验收等全过程管理，加快既有民用建筑的绿色改造计划实施与力度，从而最大限度地实现节能、节地、节水、节材和保护环境。全面执行《广东省绿色建筑条例》、《绿色建筑评价标准》、《绿色建筑设计标准》等一系列的政策法规、规范标准，对各类开发建设活动提出绿色建筑指标要求，城市、镇总体规划确定的城镇建设用地范围内新建民用建筑（农民自建住宅除外）全部按照绿色建筑标准进行建设，同时积极推动高星级绿色建筑的建设，落实绿色建筑规模化发展。显著提升新建建筑能效水平，提高建筑节能发展质量。</w:t>
      </w:r>
    </w:p>
    <w:p>
      <w:pPr>
        <w:ind w:left="0" w:leftChars="0" w:right="0" w:rightChars="0" w:firstLine="480"/>
      </w:pPr>
      <w:r>
        <w:rPr>
          <w:rFonts w:hint="eastAsia"/>
        </w:rPr>
        <w:t>（</w:t>
      </w:r>
      <w:r>
        <w:t>3</w:t>
      </w:r>
      <w:r>
        <w:rPr>
          <w:rFonts w:hint="eastAsia"/>
        </w:rPr>
        <w:t>）建立健全建筑绿色设计、绿色施工、绿色运行和绿色改造规范标准体系。</w:t>
      </w:r>
    </w:p>
    <w:p>
      <w:pPr>
        <w:ind w:left="0" w:leftChars="0" w:right="0" w:rightChars="0" w:firstLine="480"/>
      </w:pPr>
      <w:r>
        <w:rPr>
          <w:rFonts w:hint="eastAsia"/>
        </w:rPr>
        <w:t>（4）实施严格的绿色建筑全过程监管体系，全面落实绿色建筑相关标准和管理规定，积极推动引导性指标的落实和推广。</w:t>
      </w:r>
    </w:p>
    <w:p>
      <w:pPr>
        <w:pStyle w:val="5"/>
        <w:numPr>
          <w:ilvl w:val="3"/>
          <w:numId w:val="28"/>
        </w:numPr>
        <w:spacing w:before="160" w:after="160"/>
        <w:ind w:left="0" w:leftChars="0" w:right="198" w:rightChars="0" w:firstLine="482" w:firstLineChars="0"/>
        <w:rPr>
          <w:sz w:val="24"/>
        </w:rPr>
      </w:pPr>
      <w:r>
        <w:rPr>
          <w:rFonts w:hint="eastAsia"/>
          <w:sz w:val="24"/>
        </w:rPr>
        <w:t>产业联动助推发展战略</w:t>
      </w:r>
    </w:p>
    <w:p>
      <w:pPr>
        <w:ind w:left="0" w:leftChars="0" w:right="0" w:rightChars="0" w:firstLine="480"/>
      </w:pPr>
      <w:r>
        <w:rPr>
          <w:rFonts w:hint="eastAsia"/>
        </w:rPr>
        <w:t>发展绿色建材，建立绿色建材评价标识制度、第三方信息发布机制，疏通建筑工程绿色建材选用通道，实现绿色建筑产品质量的可追溯性。</w:t>
      </w:r>
    </w:p>
    <w:p>
      <w:pPr>
        <w:ind w:left="0" w:leftChars="0" w:right="0" w:rightChars="0" w:firstLine="480"/>
      </w:pPr>
      <w:r>
        <w:rPr>
          <w:rFonts w:hint="eastAsia"/>
        </w:rPr>
        <w:t>通过重点工程、示范项目的建设，引进国内外先进理论、技术及团队，对绿色建筑设计技术，建筑节能技术与设备，超低能耗建筑技术，可再生能源装置与建筑一体化应用技术，绿色建筑施工技术与装备，节能建材与绿色建材，建筑节能技术标准等方面进行研究与应用。推进汕尾市绿色建筑和建筑节能工作健康有序发展，在推进新型城镇化建设和新农村建设中贯彻落实绿色、低碳、节能、可持续的发展理念。</w:t>
      </w:r>
    </w:p>
    <w:p>
      <w:pPr>
        <w:pStyle w:val="5"/>
        <w:numPr>
          <w:ilvl w:val="3"/>
          <w:numId w:val="28"/>
        </w:numPr>
        <w:spacing w:before="160" w:after="160"/>
        <w:ind w:left="0" w:leftChars="0" w:right="198" w:rightChars="0" w:firstLine="482" w:firstLineChars="0"/>
        <w:rPr>
          <w:sz w:val="24"/>
        </w:rPr>
      </w:pPr>
      <w:r>
        <w:rPr>
          <w:rFonts w:hint="eastAsia"/>
          <w:sz w:val="24"/>
        </w:rPr>
        <w:t>开源节流并重发展战略</w:t>
      </w:r>
    </w:p>
    <w:p>
      <w:pPr>
        <w:ind w:left="0" w:leftChars="0" w:right="0" w:rightChars="0" w:firstLine="480"/>
      </w:pPr>
      <w:r>
        <w:rPr>
          <w:rFonts w:hint="eastAsia"/>
        </w:rPr>
        <w:t>同步实施建筑节约能源与可再生能源建筑一体化应用，全面推进可再生能源在建筑中的规模化利用。</w:t>
      </w:r>
    </w:p>
    <w:p>
      <w:pPr>
        <w:ind w:left="0" w:leftChars="0" w:right="0" w:rightChars="0" w:firstLine="480"/>
      </w:pPr>
      <w:r>
        <w:rPr>
          <w:rFonts w:hint="eastAsia"/>
        </w:rPr>
        <w:t>（1）加快可再生能源建筑一体化运用，提高可再生能源在建筑领域的消费比重。可再生能源设施应与建筑工程同步设计、同步施工、同步验收、同步投入使用，实现设施与建筑和环境的有机协调，保障建筑结构和产品使用安全，提高群众居住生活的舒适程度。因地制宜地推进太阳能、地热能、空气能等可再生能源在新建绿色建筑中的规模化应用。鼓励有条件的既有建筑在节能改造时也要充分考虑利用太阳能等可再生能源。</w:t>
      </w:r>
    </w:p>
    <w:p>
      <w:pPr>
        <w:ind w:left="0" w:leftChars="0" w:right="0" w:rightChars="0" w:firstLine="480"/>
      </w:pPr>
      <w:r>
        <w:rPr>
          <w:rFonts w:hint="eastAsia"/>
        </w:rPr>
        <w:t>（2）开展可再生能源建筑应用项目的实践总结与后评估工作，不断总结经验。对有条件安装太阳能系统、实施集中热水管理的新建宿舍、公寓、医院住院部和酒店等建设项目，应按技术经济合理原则，推广安装太阳能热水系统或光伏系统。对符合技术经济合理原则、具备相关安装条件的既有建筑或小区，在不破坏建筑结构、屋面防水、日照遮挡、公共通行、相关使用功能和安全的前提下，鼓励开展光热利用或光伏发电试点。积极开展相关技术研究，加强运行、维护管理，切实提升汕尾市建筑可再生能源应用水平。</w:t>
      </w:r>
    </w:p>
    <w:p>
      <w:pPr>
        <w:pStyle w:val="5"/>
        <w:numPr>
          <w:ilvl w:val="3"/>
          <w:numId w:val="28"/>
        </w:numPr>
        <w:spacing w:before="160" w:after="160"/>
        <w:ind w:left="0" w:leftChars="0" w:right="198" w:rightChars="0" w:firstLine="482" w:firstLineChars="0"/>
        <w:rPr>
          <w:sz w:val="24"/>
        </w:rPr>
      </w:pPr>
      <w:r>
        <w:rPr>
          <w:rFonts w:hint="eastAsia"/>
          <w:sz w:val="24"/>
        </w:rPr>
        <w:t>示范创新引领发展战略</w:t>
      </w:r>
    </w:p>
    <w:p>
      <w:pPr>
        <w:ind w:left="0" w:leftChars="0" w:right="0" w:rightChars="0" w:firstLine="480"/>
      </w:pPr>
      <w:r>
        <w:rPr>
          <w:rFonts w:hint="eastAsia"/>
        </w:rPr>
        <w:t>创建一批理念先进、设计领先、技术可行、经济合理且可复制、可推广的绿色建筑示范项目。对重点项目、重要发展区域内建设活动提出更高要求，选择具有代表性的项目，建设成片高星级以及运行标识绿色建筑示范工程，并以此为经验，探索绿色建筑效益与投入关系，寻求平衡点，以实际工程成果引导业主自主建设高星级以及运行标识的绿色建筑。政府机关办公建筑和政府投资或者以政府投资为主的其他公共建筑高于最低等级绿色建筑标准进行规划、建设和运营，并积极争创三星级绿色建筑。引导和鼓励其他公共建筑和居住建筑按照一星级以上绿色建筑的技术要求进行建设。加大宣传力度，引导全社会对绿色建筑的认同感。</w:t>
      </w:r>
    </w:p>
    <w:p>
      <w:pPr>
        <w:pStyle w:val="4"/>
        <w:numPr>
          <w:ilvl w:val="2"/>
          <w:numId w:val="27"/>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装配式建筑总体发展战略</w:t>
      </w:r>
    </w:p>
    <w:p>
      <w:pPr>
        <w:pStyle w:val="5"/>
        <w:numPr>
          <w:ilvl w:val="3"/>
          <w:numId w:val="29"/>
        </w:numPr>
        <w:spacing w:before="160" w:after="160"/>
        <w:ind w:left="0" w:leftChars="0" w:right="198" w:rightChars="0" w:firstLine="482" w:firstLineChars="0"/>
        <w:rPr>
          <w:sz w:val="24"/>
        </w:rPr>
      </w:pPr>
      <w:r>
        <w:rPr>
          <w:rFonts w:hint="eastAsia"/>
          <w:sz w:val="24"/>
        </w:rPr>
        <w:t>政策法规战略，加强组织协调、建立政策保障体系</w:t>
      </w:r>
    </w:p>
    <w:p>
      <w:pPr>
        <w:ind w:left="0" w:leftChars="0" w:right="0" w:rightChars="0" w:firstLine="480"/>
      </w:pPr>
      <w:r>
        <w:rPr>
          <w:rFonts w:hint="eastAsia"/>
        </w:rPr>
        <w:t>（1）运用法治思维和方式，推进以法制为保障的装配式建筑推进机制，建立全面系统的法规制度、政策保障体系和监督系统，建立有法可依、有章可循的长效推进机制，提升装配式建筑发展的社会认同感。整合政策资源，完善评价指标和考核机制，通过专项规划等手段，对各类开发建设活动提出指标要求。确保各项政策和推进措施落实到位，促进装配式建筑分阶段地有序发展。</w:t>
      </w:r>
    </w:p>
    <w:p>
      <w:pPr>
        <w:ind w:left="0" w:leftChars="0" w:right="0" w:rightChars="0" w:firstLine="480"/>
      </w:pPr>
      <w:r>
        <w:rPr>
          <w:rFonts w:hint="eastAsia"/>
        </w:rPr>
        <w:t>（2）确保装配式建筑发展的激励措施落实到位，出台优惠政策，完善装配式建筑项目资金补贴标准和申报办法，吸引国内外资本，建立装配式建筑产业园区，加大科技研发及成果转化，支撑装配式建筑推广、发展。</w:t>
      </w:r>
    </w:p>
    <w:p>
      <w:pPr>
        <w:pStyle w:val="5"/>
        <w:numPr>
          <w:ilvl w:val="3"/>
          <w:numId w:val="29"/>
        </w:numPr>
        <w:spacing w:before="160" w:after="160"/>
        <w:ind w:left="0" w:leftChars="0" w:right="198" w:rightChars="0" w:firstLine="482" w:firstLineChars="0"/>
        <w:rPr>
          <w:sz w:val="24"/>
        </w:rPr>
      </w:pPr>
      <w:r>
        <w:rPr>
          <w:rFonts w:hint="eastAsia"/>
          <w:sz w:val="24"/>
        </w:rPr>
        <w:t>科技创新战略，以制度、科技创新支撑装配式建筑发展</w:t>
      </w:r>
    </w:p>
    <w:p>
      <w:pPr>
        <w:ind w:left="0" w:leftChars="0" w:right="0" w:rightChars="0" w:firstLine="480"/>
      </w:pPr>
      <w:r>
        <w:rPr>
          <w:rFonts w:hint="eastAsia"/>
        </w:rPr>
        <w:t>（1）加快推动装配式建筑管理制度创新。立足装配式建筑的发展要求，加快改变传统的固定思维，破除壁垒，鼓励企业开展管理创新，探索新形势下高效的管理模式，利用全社会力量共同推动装配式建筑制度建设创新。同时，利用互联网思维改造升级传统建筑业，实现建筑业标准化、信息化、精细化管理“三化融合”，促进企业管理升级。</w:t>
      </w:r>
    </w:p>
    <w:p>
      <w:pPr>
        <w:ind w:left="0" w:leftChars="0" w:right="0" w:rightChars="0" w:firstLine="480"/>
      </w:pPr>
      <w:r>
        <w:rPr>
          <w:rFonts w:hint="eastAsia"/>
        </w:rPr>
        <w:t>（2）加快装配式建筑的科技创新。加大技术研发力度，建立以企业为主体、项目为载体、市场为导向的科技创新体系。促进新技术、新产品、新材料、新工艺的开发推广，促进科技成果转化为现实生产力，加快装配式建筑制造装备和安装工艺的技术突破，构建装配式建筑的技术标准体系。加快形成以创新为主要引领和支撑的经济体系和发展模式，提升行业发展质量和效益。同时顺应大数据时代发展趋势，积极探索装配式建筑与建筑信息化融合发展。推广建筑信息模型（BIM）技术的应用，将BIM技术融入装配式建筑项目全过程；建立全方位、全过程的监管系统，引导建立行业数据库和行业信息化标准体系，打破传统建筑业上下游界限。</w:t>
      </w:r>
    </w:p>
    <w:p>
      <w:pPr>
        <w:ind w:left="0" w:leftChars="0" w:right="0" w:rightChars="0" w:firstLine="480"/>
      </w:pPr>
      <w:r>
        <w:rPr>
          <w:rFonts w:hint="eastAsia"/>
        </w:rPr>
        <w:t>（3）加快各项体制机制改革步伐，推动招标投标、施工许可、部品部件生产、工程计价、质量监督和竣工验收等环节的建设管理模式转变，并逐步建立起与市场化运行和装配式建筑发展相匹配、政府引导和市场主导相并行的完整制度体系，实现传统建筑业的顺利转型与可持续发展。</w:t>
      </w:r>
    </w:p>
    <w:p>
      <w:pPr>
        <w:pStyle w:val="5"/>
        <w:numPr>
          <w:ilvl w:val="3"/>
          <w:numId w:val="29"/>
        </w:numPr>
        <w:spacing w:before="160" w:after="160"/>
        <w:ind w:left="0" w:leftChars="0" w:right="198" w:rightChars="0" w:firstLine="482" w:firstLineChars="0"/>
        <w:rPr>
          <w:sz w:val="24"/>
        </w:rPr>
      </w:pPr>
      <w:r>
        <w:rPr>
          <w:rFonts w:hint="eastAsia"/>
          <w:sz w:val="24"/>
        </w:rPr>
        <w:t>产业融合战略，培育装配式建筑产业基地</w:t>
      </w:r>
    </w:p>
    <w:p>
      <w:pPr>
        <w:ind w:left="0" w:leftChars="0" w:right="0" w:rightChars="0" w:firstLine="480"/>
      </w:pPr>
      <w:r>
        <w:rPr>
          <w:rFonts w:hint="eastAsia"/>
        </w:rPr>
        <w:t>（1）培育骨干龙头企业</w:t>
      </w:r>
    </w:p>
    <w:p>
      <w:pPr>
        <w:ind w:left="0" w:leftChars="0" w:right="0" w:rightChars="0" w:firstLine="480"/>
      </w:pPr>
      <w:r>
        <w:rPr>
          <w:rFonts w:hint="eastAsia"/>
        </w:rPr>
        <w:t>推行设计、生产、施工为一体的工程总承包方式，重点支持具有科研、设计、施工、采购、房地产开发等全产业链的大型企业参与装配式建筑项目的建设。鼓励传统开发、设计、施工、监理单位的转型与联合，提高建筑生产集约化和一体化程度。加大扶持力度，促进科技成果的转化，加强装配式建筑技术的发展和实施。</w:t>
      </w:r>
    </w:p>
    <w:p>
      <w:pPr>
        <w:ind w:left="0" w:leftChars="0" w:right="0" w:rightChars="0" w:firstLine="480"/>
      </w:pPr>
      <w:r>
        <w:rPr>
          <w:rFonts w:hint="eastAsia"/>
        </w:rPr>
        <w:t>（2）加快产业基地培育</w:t>
      </w:r>
    </w:p>
    <w:p>
      <w:pPr>
        <w:ind w:left="0" w:leftChars="0" w:right="0" w:rightChars="0" w:firstLine="480"/>
      </w:pPr>
      <w:r>
        <w:rPr>
          <w:rFonts w:hint="eastAsia"/>
        </w:rPr>
        <w:t>紧跟房屋建筑业的格局转变趋势，加快企业转型调整步伐，尽快适应装配式建筑生产方式要求，实现工业化和产业化的有机结合，以工程总承包方式为龙头，整合优化整个产业链上的资源，不断谋求产业发展新空间，加快形成完整、高效、协同的建筑业产业基地。推动建筑行业与其他上、下游行业的深层次交流与跨界融合，从而在部品建造、集成内装、构件运输等多领域展开全面合作，促进共同发展。</w:t>
      </w:r>
    </w:p>
    <w:p>
      <w:pPr>
        <w:ind w:left="0" w:leftChars="0" w:right="0" w:rightChars="0" w:firstLine="480"/>
      </w:pPr>
      <w:r>
        <w:rPr>
          <w:rFonts w:hint="eastAsia"/>
        </w:rPr>
        <w:t>（3）完善多层次企业架构</w:t>
      </w:r>
    </w:p>
    <w:p>
      <w:pPr>
        <w:ind w:left="0" w:leftChars="0" w:right="0" w:rightChars="0" w:firstLine="480"/>
      </w:pPr>
      <w:r>
        <w:rPr>
          <w:rFonts w:hint="eastAsia"/>
        </w:rPr>
        <w:t>结合现有企业发展水平的特点，进一步明确各类企业的市场定位，构建和完善大中小企业协调发展格局，加快构筑适应装配式建筑发展的多层次企业架构。</w:t>
      </w:r>
    </w:p>
    <w:p>
      <w:pPr>
        <w:pStyle w:val="5"/>
        <w:numPr>
          <w:ilvl w:val="3"/>
          <w:numId w:val="29"/>
        </w:numPr>
        <w:spacing w:before="160" w:after="160"/>
        <w:ind w:left="0" w:leftChars="0" w:right="198" w:rightChars="0" w:firstLine="482" w:firstLineChars="0"/>
        <w:rPr>
          <w:sz w:val="24"/>
        </w:rPr>
      </w:pPr>
      <w:r>
        <w:rPr>
          <w:rFonts w:hint="eastAsia"/>
          <w:sz w:val="24"/>
        </w:rPr>
        <w:t>团队建设战略，以足够的人才储备支撑装配式建筑</w:t>
      </w:r>
    </w:p>
    <w:p>
      <w:pPr>
        <w:ind w:left="0" w:leftChars="0" w:right="0" w:rightChars="0" w:firstLine="480"/>
      </w:pPr>
      <w:r>
        <w:rPr>
          <w:rFonts w:hint="eastAsia"/>
        </w:rPr>
        <w:t>加快培育、引进装配式建筑专业技术人才，提升行业监管人员素质，全面增强汕尾市装配式建筑产业发展的软实力，从而带动工业化产业技术革新，提高工业化产品质量，降低工业化产品生产成本，推动装配式建筑的市场应用。</w:t>
      </w:r>
    </w:p>
    <w:p>
      <w:pPr>
        <w:ind w:left="0" w:leftChars="0" w:right="0" w:rightChars="0" w:firstLine="480"/>
      </w:pPr>
      <w:r>
        <w:rPr>
          <w:rFonts w:hint="eastAsia"/>
        </w:rPr>
        <w:t>（1）积极引进相关专业和学科的大学毕业生，培养该专业领域的设计、预制构件生产和施工安装技术人员。</w:t>
      </w:r>
    </w:p>
    <w:p>
      <w:pPr>
        <w:ind w:left="0" w:leftChars="0" w:right="0" w:rightChars="0" w:firstLine="480"/>
      </w:pPr>
      <w:r>
        <w:rPr>
          <w:rFonts w:hint="eastAsia"/>
        </w:rPr>
        <w:t>（2）以现有装配式建筑企业为基础，培养建筑部品、部件及其他预制件生产团队，以旧带新，加强团队建设，打造规模化、专业化的建筑产业工人队伍。</w:t>
      </w:r>
    </w:p>
    <w:p>
      <w:pPr>
        <w:ind w:left="0" w:leftChars="0" w:right="0" w:rightChars="0" w:firstLine="480"/>
      </w:pPr>
      <w:r>
        <w:rPr>
          <w:rFonts w:hint="eastAsia"/>
        </w:rPr>
        <w:t>（3）促进新型装配式建筑企业与相关职业教育机构合作，培养实用技术人员，帮助传统建筑业工人升级转型为具备建造相关专业技术及生产、操作经验的职业技术工人。</w:t>
      </w:r>
    </w:p>
    <w:p>
      <w:pPr>
        <w:ind w:left="0" w:leftChars="0" w:right="0" w:rightChars="0" w:firstLine="480"/>
      </w:pPr>
      <w:r>
        <w:rPr>
          <w:rFonts w:hint="eastAsia"/>
        </w:rPr>
        <w:t>（4）依托试点、示范工程，通过企业内部培训，培养并打造优秀的装配式项目管理人员队伍。</w:t>
      </w:r>
    </w:p>
    <w:p>
      <w:pPr>
        <w:pStyle w:val="5"/>
        <w:numPr>
          <w:ilvl w:val="3"/>
          <w:numId w:val="29"/>
        </w:numPr>
        <w:spacing w:before="160" w:after="160"/>
        <w:ind w:left="0" w:leftChars="0" w:right="198" w:rightChars="0" w:firstLine="482" w:firstLineChars="0"/>
        <w:rPr>
          <w:sz w:val="24"/>
        </w:rPr>
      </w:pPr>
      <w:r>
        <w:rPr>
          <w:rFonts w:hint="eastAsia"/>
          <w:sz w:val="24"/>
        </w:rPr>
        <w:t>示范推广战略，树立装配式建筑标杆</w:t>
      </w:r>
    </w:p>
    <w:p>
      <w:pPr>
        <w:ind w:left="0" w:leftChars="0" w:right="0" w:rightChars="0" w:firstLine="480"/>
      </w:pPr>
      <w:r>
        <w:rPr>
          <w:rFonts w:hint="eastAsia"/>
        </w:rPr>
        <w:t>（1）以基地和项目建设加大示范力度</w:t>
      </w:r>
    </w:p>
    <w:p>
      <w:pPr>
        <w:ind w:left="0" w:leftChars="0" w:right="0" w:rightChars="0" w:firstLine="480"/>
      </w:pPr>
      <w:r>
        <w:rPr>
          <w:rFonts w:hint="eastAsia"/>
        </w:rPr>
        <w:t>积极引进和培育新型装配式建筑企业，到2025年，设立完善新型装配式建筑生产基地，实现市场供需平衡。大力推动装配式建筑示范项目建设，以基地建设和项目示范带动装配式建筑领域的合作与交流。及时总结技术创新、模式创新的经验，面向社会推广。鼓励行业龙头企业继续做大做强，建设标杆示范性工程。</w:t>
      </w:r>
    </w:p>
    <w:p>
      <w:pPr>
        <w:ind w:left="0" w:leftChars="0" w:right="0" w:rightChars="0" w:firstLine="480"/>
      </w:pPr>
      <w:r>
        <w:rPr>
          <w:rFonts w:hint="eastAsia"/>
        </w:rPr>
        <w:t>（2）以多样化激励措施提升示范水平</w:t>
      </w:r>
    </w:p>
    <w:p>
      <w:pPr>
        <w:ind w:left="0" w:leftChars="0" w:right="0" w:rightChars="0" w:firstLine="480"/>
      </w:pPr>
      <w:r>
        <w:rPr>
          <w:rFonts w:hint="eastAsia"/>
        </w:rPr>
        <w:t>通过打造全方位的政策激励环境，提高人们对装配式建筑的认同感，形成促进装配式建筑发展的良好氛围。出台具有可操作性的装配式建筑扶持政策和实施细则，增加政府专项资金投入，支持装配式建筑技术创新、基地和项目建设。搭建金融支持平台，为装配式建筑基地和项目建设提供融资支持。在税收、土地供给、相关手续等方面出台优惠政策，对开展装配式建筑生产的企业和示范项目给予支持。对于采用装配式建筑方式建设的项目，符合相关规定的建筑面积可不计入容积率，房产开发类项目可按有关规定提前预售。鼓励建立承包商名录，作为装配式建筑项目优先选择对象。</w:t>
      </w:r>
    </w:p>
    <w:p>
      <w:pPr>
        <w:pStyle w:val="4"/>
        <w:numPr>
          <w:ilvl w:val="2"/>
          <w:numId w:val="27"/>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超低能耗建筑总体发展战略</w:t>
      </w:r>
    </w:p>
    <w:p>
      <w:pPr>
        <w:ind w:left="0" w:leftChars="0" w:right="0" w:rightChars="0" w:firstLine="480"/>
      </w:pPr>
      <w:r>
        <w:rPr>
          <w:rFonts w:hint="eastAsia"/>
        </w:rPr>
        <w:t>积极推动汕尾市超低能耗建筑试点工作，吸纳建筑节能领域先进的理念和标准、技术和方法，推动超低能耗建筑的实践和发展，鼓励高品质住宅小区、政府投资公建以及大型商业办公建筑采用超低能耗建筑标准进行建设，积极建设示范工程推广应用。</w:t>
      </w:r>
    </w:p>
    <w:p>
      <w:pPr>
        <w:ind w:left="0" w:leftChars="0" w:right="0" w:rightChars="0" w:firstLine="480"/>
      </w:pPr>
      <w:r>
        <w:rPr>
          <w:rFonts w:hint="eastAsia"/>
        </w:rPr>
        <w:t>探索超低能耗建筑效益与投入的关系，寻求平衡点，以实际工程成果引导建设单位，同时加大宣传力度，增加全社会对超低能耗建筑的感知程度和认同程度。通过超低能耗建筑引领汕尾市建筑节能的发展，提升建筑部品的性能及应用水平，带动节能技术的升级换代，进而促进相关产业发展。</w:t>
      </w:r>
    </w:p>
    <w:p>
      <w:pPr>
        <w:pStyle w:val="4"/>
        <w:numPr>
          <w:ilvl w:val="2"/>
          <w:numId w:val="27"/>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既有民用建筑绿色改造实施计划</w:t>
      </w:r>
    </w:p>
    <w:p>
      <w:pPr>
        <w:ind w:left="0" w:leftChars="0" w:right="0" w:rightChars="0" w:firstLine="480"/>
      </w:pPr>
      <w:r>
        <w:rPr>
          <w:rFonts w:hint="eastAsia"/>
        </w:rPr>
        <w:t>根据汕尾市既有民用建筑绿色改造的总体发展目标，通过能耗统计、能耗监测、能效测评、能源审计等技术手段，筛选需要进行改造的项目。通过政府机关办公建筑和政府投资或者以政府投资为主的公共建筑引领、示范项目财政补助、合同能源管理、超过能效限额项目改造等政策措施推进此项工作。</w:t>
      </w:r>
    </w:p>
    <w:p>
      <w:pPr>
        <w:pStyle w:val="5"/>
        <w:numPr>
          <w:ilvl w:val="3"/>
          <w:numId w:val="30"/>
        </w:numPr>
        <w:spacing w:before="160" w:after="160"/>
        <w:ind w:left="0" w:leftChars="0" w:right="198" w:rightChars="0" w:firstLine="482" w:firstLineChars="0"/>
        <w:rPr>
          <w:sz w:val="24"/>
        </w:rPr>
      </w:pPr>
      <w:r>
        <w:rPr>
          <w:rFonts w:hint="eastAsia"/>
          <w:sz w:val="24"/>
        </w:rPr>
        <w:t>能耗统计</w:t>
      </w:r>
    </w:p>
    <w:p>
      <w:pPr>
        <w:ind w:left="0" w:leftChars="0" w:right="0" w:rightChars="0" w:firstLine="480"/>
      </w:pPr>
      <w:r>
        <w:rPr>
          <w:rFonts w:hint="eastAsia"/>
        </w:rPr>
        <w:t>根据《广东省绿色建筑条例》规定和住建部相关的《民用建筑能耗统计报表制度》的要求，组织开展汕尾市民用建筑基本信息和建筑能耗调查统计工作。内容应包括：</w:t>
      </w:r>
    </w:p>
    <w:p>
      <w:pPr>
        <w:ind w:left="0" w:leftChars="0" w:right="0" w:rightChars="0" w:firstLine="480"/>
      </w:pPr>
      <w:r>
        <w:rPr>
          <w:rFonts w:hint="eastAsia"/>
        </w:rPr>
        <w:t>（1）全面统计辖区内通过竣工验收的所有政府机关办公建筑和大型公共建筑的基本信息和能耗信息；</w:t>
      </w:r>
    </w:p>
    <w:p>
      <w:pPr>
        <w:ind w:left="0" w:leftChars="0" w:right="0" w:rightChars="0" w:firstLine="480"/>
      </w:pPr>
      <w:r>
        <w:rPr>
          <w:rFonts w:hint="eastAsia"/>
        </w:rPr>
        <w:t>（2）全面统计辖区内新增的所有各类民用建筑的基本信息；</w:t>
      </w:r>
    </w:p>
    <w:p>
      <w:pPr>
        <w:ind w:left="0" w:leftChars="0" w:right="0" w:rightChars="0" w:firstLine="480"/>
      </w:pPr>
      <w:r>
        <w:rPr>
          <w:rFonts w:hint="eastAsia"/>
        </w:rPr>
        <w:t>（3）抽样统计辖区内通过竣工验收的城镇居住建筑和中小型公共建筑的基本信息和能耗信息，抽样统计辖区内乡村居住建筑的基本信息。根据近年来的能耗统计数据，可以较直观的了解既有建筑能耗情况。根据《综合能耗计算通则》（GB/T2589—2008），对公共建筑进行能耗对标，以督促高能耗建筑进行节能改造，提高建筑能效。</w:t>
      </w:r>
    </w:p>
    <w:p>
      <w:pPr>
        <w:pStyle w:val="5"/>
        <w:numPr>
          <w:ilvl w:val="3"/>
          <w:numId w:val="30"/>
        </w:numPr>
        <w:spacing w:before="160" w:after="160"/>
        <w:ind w:left="0" w:leftChars="0" w:right="198" w:rightChars="0" w:firstLine="482" w:firstLineChars="0"/>
        <w:rPr>
          <w:sz w:val="24"/>
        </w:rPr>
      </w:pPr>
      <w:r>
        <w:rPr>
          <w:rFonts w:hint="eastAsia"/>
          <w:sz w:val="24"/>
        </w:rPr>
        <w:t>能耗监测</w:t>
      </w:r>
    </w:p>
    <w:p>
      <w:pPr>
        <w:ind w:left="0" w:leftChars="0" w:right="0" w:rightChars="0" w:firstLine="480"/>
      </w:pPr>
      <w:r>
        <w:rPr>
          <w:rFonts w:hint="eastAsia"/>
        </w:rPr>
        <w:t>根据《国家机关办公建筑和大型公共建筑能耗监测系统分项能耗数据采集技术导则》和《国家机关办公建筑和大型公共建筑能耗监测系统分项能耗数据传输技术导则》的要求，数据采集与远程传输遵循标准的网络拓扑系统要求，并自动采集建筑分项能耗和分类能耗数据。适用于全域范围内的政府机关办公建筑、总建筑面积1万m</w:t>
      </w:r>
      <w:r>
        <w:rPr>
          <w:rFonts w:hint="eastAsia"/>
          <w:vertAlign w:val="superscript"/>
        </w:rPr>
        <w:t>2</w:t>
      </w:r>
      <w:r>
        <w:rPr>
          <w:rFonts w:hint="eastAsia"/>
        </w:rPr>
        <w:t>及以上的公共建筑。争取远期实现公共建筑全覆盖的目标，尤其是医院、宾馆、大型商场等高能耗的公共建筑。</w:t>
      </w:r>
    </w:p>
    <w:p>
      <w:pPr>
        <w:ind w:left="0" w:leftChars="0" w:right="0" w:rightChars="0" w:firstLine="480"/>
      </w:pPr>
      <w:r>
        <w:rPr>
          <w:rFonts w:hint="eastAsia"/>
        </w:rPr>
        <w:t>通过此项工作，实时监测建筑用能情况，及时发现高耗能现象，分析问题原因，制定针对性改造方案。</w:t>
      </w:r>
    </w:p>
    <w:p>
      <w:pPr>
        <w:pStyle w:val="5"/>
        <w:numPr>
          <w:ilvl w:val="3"/>
          <w:numId w:val="30"/>
        </w:numPr>
        <w:spacing w:before="160" w:after="160"/>
        <w:ind w:left="0" w:leftChars="0" w:right="198" w:rightChars="0" w:firstLine="482" w:firstLineChars="0"/>
        <w:rPr>
          <w:sz w:val="24"/>
        </w:rPr>
      </w:pPr>
      <w:r>
        <w:rPr>
          <w:rFonts w:hint="eastAsia"/>
          <w:sz w:val="24"/>
        </w:rPr>
        <w:t>能效测评与能源审计</w:t>
      </w:r>
    </w:p>
    <w:p>
      <w:pPr>
        <w:ind w:left="0" w:leftChars="0" w:right="0" w:rightChars="0" w:firstLine="480"/>
      </w:pPr>
      <w:r>
        <w:rPr>
          <w:rFonts w:hint="eastAsia"/>
        </w:rPr>
        <w:t>既有建筑经过节能改造后，对建筑节能实体工程与现行建筑节能相关法律、法规、建筑节能相关标准和设计文件的符合性进行测评，编制竣工能效测评报告，实际测评节能改造实施效果。</w:t>
      </w:r>
    </w:p>
    <w:p>
      <w:pPr>
        <w:ind w:left="0" w:leftChars="0" w:right="0" w:rightChars="0" w:firstLine="480"/>
      </w:pPr>
      <w:r>
        <w:rPr>
          <w:rFonts w:hint="eastAsia"/>
        </w:rPr>
        <w:t>对于使用财政性资金改造的既有建筑，同时还应委托能源审计机构进行建筑能源审计，核实建筑能源消耗定额的执行情况，确保节能改造措施落实到位，并为下一步既有建筑的绿色运营提供参考数据。</w:t>
      </w:r>
    </w:p>
    <w:p>
      <w:pPr>
        <w:pStyle w:val="5"/>
        <w:numPr>
          <w:ilvl w:val="3"/>
          <w:numId w:val="30"/>
        </w:numPr>
        <w:spacing w:before="160" w:after="160"/>
        <w:ind w:left="0" w:leftChars="0" w:right="198" w:rightChars="0" w:firstLine="482" w:firstLineChars="0"/>
        <w:rPr>
          <w:sz w:val="24"/>
        </w:rPr>
      </w:pPr>
      <w:r>
        <w:rPr>
          <w:rFonts w:hint="eastAsia"/>
          <w:sz w:val="24"/>
        </w:rPr>
        <w:t>绿色运营</w:t>
      </w:r>
    </w:p>
    <w:p>
      <w:pPr>
        <w:ind w:left="0" w:leftChars="0" w:right="0" w:rightChars="0" w:firstLine="480"/>
      </w:pPr>
      <w:r>
        <w:rPr>
          <w:rFonts w:hint="eastAsia"/>
        </w:rPr>
        <w:t>在建筑物长期运行过程中，用户和物业管理人员的意识和行为，直接影响既有建筑绿色改造目标的实现，因此需要坚持倡导绿色理念与绿色生活方式，培训各类人员正确使用绿色设施。具体措施包括：</w:t>
      </w:r>
    </w:p>
    <w:p>
      <w:pPr>
        <w:ind w:left="0" w:leftChars="0" w:right="0" w:rightChars="0" w:firstLine="480"/>
      </w:pPr>
      <w:r>
        <w:rPr>
          <w:rFonts w:hint="eastAsia"/>
        </w:rPr>
        <w:t>（1）鼓励用户和物业管理公司制定并实施节能、节水、节材、绿化管理制度，垃圾管理制度，废气、污水等污染物管理制度等；</w:t>
      </w:r>
    </w:p>
    <w:p>
      <w:pPr>
        <w:ind w:left="0" w:leftChars="0" w:right="0" w:rightChars="0" w:firstLine="480"/>
      </w:pPr>
      <w:r>
        <w:rPr>
          <w:rFonts w:hint="eastAsia"/>
        </w:rPr>
        <w:t>（2）设置专人负责建筑的能源和水资源使用与管理，建立用能和用水台账；</w:t>
      </w:r>
    </w:p>
    <w:p>
      <w:pPr>
        <w:ind w:left="0" w:leftChars="0" w:right="0" w:rightChars="0" w:firstLine="480"/>
      </w:pPr>
      <w:r>
        <w:rPr>
          <w:rFonts w:hint="eastAsia"/>
        </w:rPr>
        <w:t>（3）建立绿色教育宣传机制，编制绿色设施使用手册，形成良好的绿色氛围，在公共媒体上对绿色改造成果进行宣传报道，推广全社会既有建筑绿色改造。</w:t>
      </w:r>
    </w:p>
    <w:p>
      <w:pPr>
        <w:pStyle w:val="4"/>
        <w:numPr>
          <w:ilvl w:val="2"/>
          <w:numId w:val="27"/>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绿色建筑的技术路线</w:t>
      </w:r>
    </w:p>
    <w:p>
      <w:pPr>
        <w:ind w:left="0" w:leftChars="0" w:right="0" w:rightChars="0" w:firstLine="480"/>
      </w:pPr>
      <w:r>
        <w:rPr>
          <w:rFonts w:hint="eastAsia"/>
        </w:rPr>
        <w:t>随着绿色建筑相关理论、技术手段与政策法规的日趋发展和完善，绿建技术路线呈现精细化发展趋势。应根据建筑物所处不同条件、不同类型的特点，制定有针对性的技术路线，贯彻“因地制宜”原则，体现“全过程、整体化”的精神，通过以下技术路线实现绿色建筑。</w:t>
      </w:r>
    </w:p>
    <w:p>
      <w:pPr>
        <w:pStyle w:val="5"/>
        <w:numPr>
          <w:ilvl w:val="3"/>
          <w:numId w:val="31"/>
        </w:numPr>
        <w:spacing w:before="160" w:after="160"/>
        <w:ind w:left="0" w:leftChars="0" w:right="198" w:rightChars="0" w:firstLine="482" w:firstLineChars="0"/>
        <w:rPr>
          <w:sz w:val="24"/>
        </w:rPr>
      </w:pPr>
      <w:r>
        <w:rPr>
          <w:rFonts w:hint="eastAsia"/>
          <w:sz w:val="24"/>
        </w:rPr>
        <w:t>安全耐久</w:t>
      </w:r>
    </w:p>
    <w:p>
      <w:pPr>
        <w:ind w:left="0" w:leftChars="0" w:right="0" w:rightChars="0" w:firstLine="480"/>
      </w:pPr>
      <w:r>
        <w:rPr>
          <w:rFonts w:hint="eastAsia"/>
        </w:rPr>
        <w:t>（1）针对场地自然条件，进行合理选址。</w:t>
      </w:r>
    </w:p>
    <w:p>
      <w:pPr>
        <w:ind w:left="0" w:leftChars="0" w:right="0" w:rightChars="0" w:firstLine="480"/>
      </w:pPr>
      <w:r>
        <w:rPr>
          <w:rFonts w:hint="eastAsia"/>
        </w:rPr>
        <w:t>（2）优化建筑形体，合理提高建筑的抗震性能。</w:t>
      </w:r>
    </w:p>
    <w:p>
      <w:pPr>
        <w:ind w:left="0" w:leftChars="0" w:right="0" w:rightChars="0" w:firstLine="480"/>
      </w:pPr>
      <w:r>
        <w:rPr>
          <w:rFonts w:hint="eastAsia"/>
        </w:rPr>
        <w:t>（3）优化结构设计，结构与设备管线分离，提升建筑部品部件和结构材料的耐久性。</w:t>
      </w:r>
    </w:p>
    <w:p>
      <w:pPr>
        <w:pStyle w:val="5"/>
        <w:numPr>
          <w:ilvl w:val="3"/>
          <w:numId w:val="31"/>
        </w:numPr>
        <w:spacing w:before="160" w:after="160"/>
        <w:ind w:left="0" w:leftChars="0" w:right="198" w:rightChars="0" w:firstLine="482" w:firstLineChars="0"/>
        <w:rPr>
          <w:sz w:val="24"/>
        </w:rPr>
      </w:pPr>
      <w:r>
        <w:rPr>
          <w:rFonts w:hint="eastAsia"/>
          <w:sz w:val="24"/>
        </w:rPr>
        <w:t>健康舒适</w:t>
      </w:r>
    </w:p>
    <w:p>
      <w:pPr>
        <w:ind w:left="0" w:leftChars="0" w:right="0" w:rightChars="0" w:firstLine="480"/>
      </w:pPr>
      <w:r>
        <w:rPr>
          <w:rFonts w:hint="eastAsia"/>
        </w:rPr>
        <w:t>对使用者而言，绿色建筑的目标是打造健康、适用、高效的室内空间，主要体现在以下方面：</w:t>
      </w:r>
    </w:p>
    <w:p>
      <w:pPr>
        <w:ind w:left="0" w:leftChars="0" w:right="0" w:rightChars="0" w:firstLine="480"/>
      </w:pPr>
      <w:r>
        <w:rPr>
          <w:rFonts w:hint="eastAsia"/>
        </w:rPr>
        <w:t>（1）良好的室内声环境。采取多样化的措施减少噪声干扰，满足并提高主要功能房间室内噪声级控制要求，保证其隔声性能良好。对于公共建筑中有声学要求的重要房间进行专项声学设计。</w:t>
      </w:r>
    </w:p>
    <w:p>
      <w:pPr>
        <w:ind w:left="0" w:leftChars="0" w:right="0" w:rightChars="0" w:firstLine="480"/>
      </w:pPr>
      <w:r>
        <w:rPr>
          <w:rFonts w:hint="eastAsia"/>
        </w:rPr>
        <w:t>（2）良好的室内光环境与视野。包括：建筑照明的数量和质量应符合现行国家标准的规定；保证建筑主要功能房间具备良好的户外视野，采光系数满足国家标准《建筑采光设计标准》GB50033的要求。改善和优化室内天然采光效果。充分利用自然光，降低照明能耗。</w:t>
      </w:r>
    </w:p>
    <w:p>
      <w:pPr>
        <w:ind w:left="0" w:leftChars="0" w:right="0" w:rightChars="0" w:firstLine="480"/>
      </w:pPr>
      <w:r>
        <w:rPr>
          <w:rFonts w:hint="eastAsia"/>
        </w:rPr>
        <w:t>（3）良好的室内热湿环境。根据汕尾本地的气象条件，采取有效的可调节遮阳措施，降低夏季太阳辐射得热。供暖空调系统末端现场可独立调节。</w:t>
      </w:r>
    </w:p>
    <w:p>
      <w:pPr>
        <w:ind w:left="0" w:leftChars="0" w:right="0" w:rightChars="0" w:firstLine="480"/>
      </w:pPr>
      <w:r>
        <w:rPr>
          <w:rFonts w:hint="eastAsia"/>
        </w:rPr>
        <w:t>（4）良好的室内空气质量。进行合理的气流组织，改善自然通风效果，鼓励人员密集且随时间变化大的区域设置室内空气质量监控系统，提高室内空气质量。地下车库设置与排风设备联动的一氧化碳浓度检测装置。</w:t>
      </w:r>
    </w:p>
    <w:p>
      <w:pPr>
        <w:pStyle w:val="5"/>
        <w:numPr>
          <w:ilvl w:val="3"/>
          <w:numId w:val="31"/>
        </w:numPr>
        <w:spacing w:before="160" w:after="160"/>
        <w:ind w:left="0" w:leftChars="0" w:right="198" w:rightChars="0" w:firstLine="482" w:firstLineChars="0"/>
        <w:rPr>
          <w:sz w:val="24"/>
        </w:rPr>
      </w:pPr>
      <w:r>
        <w:rPr>
          <w:rFonts w:hint="eastAsia"/>
          <w:sz w:val="24"/>
        </w:rPr>
        <w:t>生活便利</w:t>
      </w:r>
    </w:p>
    <w:p>
      <w:pPr>
        <w:ind w:left="0" w:leftChars="0" w:right="0" w:rightChars="0" w:firstLine="480"/>
      </w:pPr>
      <w:r>
        <w:rPr>
          <w:rFonts w:hint="eastAsia"/>
        </w:rPr>
        <w:t>（1）提供便捷的各类公共服务和公共交通设施，利于人们绿色出行和减少远距离出行。场地内人行通道按规范进行无障碍设计，合理组织交通流线，妥善设置停车场所。</w:t>
      </w:r>
    </w:p>
    <w:p>
      <w:pPr>
        <w:ind w:left="0" w:leftChars="0" w:right="0" w:rightChars="0" w:firstLine="480"/>
      </w:pPr>
      <w:r>
        <w:rPr>
          <w:rFonts w:hint="eastAsia"/>
        </w:rPr>
        <w:t>（2）应制定并实施节能、节水、节材、绿化管理、垃圾管理制度；运行过程中的污染物应达标排放；保证节能节水设施与设备自动监控系统的正常运行，符合设计要求。</w:t>
      </w:r>
    </w:p>
    <w:p>
      <w:pPr>
        <w:ind w:left="0" w:leftChars="0" w:right="0" w:rightChars="0" w:firstLine="480"/>
      </w:pPr>
      <w:r>
        <w:rPr>
          <w:rFonts w:hint="eastAsia"/>
        </w:rPr>
        <w:t>（3）切实落实绿色建筑的管理制度。包括：绿色建筑物业管理部门应获得有关管理体系认证；完善并有效实施节能、节水、节材、绿化等相关设施的操作规程及应急预案；物业管理机构的工作考核体系中应包含能源资源管理激励机制；采用合同能源管理模式；建立绿色教育宣传机制，编制绿色设施使用手册，形成良好的绿色氛围；开展绿色物业管理试点示范工作。</w:t>
      </w:r>
    </w:p>
    <w:p>
      <w:pPr>
        <w:ind w:left="0" w:leftChars="0" w:right="0" w:rightChars="0" w:firstLine="480"/>
      </w:pPr>
      <w:r>
        <w:rPr>
          <w:rFonts w:hint="eastAsia"/>
        </w:rPr>
        <w:t>（4）切实落实绿色建筑的技术管理手段，包括：定期检查、调试公共设施设备，并根据运行检测数据进行设备系统的运行优化；对空调通风系统进行定期检查和清洗，对非传统水源的水质和用水量记录完整、准确；智能化系统的运行效果应满足建筑运行与管理的需要；应用信息化手段进行物业管理。</w:t>
      </w:r>
    </w:p>
    <w:p>
      <w:pPr>
        <w:pStyle w:val="5"/>
        <w:numPr>
          <w:ilvl w:val="3"/>
          <w:numId w:val="31"/>
        </w:numPr>
        <w:spacing w:before="160" w:after="160"/>
        <w:ind w:left="0" w:leftChars="0" w:right="198" w:rightChars="0" w:firstLine="482" w:firstLineChars="0"/>
        <w:rPr>
          <w:sz w:val="24"/>
        </w:rPr>
      </w:pPr>
      <w:r>
        <w:rPr>
          <w:rFonts w:hint="eastAsia"/>
          <w:sz w:val="24"/>
        </w:rPr>
        <w:t>资源节约</w:t>
      </w:r>
    </w:p>
    <w:p>
      <w:pPr>
        <w:ind w:left="0" w:leftChars="0" w:right="0" w:rightChars="0" w:firstLine="480"/>
      </w:pPr>
      <w:r>
        <w:rPr>
          <w:rFonts w:hint="eastAsia"/>
        </w:rPr>
        <w:t>（1）加大节地技术推广力度，节约集约利用土地，通过向地面集中要密度和向立体空间要高度、深度，逐步提高用地开发强度，合理降低人均居住用地指标，以及提高公共建筑的容积率。</w:t>
      </w:r>
    </w:p>
    <w:p>
      <w:pPr>
        <w:ind w:left="0" w:leftChars="0" w:right="0" w:rightChars="0" w:firstLine="480"/>
      </w:pPr>
      <w:r>
        <w:rPr>
          <w:rFonts w:hint="eastAsia"/>
        </w:rPr>
        <w:t>（2）合理开发利用地下空间。充分考虑地上地下功能有机联系和互动，加快地下空间体系构建，积极推动城市相邻地块地下空间互联互通。</w:t>
      </w:r>
    </w:p>
    <w:p>
      <w:pPr>
        <w:ind w:left="0" w:leftChars="0" w:right="0" w:rightChars="0" w:firstLine="480"/>
      </w:pPr>
      <w:r>
        <w:rPr>
          <w:rFonts w:hint="eastAsia"/>
        </w:rPr>
        <w:t>（3）鼓励通过采用新技术、新工艺和新材料等手段，大力提高围护结构热工性能的指标。</w:t>
      </w:r>
    </w:p>
    <w:p>
      <w:pPr>
        <w:ind w:left="0" w:leftChars="0" w:right="0" w:rightChars="0" w:firstLine="480"/>
      </w:pPr>
      <w:r>
        <w:rPr>
          <w:rFonts w:hint="eastAsia"/>
        </w:rPr>
        <w:t>（4）大力提高供暖、通风与空调系统的节能性能。冷、热源机组能效均优于现行国家标准《公共建筑节能设计标准》GB50189的规定以及现行有关国家标准能效限定值的要求。合理选择和优化通风与空调系统，鼓励采取新技术、新措施有效降低春秋过渡季节以及部分负荷、部分空间使用下的系统能耗。推广变频技术，加快智能化技术运用，不断提高控制精度。</w:t>
      </w:r>
    </w:p>
    <w:p>
      <w:pPr>
        <w:ind w:left="0" w:leftChars="0" w:right="0" w:rightChars="0" w:firstLine="480"/>
      </w:pPr>
      <w:r>
        <w:rPr>
          <w:rFonts w:hint="eastAsia"/>
        </w:rPr>
        <w:t>（5）电气节能方面，进一步优化用电负荷计算，设置合理的供配电系统。公共空间照明系统应采取分区、定时、感应等节能控制措施，合理设置照明标准与照明方式，选用适宜的灯具采光，推广采用LED灯，同时鼓励综合利用自然光源，有效减少照明系统用电。照明功率密度值达到《建筑照明设计标准》GB50035规定的目标值要求。</w:t>
      </w:r>
    </w:p>
    <w:p>
      <w:pPr>
        <w:ind w:left="0" w:leftChars="0" w:right="0" w:rightChars="0" w:firstLine="480"/>
      </w:pPr>
      <w:r>
        <w:rPr>
          <w:rFonts w:hint="eastAsia"/>
        </w:rPr>
        <w:t>合理选用节能型电气设备，选用技术先进、成熟可靠、绿色节能、经济合理、寿命长的产品，降低运行、维护费用，应当分别满足《三相配电变压器能效限定值及能效等级》GB20052规定的节能评价值和《中小型三相异步电动机能效限定值及能效等级》GB18613规定的能效限定值。</w:t>
      </w:r>
    </w:p>
    <w:p>
      <w:pPr>
        <w:ind w:left="0" w:leftChars="0" w:right="0" w:rightChars="0" w:firstLine="480"/>
      </w:pPr>
      <w:r>
        <w:rPr>
          <w:rFonts w:hint="eastAsia"/>
        </w:rPr>
        <w:t>（6）建立有效的节水系统。在满足节水用水定额国家标准的基础上，有效减少建筑的平均日用水量；采取有效措施避免管网漏损，设置合理的供水压力。设置用水计量装置，在高耗水场所设置必要的节水措施。</w:t>
      </w:r>
    </w:p>
    <w:p>
      <w:pPr>
        <w:ind w:left="0" w:leftChars="0" w:right="0" w:rightChars="0" w:firstLine="480"/>
      </w:pPr>
      <w:r>
        <w:rPr>
          <w:rFonts w:hint="eastAsia"/>
        </w:rPr>
        <w:t>（7）采用节水器具和设备。使用较高用水效率的卫生器具；景观绿化应采用节水灌溉方式；采用具有节水冷却技术的空调设备或系统；在一星级以上的绿色建筑中提高节水技术措施的运用比例。</w:t>
      </w:r>
    </w:p>
    <w:p>
      <w:pPr>
        <w:ind w:left="0" w:leftChars="0" w:right="0" w:rightChars="0" w:firstLine="480"/>
      </w:pPr>
      <w:r>
        <w:rPr>
          <w:rFonts w:hint="eastAsia"/>
        </w:rPr>
        <w:t>（8）合理使用非传统水源。新建民用建筑的景观用水、绿化用水、道路冲洗用水应当优先采用雨水、再生水等非传统水源。绿色建筑应结合海绵城市建设的要求，统筹利用雨水渗透、净化和收集利用设施。</w:t>
      </w:r>
    </w:p>
    <w:p>
      <w:pPr>
        <w:ind w:left="0" w:leftChars="0" w:right="0" w:rightChars="0" w:firstLine="480"/>
      </w:pPr>
      <w:r>
        <w:rPr>
          <w:rFonts w:hint="eastAsia"/>
        </w:rPr>
        <w:t>（9）绿色建筑应尽量做到装配式建筑要求。结合汕尾市本地的政策，大力发展装配式建筑，在满足国家及地方相关评价标准的要求的基础上，提高高星级绿色建筑的装配率指标。推广土建工程与装修工程一体化。</w:t>
      </w:r>
    </w:p>
    <w:p>
      <w:pPr>
        <w:ind w:left="0" w:leftChars="0" w:right="0" w:rightChars="0" w:firstLine="480"/>
      </w:pPr>
      <w:r>
        <w:rPr>
          <w:rFonts w:hint="eastAsia"/>
        </w:rPr>
        <w:t>（10）应按“就近选用”原则，尽量采用本地生产的建筑材料，采用预拌混凝土、预拌砂浆，合理采用高强、高耐久性建筑结构材料和新型墙体材料，推广应用高性能混凝土。提高可再利用、可再循环以及以废弃物为原料生产的建筑材料用量比例，其中民用建筑的基础垫层、围墙、管井、管沟、挡土坡以及市政道路的路基垫层等工程部位，鼓励使用再生建筑材料。民用建筑项目范围内的道路、地面停车场等，应当优先使用透水性再生建筑材料。合理采用耐久性好、易维护的装饰装修建筑材料。</w:t>
      </w:r>
    </w:p>
    <w:p>
      <w:pPr>
        <w:pStyle w:val="5"/>
        <w:numPr>
          <w:ilvl w:val="3"/>
          <w:numId w:val="31"/>
        </w:numPr>
        <w:spacing w:before="160" w:after="160"/>
        <w:ind w:left="0" w:leftChars="0" w:right="198" w:rightChars="0" w:firstLine="482" w:firstLineChars="0"/>
        <w:rPr>
          <w:sz w:val="24"/>
        </w:rPr>
      </w:pPr>
      <w:r>
        <w:rPr>
          <w:rFonts w:hint="eastAsia"/>
          <w:sz w:val="24"/>
        </w:rPr>
        <w:t>环境宜居</w:t>
      </w:r>
    </w:p>
    <w:p>
      <w:pPr>
        <w:ind w:left="0" w:leftChars="0" w:right="0" w:rightChars="0" w:firstLine="480"/>
      </w:pPr>
      <w:r>
        <w:rPr>
          <w:rFonts w:hint="eastAsia"/>
        </w:rPr>
        <w:t>（1）建设场地合理设置绿化用地，优化绿化方式，适度提高绿地率，并鼓励绿地向社会公众开放。</w:t>
      </w:r>
    </w:p>
    <w:p>
      <w:pPr>
        <w:ind w:left="0" w:leftChars="0" w:right="0" w:rightChars="0" w:firstLine="480"/>
      </w:pPr>
      <w:r>
        <w:rPr>
          <w:rFonts w:hint="eastAsia"/>
        </w:rPr>
        <w:t>（2）创造优良的室外环境，在光、风、热环境及光污染、噪音控制等方面符合规范的要求，使其有利于室外行走、活动舒适和建筑的自然通风。</w:t>
      </w:r>
    </w:p>
    <w:p>
      <w:pPr>
        <w:ind w:left="0" w:leftChars="0" w:right="0" w:rightChars="0" w:firstLine="480"/>
      </w:pPr>
      <w:r>
        <w:rPr>
          <w:rFonts w:hint="eastAsia"/>
        </w:rPr>
        <w:t>（3）鼓励公共建筑与小区住宅采用绿色屋顶、屋顶花园等低影响开发形式，因地制宜地规划建设蓄存雨水的景观水体和相应设施。增加雨水渗透、净化和收集利用设施。</w:t>
      </w:r>
    </w:p>
    <w:p>
      <w:pPr>
        <w:ind w:left="0" w:leftChars="0" w:right="0" w:rightChars="0" w:firstLine="480"/>
      </w:pPr>
      <w:r>
        <w:rPr>
          <w:rFonts w:hint="eastAsia"/>
        </w:rPr>
        <w:t>既有公共建筑与小区住宅，可结合实际情况，对建筑屋顶、建筑与小区周边绿地以及景观水体等实施低影响开发改造。小区非机动车道和地面停车场，可采用透水性铺装，增加雨水自然渗透空间；下沉式绿地、雨水湿地和蓄水池可结合小区绿化和景观水体进行建设，充分发挥雨时调蓄、旱时绿化灌溉功能。</w:t>
      </w:r>
    </w:p>
    <w:p>
      <w:pPr>
        <w:pStyle w:val="5"/>
        <w:numPr>
          <w:ilvl w:val="3"/>
          <w:numId w:val="31"/>
        </w:numPr>
        <w:spacing w:before="160" w:after="160"/>
        <w:ind w:left="0" w:leftChars="0" w:right="198" w:rightChars="0" w:firstLine="482" w:firstLineChars="0"/>
        <w:rPr>
          <w:sz w:val="24"/>
        </w:rPr>
      </w:pPr>
      <w:r>
        <w:rPr>
          <w:rFonts w:hint="eastAsia"/>
          <w:sz w:val="24"/>
        </w:rPr>
        <w:t>提高与创新</w:t>
      </w:r>
    </w:p>
    <w:p>
      <w:pPr>
        <w:ind w:left="0" w:leftChars="0" w:right="0" w:rightChars="0" w:firstLine="480"/>
      </w:pPr>
      <w:r>
        <w:rPr>
          <w:rFonts w:hint="eastAsia"/>
        </w:rPr>
        <w:t>绿色建筑全寿命期内各环节和阶段鼓励采用先进、适用、经济的技术、产品和管理方式，进一步降低建筑综合能耗，传承地域建筑文化，应用建筑信息模型（BIM），进行碳排放分析计算等。</w:t>
      </w:r>
    </w:p>
    <w:p>
      <w:pPr>
        <w:ind w:left="0" w:leftChars="0" w:right="0" w:rightChars="0" w:firstLine="480"/>
      </w:pPr>
      <w:r>
        <w:rPr>
          <w:rFonts w:hint="eastAsia"/>
        </w:rPr>
        <w:t>（1）采用适宜汕尾特色的建筑风貌设计，传承本地建筑文化。</w:t>
      </w:r>
    </w:p>
    <w:p>
      <w:pPr>
        <w:ind w:left="0" w:leftChars="0" w:right="0" w:rightChars="0" w:firstLine="480"/>
      </w:pPr>
      <w:r>
        <w:rPr>
          <w:rFonts w:hint="eastAsia"/>
        </w:rPr>
        <w:t>（2）合理选用废弃场地进行建设，积极改造能保证使用安全的旧建筑。利用废弃场地进行建设，应对土壤中是否含有有毒物质进行检测与再利用评估，采取土壤污染修复、污染水体净化和循环等生态补偿措施进行改造或改良，确保场地利用不存在安全隐患，符合国家有关标准的要求。</w:t>
      </w:r>
    </w:p>
    <w:p>
      <w:pPr>
        <w:ind w:left="0" w:leftChars="0" w:right="0" w:rightChars="0" w:firstLine="480"/>
      </w:pPr>
      <w:r>
        <w:rPr>
          <w:rFonts w:hint="eastAsia"/>
        </w:rPr>
        <w:t>（3）采用符合工业化建造要求的结构体系和建筑构件。钢结构、木结构及装配式混凝土结构均符合工业化建造要求，建造过程中可以减少人工、减少消耗、提高质量、提高效率。</w:t>
      </w:r>
    </w:p>
    <w:p>
      <w:pPr>
        <w:pStyle w:val="5"/>
        <w:numPr>
          <w:ilvl w:val="3"/>
          <w:numId w:val="31"/>
        </w:numPr>
        <w:spacing w:before="160" w:after="160"/>
        <w:ind w:left="0" w:leftChars="0" w:right="198" w:rightChars="0" w:firstLine="482" w:firstLineChars="0"/>
        <w:rPr>
          <w:sz w:val="24"/>
        </w:rPr>
      </w:pPr>
      <w:r>
        <w:rPr>
          <w:rFonts w:hint="eastAsia"/>
          <w:sz w:val="24"/>
        </w:rPr>
        <w:t>海绵城市的建设需求</w:t>
      </w:r>
    </w:p>
    <w:p>
      <w:pPr>
        <w:ind w:left="0" w:leftChars="0" w:right="0" w:rightChars="0" w:firstLine="480"/>
      </w:pPr>
      <w:r>
        <w:rPr>
          <w:rFonts w:hint="eastAsia"/>
        </w:rPr>
        <w:t>市、镇规划区内土地开发应当推广低影响开发模式，实现雨水的自然积存、自然渗透和自然净化，提高水资源的综合利用水平。海绵城市的建设应满足《汕尾市海绵城市建设实施细则》的建设要求。</w:t>
      </w:r>
    </w:p>
    <w:p>
      <w:pPr>
        <w:pStyle w:val="4"/>
        <w:numPr>
          <w:ilvl w:val="2"/>
          <w:numId w:val="27"/>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装配式建筑的技术路线</w:t>
      </w:r>
    </w:p>
    <w:p>
      <w:pPr>
        <w:pStyle w:val="5"/>
        <w:numPr>
          <w:ilvl w:val="3"/>
          <w:numId w:val="32"/>
        </w:numPr>
        <w:spacing w:before="160" w:after="160"/>
        <w:ind w:left="0" w:leftChars="0" w:right="198" w:rightChars="0" w:firstLine="482" w:firstLineChars="0"/>
        <w:rPr>
          <w:sz w:val="24"/>
        </w:rPr>
      </w:pPr>
      <w:r>
        <w:rPr>
          <w:rFonts w:hint="eastAsia"/>
          <w:sz w:val="24"/>
        </w:rPr>
        <w:t>标准化设计技术路线</w:t>
      </w:r>
    </w:p>
    <w:p>
      <w:pPr>
        <w:ind w:left="0" w:leftChars="0" w:right="0" w:rightChars="0" w:firstLine="480"/>
      </w:pPr>
      <w:r>
        <w:rPr>
          <w:rFonts w:hint="eastAsia"/>
        </w:rPr>
        <w:t>装配式建筑项目应充分体现标准化设计理念，按照通用化、模数化、标准化的要求，以少规格、多组合的原则，实现建筑及部品部件的系列化和多样化。应进行模数协调，采用模块组合的标准化设计，以满足建造装配化与部品部件标准化、通用化的要求。减少部品部件的规格种类、提高模板的重复使用率，有利于部品部件的生产制造和施工，提高生产速度和工人的劳动效率，降低造价。</w:t>
      </w:r>
    </w:p>
    <w:p>
      <w:pPr>
        <w:ind w:left="0" w:leftChars="0" w:right="0" w:rightChars="0" w:firstLine="480"/>
      </w:pPr>
      <w:r>
        <w:rPr>
          <w:rFonts w:hint="eastAsia"/>
        </w:rPr>
        <w:t>模块的选取应针对不同的建筑类型，进行精细化、系列化设计；部品部件采用标准化接口。同时应重视建筑平面、立面和剖面的规则性，便于工厂化、集约化生产加工，提高工程质量，并降低工程造价。并在此基础上充分考虑平面的灵活性、立面的多样性及剖面的合理性。</w:t>
      </w:r>
    </w:p>
    <w:p>
      <w:pPr>
        <w:ind w:left="0" w:leftChars="0" w:right="0" w:rightChars="0" w:firstLine="480"/>
      </w:pPr>
      <w:r>
        <w:rPr>
          <w:rFonts w:hint="eastAsia"/>
        </w:rPr>
        <w:t>加快建立设计单位与施工企业、构件生产企业和部品部件厂家的协同工作机制。在设计阶段就不断深化相关内容，充分考虑加工制作、施工装配等环节的要求，满足后续工作要求。</w:t>
      </w:r>
    </w:p>
    <w:p>
      <w:pPr>
        <w:pStyle w:val="5"/>
        <w:numPr>
          <w:ilvl w:val="3"/>
          <w:numId w:val="32"/>
        </w:numPr>
        <w:spacing w:before="160" w:after="160"/>
        <w:ind w:left="0" w:leftChars="0" w:right="198" w:rightChars="0" w:firstLine="482" w:firstLineChars="0"/>
        <w:rPr>
          <w:sz w:val="24"/>
        </w:rPr>
      </w:pPr>
      <w:r>
        <w:rPr>
          <w:rFonts w:hint="eastAsia"/>
          <w:sz w:val="24"/>
        </w:rPr>
        <w:t>工厂化生产技术路线</w:t>
      </w:r>
    </w:p>
    <w:p>
      <w:pPr>
        <w:ind w:left="0" w:leftChars="0" w:right="0" w:rightChars="0" w:firstLine="480"/>
      </w:pPr>
      <w:r>
        <w:rPr>
          <w:rFonts w:hint="eastAsia"/>
        </w:rPr>
        <w:t>工业化生产企业应建立完善的生产质量管理体系，设置产品标识，提高生产精度，保障产品质量。应具备相应的生产工艺设施、试验检测条件。建立质量可追溯的信息化管理系统，建立统一的编码规则和标识系统，并应与构件BIM模型有接口。生产前应编制生产方案，强化生产过程中的技术标准、工艺流程和作业指导监管，明确生产过程中的BIM技术应用、构件二次深化、芯片植入等相关要求。</w:t>
      </w:r>
    </w:p>
    <w:p>
      <w:pPr>
        <w:ind w:left="0" w:leftChars="0" w:right="0" w:rightChars="0" w:firstLine="480"/>
      </w:pPr>
      <w:r>
        <w:rPr>
          <w:rFonts w:hint="eastAsia"/>
        </w:rPr>
        <w:t>注重原材料及配件的进场检验，制定有针对性的模具方案，建立健全模具验收、使用制度，构件和部品的各类生产信息标注规范化、清晰化，各项性能指标符合设计要求，质量品质符合国家相关标准。制定合理的存放、吊运及成品保护方案，在运输过程中应做好安全保障措施。</w:t>
      </w:r>
    </w:p>
    <w:p>
      <w:pPr>
        <w:ind w:left="0" w:leftChars="0" w:right="0" w:rightChars="0" w:firstLine="480"/>
      </w:pPr>
      <w:r>
        <w:rPr>
          <w:rFonts w:hint="eastAsia"/>
        </w:rPr>
        <w:t>预制构件和部品的资料应与产品同步形成、收集和整理，形成完整体系，并提供相应的产品质量证明文件。合格部品应具有唯一编码和生产信息。</w:t>
      </w:r>
    </w:p>
    <w:p>
      <w:pPr>
        <w:pStyle w:val="5"/>
        <w:numPr>
          <w:ilvl w:val="3"/>
          <w:numId w:val="32"/>
        </w:numPr>
        <w:spacing w:before="160" w:after="160"/>
        <w:ind w:left="0" w:leftChars="0" w:right="198" w:rightChars="0" w:firstLine="482" w:firstLineChars="0"/>
        <w:rPr>
          <w:sz w:val="24"/>
        </w:rPr>
      </w:pPr>
      <w:r>
        <w:rPr>
          <w:rFonts w:hint="eastAsia"/>
          <w:sz w:val="24"/>
        </w:rPr>
        <w:t>装配化施工技术路线</w:t>
      </w:r>
    </w:p>
    <w:p>
      <w:pPr>
        <w:ind w:left="0" w:leftChars="0" w:right="0" w:rightChars="0" w:firstLine="480"/>
      </w:pPr>
      <w:r>
        <w:rPr>
          <w:rFonts w:hint="eastAsia"/>
        </w:rPr>
        <w:t>装配式建筑项目应遵循设计、生产、装配一体化的原则整体策划，综合协调建筑、结构、设备和内装等专业，制定相互协同的施工组织方案，采用装配式施工，保证工程质量，提高劳动效率。</w:t>
      </w:r>
    </w:p>
    <w:p>
      <w:pPr>
        <w:ind w:left="0" w:leftChars="0" w:right="0" w:rightChars="0" w:firstLine="480"/>
      </w:pPr>
      <w:r>
        <w:rPr>
          <w:rFonts w:hint="eastAsia"/>
        </w:rPr>
        <w:t>应加大施工组织和管理力度，施工企业应具备相应的装配化技术标准、施工工法以及专业化的施工队伍，制定专项施工方案。项目应采用机械化施工操作，采用建筑信息模型（BIM）技术对全过程和关键工艺进行信息化模拟。施工中采用的新技术、新工艺、新材料、新设备，应按有关规定进行评审、备案，符合国家和省部的相关要求，并保证系统性、经济型和适用性。建立健全安全管理保障体系和管理制度，使各类检测检验能符合设计和各类标准的要求。相关记录、资料和文件应齐全、翔实、可靠。</w:t>
      </w:r>
    </w:p>
    <w:p>
      <w:pPr>
        <w:pStyle w:val="5"/>
        <w:numPr>
          <w:ilvl w:val="3"/>
          <w:numId w:val="32"/>
        </w:numPr>
        <w:spacing w:before="160" w:after="160"/>
        <w:ind w:left="0" w:leftChars="0" w:right="198" w:rightChars="0" w:firstLine="482" w:firstLineChars="0"/>
        <w:rPr>
          <w:sz w:val="24"/>
        </w:rPr>
      </w:pPr>
      <w:r>
        <w:rPr>
          <w:rFonts w:hint="eastAsia"/>
          <w:sz w:val="24"/>
        </w:rPr>
        <w:t>一体化装修技术路线</w:t>
      </w:r>
    </w:p>
    <w:p>
      <w:pPr>
        <w:ind w:left="0" w:leftChars="0" w:right="0" w:rightChars="0" w:firstLine="480"/>
      </w:pPr>
      <w:r>
        <w:rPr>
          <w:rFonts w:hint="eastAsia"/>
        </w:rPr>
        <w:t>采用一体化系统性装配思维，大力推广土建装修设计一体化，实行建筑、结构、机电、装修设计协同化。</w:t>
      </w:r>
    </w:p>
    <w:p>
      <w:pPr>
        <w:ind w:left="0" w:leftChars="0" w:right="0" w:rightChars="0" w:firstLine="480"/>
      </w:pPr>
      <w:r>
        <w:rPr>
          <w:rFonts w:hint="eastAsia"/>
        </w:rPr>
        <w:t>装配式建筑项目本身具有系统性，根据系统性装配要求，各专业协同设计、组拼成整体。同时，门窗、厨卫等部品采用模块化设计、工厂化制作及现场化装配，实现门窗、厨卫部品一体化装修。提高各系统的集成度、施工精度和效率，加快装配化施工工艺的研究和应用，注重接口和构造设计。完善瓷砖、石材等装修材料的施工指引，配备排版图纸。全面使用预拌砂浆、预拌混凝土。</w:t>
      </w:r>
    </w:p>
    <w:p>
      <w:pPr>
        <w:pStyle w:val="5"/>
        <w:numPr>
          <w:ilvl w:val="3"/>
          <w:numId w:val="32"/>
        </w:numPr>
        <w:spacing w:before="160" w:after="160"/>
        <w:ind w:left="0" w:leftChars="0" w:right="198" w:rightChars="0" w:firstLine="482" w:firstLineChars="0"/>
        <w:rPr>
          <w:sz w:val="24"/>
        </w:rPr>
      </w:pPr>
      <w:r>
        <w:rPr>
          <w:rFonts w:hint="eastAsia"/>
          <w:sz w:val="24"/>
        </w:rPr>
        <w:t>信息化管理技术路线</w:t>
      </w:r>
    </w:p>
    <w:p>
      <w:pPr>
        <w:ind w:left="0" w:leftChars="0" w:right="0" w:rightChars="0" w:firstLine="480"/>
      </w:pPr>
      <w:r>
        <w:rPr>
          <w:rFonts w:hint="eastAsia"/>
        </w:rPr>
        <w:t>建立全专业、全过程的信息化管理平台，作为装配式建筑建造过程的重要手段，通过信息数据平台管理系统，将设计、生产、施工、物流和运营等各环节联系为一体化管理，对提高工程建设各阶段几个专业之间协同配合的效率，以及一体化管理水平具有重要作用。</w:t>
      </w:r>
    </w:p>
    <w:p>
      <w:pPr>
        <w:ind w:left="0" w:leftChars="0" w:right="0" w:rightChars="0" w:firstLine="480"/>
      </w:pPr>
      <w:r>
        <w:rPr>
          <w:rFonts w:hint="eastAsia"/>
        </w:rPr>
        <w:t>（1）建筑信息模型（BIM）技术。通过BIM应用能更好地协同各参与方，发挥BIM技术优势，并使工程设计和施工的错误降低到最少，控制投资，按时优质完成项目建设，实现最佳的实践。鼓励和支持民用建筑在勘察、设计、施工和运营管理中推广应用建筑信息模型技术。国家机关办公建筑和政府投资或者以政府投资为主的其他公共建筑应当积极应用建筑信息模型技术。</w:t>
      </w:r>
    </w:p>
    <w:p>
      <w:pPr>
        <w:ind w:left="0" w:leftChars="0" w:right="0" w:rightChars="0" w:firstLine="480"/>
      </w:pPr>
      <w:r>
        <w:rPr>
          <w:rFonts w:hint="eastAsia"/>
        </w:rPr>
        <w:t>（</w:t>
      </w:r>
      <w:r>
        <w:t>2</w:t>
      </w:r>
      <w:r>
        <w:rPr>
          <w:rFonts w:hint="eastAsia"/>
        </w:rPr>
        <w:t>）无线射频识别（RFID）技术。该技术应用于构件的追踪管理，在预制构件的生产、运输、堆放、安装阶段对其信息进行实时跟踪，对施工计划的制定、施工进度和质量的把控起到积极作用。</w:t>
      </w:r>
    </w:p>
    <w:p>
      <w:pPr>
        <w:ind w:left="0" w:leftChars="0" w:right="0" w:rightChars="0" w:firstLine="480"/>
      </w:pPr>
      <w:r>
        <w:rPr>
          <w:rFonts w:hint="eastAsia"/>
        </w:rPr>
        <w:t>（</w:t>
      </w:r>
      <w:r>
        <w:t>3</w:t>
      </w:r>
      <w:r>
        <w:rPr>
          <w:rFonts w:hint="eastAsia"/>
        </w:rPr>
        <w:t>）BIM和RFID技术的结合。两个技术相结合的优点在于信息准确丰富，传递速度快，减少人工录入信息可能造成的错误。RFID进行施工实时信息采集，并及时传递给BIM模型，在BIM模型中即时表现实际与计划的偏差，解决施工管理中的实时跟踪和风险控制问题。</w:t>
      </w:r>
    </w:p>
    <w:p>
      <w:pPr>
        <w:pStyle w:val="4"/>
        <w:numPr>
          <w:ilvl w:val="2"/>
          <w:numId w:val="27"/>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超低能耗建筑的技术路线</w:t>
      </w:r>
    </w:p>
    <w:p>
      <w:pPr>
        <w:pStyle w:val="5"/>
        <w:numPr>
          <w:ilvl w:val="3"/>
          <w:numId w:val="33"/>
        </w:numPr>
        <w:spacing w:before="160" w:after="160"/>
        <w:ind w:left="0" w:leftChars="0" w:right="198" w:rightChars="0" w:firstLine="482" w:firstLineChars="0"/>
        <w:rPr>
          <w:sz w:val="24"/>
        </w:rPr>
      </w:pPr>
      <w:r>
        <w:rPr>
          <w:rFonts w:hint="eastAsia"/>
          <w:sz w:val="24"/>
        </w:rPr>
        <w:t>树立典型示范项目，推广先进技术经验</w:t>
      </w:r>
    </w:p>
    <w:p>
      <w:pPr>
        <w:ind w:left="0" w:leftChars="0" w:right="0" w:rightChars="0" w:firstLine="480"/>
      </w:pPr>
      <w:r>
        <w:rPr>
          <w:rFonts w:hint="eastAsia"/>
        </w:rPr>
        <w:t>政府主管部门积极引导，超低能耗建筑与高星级绿色建筑协同发展，选取适宜项目进行试点示范工程建设，打造汕尾市的典型样板工程，加快新技术、新工艺、新产品的评估认证和推广，树典型、多示范、深推广，推动超低能耗建筑技术理念在规划、概念设计、细节设计、性能分析、构件预制、4D/5D施工、施工物流、运营维护、拆除翻新等过程中的应用。</w:t>
      </w:r>
    </w:p>
    <w:p>
      <w:pPr>
        <w:pStyle w:val="5"/>
        <w:numPr>
          <w:ilvl w:val="3"/>
          <w:numId w:val="33"/>
        </w:numPr>
        <w:spacing w:before="160" w:after="160"/>
        <w:ind w:left="0" w:leftChars="0" w:right="198" w:rightChars="0" w:firstLine="482" w:firstLineChars="0"/>
        <w:rPr>
          <w:sz w:val="24"/>
        </w:rPr>
      </w:pPr>
      <w:r>
        <w:rPr>
          <w:rFonts w:hint="eastAsia"/>
          <w:sz w:val="24"/>
        </w:rPr>
        <w:t>多措并举全方位支持，多主体配合支撑</w:t>
      </w:r>
    </w:p>
    <w:p>
      <w:pPr>
        <w:ind w:left="0" w:leftChars="0" w:right="0" w:rightChars="0" w:firstLine="480"/>
      </w:pPr>
      <w:r>
        <w:rPr>
          <w:rFonts w:hint="eastAsia"/>
        </w:rPr>
        <w:t>出台相关文件对超低能耗示范项目进行政策优惠和资金补贴，鼓励建设单位积极开展超低能耗项目建设。以项目为载体，以技术为手段，培养综合素质高、知识实用的各类人才。加强对开发、设计、施工、监理、检测等专业技术人员的培训，培养高素质的技术人员队伍。建立政府、媒体、企业与公众相结合的宣传机制，开展各类宣传活动。</w:t>
      </w:r>
    </w:p>
    <w:p>
      <w:pPr>
        <w:pStyle w:val="5"/>
        <w:numPr>
          <w:ilvl w:val="3"/>
          <w:numId w:val="33"/>
        </w:numPr>
        <w:spacing w:before="160" w:after="160"/>
        <w:ind w:left="0" w:leftChars="0" w:right="198" w:rightChars="0" w:firstLine="482" w:firstLineChars="0"/>
        <w:rPr>
          <w:sz w:val="24"/>
        </w:rPr>
      </w:pPr>
      <w:r>
        <w:rPr>
          <w:rFonts w:hint="eastAsia"/>
          <w:sz w:val="24"/>
        </w:rPr>
        <w:t>引领创新驱动发展，促进产业联盟合作</w:t>
      </w:r>
    </w:p>
    <w:p>
      <w:pPr>
        <w:ind w:left="0" w:leftChars="0" w:right="0" w:rightChars="0" w:firstLine="480"/>
      </w:pPr>
      <w:r>
        <w:rPr>
          <w:rFonts w:hint="eastAsia"/>
        </w:rPr>
        <w:t>依托高等院校、科研机构、大型企业等力量，以发展超低能耗建筑为契机，在平衡投资与效益的前提下，创新发展符合汕尾市当地经济技术水平的建设模式。</w:t>
      </w:r>
    </w:p>
    <w:p>
      <w:pPr>
        <w:pStyle w:val="4"/>
        <w:numPr>
          <w:ilvl w:val="2"/>
          <w:numId w:val="27"/>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既有民用建筑绿色改造的总体技术路线</w:t>
      </w:r>
    </w:p>
    <w:p>
      <w:pPr>
        <w:pStyle w:val="5"/>
        <w:numPr>
          <w:ilvl w:val="3"/>
          <w:numId w:val="34"/>
        </w:numPr>
        <w:spacing w:before="160" w:after="160"/>
        <w:ind w:left="0" w:leftChars="0" w:right="198" w:rightChars="0" w:firstLine="482" w:firstLineChars="0"/>
        <w:rPr>
          <w:sz w:val="24"/>
        </w:rPr>
      </w:pPr>
      <w:r>
        <w:rPr>
          <w:rFonts w:hint="eastAsia"/>
          <w:sz w:val="24"/>
        </w:rPr>
        <w:t>安全耐久</w:t>
      </w:r>
    </w:p>
    <w:p>
      <w:pPr>
        <w:ind w:left="0" w:leftChars="0" w:right="0" w:rightChars="0" w:firstLine="480"/>
      </w:pPr>
      <w:r>
        <w:rPr>
          <w:rFonts w:hint="eastAsia"/>
        </w:rPr>
        <w:t>（1）场地安全性。对场地安全性、稳定性及无障碍设施进行评估。当存在安全隐患时，应采取相应的改造措施保证场地对可能产生的自然灾害或次生灾害有充分的抵御能力；当无法排除超标的污染源时，应采用相应治理措施。</w:t>
      </w:r>
    </w:p>
    <w:p>
      <w:pPr>
        <w:ind w:left="0" w:leftChars="0" w:right="0" w:rightChars="0" w:firstLine="480"/>
      </w:pPr>
      <w:r>
        <w:rPr>
          <w:rFonts w:hint="eastAsia"/>
        </w:rPr>
        <w:t>（</w:t>
      </w:r>
      <w:r>
        <w:t>2</w:t>
      </w:r>
      <w:r>
        <w:rPr>
          <w:rFonts w:hint="eastAsia"/>
        </w:rPr>
        <w:t>）结构安全性、耐久性和抗震性能。既有建筑绿色改造，应确保建筑结构及非结构构件安全、可靠，必要时应采取加固措施，并宜采用模板使用少、体积增加小的加固技术；应充分保留利用原有结构构件，避免不必要的拆除或更换，原结构构件的利用率不应小于70%。</w:t>
      </w:r>
    </w:p>
    <w:p>
      <w:pPr>
        <w:ind w:left="0" w:leftChars="0" w:right="0" w:rightChars="0" w:firstLine="480"/>
      </w:pPr>
      <w:r>
        <w:rPr>
          <w:rFonts w:hint="eastAsia"/>
        </w:rPr>
        <w:t>（3）人员安全防护。既有建筑绿色改造，应采取措施提高阳台、外窗、窗台、防护栏杆等安全防护水平，建筑物出入口应有外墙饰面、门窗玻璃意外脱落的防护措施，室内外地面或路面应设置防护措施。</w:t>
      </w:r>
    </w:p>
    <w:p>
      <w:pPr>
        <w:pStyle w:val="5"/>
        <w:numPr>
          <w:ilvl w:val="3"/>
          <w:numId w:val="34"/>
        </w:numPr>
        <w:spacing w:before="160" w:after="160"/>
        <w:ind w:left="0" w:leftChars="0" w:right="198" w:rightChars="0" w:firstLine="482" w:firstLineChars="0"/>
        <w:rPr>
          <w:sz w:val="24"/>
        </w:rPr>
      </w:pPr>
      <w:r>
        <w:rPr>
          <w:rFonts w:hint="eastAsia"/>
          <w:sz w:val="24"/>
        </w:rPr>
        <w:t>健康舒适</w:t>
      </w:r>
    </w:p>
    <w:p>
      <w:pPr>
        <w:ind w:left="0" w:leftChars="0" w:right="0" w:rightChars="0" w:firstLine="480"/>
      </w:pPr>
      <w:r>
        <w:rPr>
          <w:rFonts w:hint="eastAsia"/>
        </w:rPr>
        <w:t>建筑本身的围护结构性能以及室内的空气品质、水质状况、声环境、光环境、湿热环境对人体健康舒适感至关重要，既有建筑在这方面的改善可以通过环境整治、室内外隔声降噪、设施改善、围护结构保温隔热、门窗改造、遮阳改造等措施实现，具体如下：</w:t>
      </w:r>
    </w:p>
    <w:p>
      <w:pPr>
        <w:ind w:left="0" w:leftChars="0" w:right="0" w:rightChars="0" w:firstLine="480"/>
      </w:pPr>
      <w:r>
        <w:rPr>
          <w:rFonts w:hint="eastAsia"/>
        </w:rPr>
        <w:t>（</w:t>
      </w:r>
      <w:r>
        <w:t>1</w:t>
      </w:r>
      <w:r>
        <w:rPr>
          <w:rFonts w:hint="eastAsia"/>
        </w:rPr>
        <w:t>）建筑围护结构性能。对建筑外墙构造形式、传热系数及热工缺陷，屋面构造形式及传热系数，外窗、透光幕墙、屋顶透光部分热工参数等进行检测，选用适宜的保温、隔热措施。</w:t>
      </w:r>
    </w:p>
    <w:p>
      <w:pPr>
        <w:ind w:left="0" w:leftChars="0" w:right="0" w:rightChars="0" w:firstLine="480"/>
      </w:pPr>
      <w:r>
        <w:rPr>
          <w:rFonts w:hint="eastAsia"/>
        </w:rPr>
        <w:t>（</w:t>
      </w:r>
      <w:r>
        <w:t>2</w:t>
      </w:r>
      <w:r>
        <w:rPr>
          <w:rFonts w:hint="eastAsia"/>
        </w:rPr>
        <w:t>）暖通空调系统的末端装置应现场可独立调节。</w:t>
      </w:r>
    </w:p>
    <w:p>
      <w:pPr>
        <w:ind w:left="0" w:leftChars="0" w:right="0" w:rightChars="0" w:firstLine="480"/>
      </w:pPr>
      <w:r>
        <w:rPr>
          <w:rFonts w:hint="eastAsia"/>
        </w:rPr>
        <w:t>（3）通风空调系统应具有空气净化功能或合理设置室内空气净化装置，降低室内空气的主要污染物浓度。</w:t>
      </w:r>
    </w:p>
    <w:p>
      <w:pPr>
        <w:ind w:left="0" w:leftChars="0" w:right="0" w:rightChars="0" w:firstLine="480"/>
      </w:pPr>
      <w:r>
        <w:rPr>
          <w:rFonts w:hint="eastAsia"/>
        </w:rPr>
        <w:t>（</w:t>
      </w:r>
      <w:r>
        <w:t>4</w:t>
      </w:r>
      <w:r>
        <w:rPr>
          <w:rFonts w:hint="eastAsia"/>
        </w:rPr>
        <w:t>）合理组织气流。不同功能房间应保证一定压差，避免气味散发量大的空间（比如卫生间、餐厅、地下车库等）的气味或污染物串通到室内别的空间或室外主要活动场所。</w:t>
      </w:r>
    </w:p>
    <w:p>
      <w:pPr>
        <w:ind w:left="0" w:leftChars="0" w:right="0" w:rightChars="0" w:firstLine="480"/>
      </w:pPr>
      <w:r>
        <w:rPr>
          <w:rFonts w:hint="eastAsia"/>
        </w:rPr>
        <w:t>（</w:t>
      </w:r>
      <w:r>
        <w:t>5</w:t>
      </w:r>
      <w:r>
        <w:rPr>
          <w:rFonts w:hint="eastAsia"/>
        </w:rPr>
        <w:t>）宜对室内CO</w:t>
      </w:r>
      <w:r>
        <w:rPr>
          <w:rFonts w:hint="eastAsia"/>
          <w:vertAlign w:val="subscript"/>
        </w:rPr>
        <w:t>2</w:t>
      </w:r>
      <w:r>
        <w:rPr>
          <w:rFonts w:hint="eastAsia"/>
        </w:rPr>
        <w:t>浓度进行数据采集、分析，并与通风系统联动，使CO</w:t>
      </w:r>
      <w:r>
        <w:rPr>
          <w:rFonts w:hint="eastAsia"/>
          <w:vertAlign w:val="subscript"/>
        </w:rPr>
        <w:t>2</w:t>
      </w:r>
      <w:r>
        <w:rPr>
          <w:rFonts w:hint="eastAsia"/>
        </w:rPr>
        <w:t>浓度始终维持在卫生标准规定的限值内。</w:t>
      </w:r>
    </w:p>
    <w:p>
      <w:pPr>
        <w:ind w:left="0" w:leftChars="0" w:right="0" w:rightChars="0" w:firstLine="480"/>
      </w:pPr>
      <w:r>
        <w:rPr>
          <w:rFonts w:hint="eastAsia"/>
        </w:rPr>
        <w:t>（</w:t>
      </w:r>
      <w:r>
        <w:t>6</w:t>
      </w:r>
      <w:r>
        <w:rPr>
          <w:rFonts w:hint="eastAsia"/>
        </w:rPr>
        <w:t>）甲醛、苯、氨等有害挥发性有机物宜实现室内污染物浓度超标实时报警，并与通风系统联动，其限量应符合《民用建筑工程室内环境污染控制规范》GB50325的要求。</w:t>
      </w:r>
    </w:p>
    <w:p>
      <w:pPr>
        <w:ind w:left="0" w:leftChars="0" w:right="0" w:rightChars="0" w:firstLine="480"/>
      </w:pPr>
      <w:r>
        <w:rPr>
          <w:rFonts w:hint="eastAsia"/>
        </w:rPr>
        <w:t>（</w:t>
      </w:r>
      <w:r>
        <w:t>7</w:t>
      </w:r>
      <w:r>
        <w:rPr>
          <w:rFonts w:hint="eastAsia"/>
        </w:rPr>
        <w:t>）地下车库宜设置与排风设备联动的CO浓度监测装置，CO浓度应满足现行国家标准《室内空气质量标准》GB/T18883的有关规定。</w:t>
      </w:r>
    </w:p>
    <w:p>
      <w:pPr>
        <w:pStyle w:val="5"/>
        <w:numPr>
          <w:ilvl w:val="3"/>
          <w:numId w:val="34"/>
        </w:numPr>
        <w:spacing w:before="160" w:after="160"/>
        <w:ind w:left="0" w:leftChars="0" w:right="198" w:rightChars="0" w:firstLine="482" w:firstLineChars="0"/>
        <w:rPr>
          <w:sz w:val="24"/>
        </w:rPr>
      </w:pPr>
      <w:r>
        <w:rPr>
          <w:rFonts w:hint="eastAsia"/>
          <w:sz w:val="24"/>
        </w:rPr>
        <w:t>资源节约</w:t>
      </w:r>
    </w:p>
    <w:p>
      <w:pPr>
        <w:ind w:left="0" w:leftChars="0" w:right="0" w:rightChars="0" w:firstLine="480"/>
      </w:pPr>
      <w:r>
        <w:rPr>
          <w:rFonts w:hint="eastAsia"/>
        </w:rPr>
        <w:t>1.节地与土地利用</w:t>
      </w:r>
    </w:p>
    <w:p>
      <w:pPr>
        <w:ind w:left="0" w:leftChars="0" w:right="0" w:rightChars="0" w:firstLine="480"/>
      </w:pPr>
      <w:r>
        <w:rPr>
          <w:rFonts w:hint="eastAsia"/>
        </w:rPr>
        <w:t>对建筑功能空间的分布和利用情况、地下空间的利用现状进行评估。在建筑功能改造提升时，应充分利用原有建筑结构与空间，减少拆、改，优化建筑的功能布局，保证建筑内部交通流线顺畅，互不干扰，提高空间利用率。对于有地下空间的建筑，宜改善原有地下空间的天然采光、自然通风效果，提高地下空间的使用效率和环境质量；对于无地下空间的建筑，宜根据建设条件，合理增建地下空间。</w:t>
      </w:r>
    </w:p>
    <w:p>
      <w:pPr>
        <w:ind w:left="0" w:leftChars="0" w:right="0" w:rightChars="0" w:firstLine="480"/>
      </w:pPr>
      <w:r>
        <w:rPr>
          <w:rFonts w:hint="eastAsia"/>
        </w:rPr>
        <w:t>2.节能与能源利用</w:t>
      </w:r>
    </w:p>
    <w:p>
      <w:pPr>
        <w:ind w:left="0" w:leftChars="0" w:right="0" w:rightChars="0" w:firstLine="480"/>
      </w:pPr>
      <w:r>
        <w:rPr>
          <w:rFonts w:hint="eastAsia"/>
        </w:rPr>
        <w:t>由于既有建筑建造年代的问题，采用的设备相对较为落后，能源利用效率较差，需对暖通空调系统与设备进行改造，采用合理的暖通空调系统、高效的设备，采用更加节能的设备控制方式。</w:t>
      </w:r>
    </w:p>
    <w:p>
      <w:pPr>
        <w:ind w:left="0" w:leftChars="0" w:right="0" w:rightChars="0" w:firstLine="480"/>
      </w:pPr>
      <w:r>
        <w:rPr>
          <w:rFonts w:hint="eastAsia"/>
        </w:rPr>
        <w:t>（</w:t>
      </w:r>
      <w:r>
        <w:t>1</w:t>
      </w:r>
      <w:r>
        <w:rPr>
          <w:rFonts w:hint="eastAsia"/>
        </w:rPr>
        <w:t>）结合改造后的设备需求，对于适合保留使用的原有机电系统和设备应进行再利用。</w:t>
      </w:r>
    </w:p>
    <w:p>
      <w:pPr>
        <w:ind w:left="0" w:leftChars="0" w:right="0" w:rightChars="0" w:firstLine="480"/>
      </w:pPr>
      <w:r>
        <w:rPr>
          <w:rFonts w:hint="eastAsia"/>
        </w:rPr>
        <w:t>（</w:t>
      </w:r>
      <w:r>
        <w:t>2</w:t>
      </w:r>
      <w:r>
        <w:rPr>
          <w:rFonts w:hint="eastAsia"/>
        </w:rPr>
        <w:t>）新增设备应达到现行国家节能标准要求。</w:t>
      </w:r>
    </w:p>
    <w:p>
      <w:pPr>
        <w:ind w:left="0" w:leftChars="0" w:right="0" w:rightChars="0" w:firstLine="480"/>
      </w:pPr>
      <w:r>
        <w:rPr>
          <w:rFonts w:hint="eastAsia"/>
        </w:rPr>
        <w:t>（</w:t>
      </w:r>
      <w:r>
        <w:t>3</w:t>
      </w:r>
      <w:r>
        <w:rPr>
          <w:rFonts w:hint="eastAsia"/>
        </w:rPr>
        <w:t>）应合理选配空调冷、热源机组台数与容量，制定实施根据负荷变化调节制冷（热）量的控制策略。</w:t>
      </w:r>
    </w:p>
    <w:p>
      <w:pPr>
        <w:ind w:left="0" w:leftChars="0" w:right="0" w:rightChars="0" w:firstLine="480"/>
      </w:pPr>
      <w:r>
        <w:rPr>
          <w:rFonts w:hint="eastAsia"/>
        </w:rPr>
        <w:t>（</w:t>
      </w:r>
      <w:r>
        <w:t>4</w:t>
      </w:r>
      <w:r>
        <w:rPr>
          <w:rFonts w:hint="eastAsia"/>
        </w:rPr>
        <w:t>）冷水机组出水或回水温度应根据建筑实际负荷的变化进行设定，并结合控制系统的改造实现出水温度自动设置。</w:t>
      </w:r>
    </w:p>
    <w:p>
      <w:pPr>
        <w:ind w:left="0" w:leftChars="0" w:right="0" w:rightChars="0" w:firstLine="480"/>
      </w:pPr>
      <w:r>
        <w:rPr>
          <w:rFonts w:hint="eastAsia"/>
        </w:rPr>
        <w:t>（</w:t>
      </w:r>
      <w:r>
        <w:t>5</w:t>
      </w:r>
      <w:r>
        <w:rPr>
          <w:rFonts w:hint="eastAsia"/>
        </w:rPr>
        <w:t>）对于冷热负荷随季节或使用情况变化较大的系统，在确保系统运行安全可靠的前提下，可通过增设变速控制系统，将定水量系统改造为变水量系统。</w:t>
      </w:r>
    </w:p>
    <w:p>
      <w:pPr>
        <w:ind w:left="0" w:leftChars="0" w:right="0" w:rightChars="0" w:firstLine="480"/>
      </w:pPr>
      <w:r>
        <w:rPr>
          <w:rFonts w:hint="eastAsia"/>
        </w:rPr>
        <w:t>（</w:t>
      </w:r>
      <w:r>
        <w:t>6</w:t>
      </w:r>
      <w:r>
        <w:rPr>
          <w:rFonts w:hint="eastAsia"/>
        </w:rPr>
        <w:t>）供暖空调水系统应进行水力平衡调试，当设计工况下并联环路之间压力损失的相对差额超过15%时，应采取水力平衡措施。</w:t>
      </w:r>
    </w:p>
    <w:p>
      <w:pPr>
        <w:ind w:left="0" w:leftChars="0" w:right="0" w:rightChars="0" w:firstLine="480"/>
      </w:pPr>
      <w:r>
        <w:rPr>
          <w:rFonts w:hint="eastAsia"/>
        </w:rPr>
        <w:t>（</w:t>
      </w:r>
      <w:r>
        <w:t>7</w:t>
      </w:r>
      <w:r>
        <w:rPr>
          <w:rFonts w:hint="eastAsia"/>
        </w:rPr>
        <w:t>）对于冷却塔的改造，宜根据冷却塔的出水温度，合理调整冷却塔运行台数及风机转速。</w:t>
      </w:r>
    </w:p>
    <w:p>
      <w:pPr>
        <w:ind w:left="0" w:leftChars="0" w:right="0" w:rightChars="0" w:firstLine="480"/>
      </w:pPr>
      <w:r>
        <w:rPr>
          <w:rFonts w:hint="eastAsia"/>
        </w:rPr>
        <w:t>（</w:t>
      </w:r>
      <w:r>
        <w:t>8</w:t>
      </w:r>
      <w:r>
        <w:rPr>
          <w:rFonts w:hint="eastAsia"/>
        </w:rPr>
        <w:t>）对于全空气空调系统，应结合换气要求加大新风供应量和实现新风可调的措施，实现过渡季全新风或可调新风比的运行方式。</w:t>
      </w:r>
    </w:p>
    <w:p>
      <w:pPr>
        <w:ind w:left="0" w:leftChars="0" w:right="0" w:rightChars="0" w:firstLine="480"/>
      </w:pPr>
      <w:r>
        <w:rPr>
          <w:rFonts w:hint="eastAsia"/>
        </w:rPr>
        <w:t>（</w:t>
      </w:r>
      <w:r>
        <w:t>9</w:t>
      </w:r>
      <w:r>
        <w:rPr>
          <w:rFonts w:hint="eastAsia"/>
        </w:rPr>
        <w:t>）暖通空调系统能耗管理系统应按冷热源、输配系统等设置独立分项用能计量或按付费单元或管理单元设置用能计量装置，并宜对末端系统亦设置独立分项用能计量装置。</w:t>
      </w:r>
    </w:p>
    <w:p>
      <w:pPr>
        <w:ind w:left="0" w:leftChars="0" w:right="0" w:rightChars="0" w:firstLine="480"/>
      </w:pPr>
      <w:r>
        <w:rPr>
          <w:rFonts w:hint="eastAsia"/>
        </w:rPr>
        <w:t>（</w:t>
      </w:r>
      <w:r>
        <w:t>10</w:t>
      </w:r>
      <w:r>
        <w:rPr>
          <w:rFonts w:hint="eastAsia"/>
        </w:rPr>
        <w:t>）合理采用消声隔振措施。</w:t>
      </w:r>
    </w:p>
    <w:p>
      <w:pPr>
        <w:ind w:left="0" w:leftChars="0" w:right="0" w:rightChars="0" w:firstLine="480"/>
      </w:pPr>
      <w:r>
        <w:rPr>
          <w:rFonts w:hint="eastAsia"/>
        </w:rPr>
        <w:t>（</w:t>
      </w:r>
      <w:r>
        <w:t>11</w:t>
      </w:r>
      <w:r>
        <w:rPr>
          <w:rFonts w:hint="eastAsia"/>
        </w:rPr>
        <w:t>）合理采用低成本的节能改造技术。</w:t>
      </w:r>
    </w:p>
    <w:p>
      <w:pPr>
        <w:ind w:left="0" w:leftChars="0" w:right="0" w:rightChars="0" w:firstLine="480"/>
      </w:pPr>
      <w:r>
        <w:rPr>
          <w:rFonts w:hint="eastAsia"/>
        </w:rPr>
        <w:t>3</w:t>
      </w:r>
      <w:r>
        <w:t>.</w:t>
      </w:r>
      <w:r>
        <w:rPr>
          <w:rFonts w:hint="eastAsia"/>
        </w:rPr>
        <w:t>能源综合利用</w:t>
      </w:r>
    </w:p>
    <w:p>
      <w:pPr>
        <w:ind w:left="0" w:leftChars="0" w:right="0" w:rightChars="0" w:firstLine="480"/>
      </w:pPr>
      <w:r>
        <w:rPr>
          <w:rFonts w:hint="eastAsia"/>
        </w:rPr>
        <w:t>（</w:t>
      </w:r>
      <w:r>
        <w:t>1</w:t>
      </w:r>
      <w:r>
        <w:rPr>
          <w:rFonts w:hint="eastAsia"/>
        </w:rPr>
        <w:t>）空调供暖系统中的锅炉应增设烟气热回收装置。既有燃煤锅炉宜改造为燃气锅炉；接近或超出使用寿命的燃气锅炉和燃油锅炉宜更换为冷凝式锅炉。</w:t>
      </w:r>
    </w:p>
    <w:p>
      <w:pPr>
        <w:ind w:left="0" w:leftChars="0" w:right="0" w:rightChars="0" w:firstLine="480"/>
      </w:pPr>
      <w:r>
        <w:rPr>
          <w:rFonts w:hint="eastAsia"/>
        </w:rPr>
        <w:t>（</w:t>
      </w:r>
      <w:r>
        <w:t>2</w:t>
      </w:r>
      <w:r>
        <w:rPr>
          <w:rFonts w:hint="eastAsia"/>
        </w:rPr>
        <w:t>）存在生活热水、空调再热等稳定热需求时，宜回收制冷机组冷凝热来满足热需求。</w:t>
      </w:r>
    </w:p>
    <w:p>
      <w:pPr>
        <w:ind w:left="0" w:leftChars="0" w:right="0" w:rightChars="0" w:firstLine="480"/>
      </w:pPr>
      <w:r>
        <w:rPr>
          <w:rFonts w:hint="eastAsia"/>
        </w:rPr>
        <w:t>（</w:t>
      </w:r>
      <w:r>
        <w:t>3</w:t>
      </w:r>
      <w:r>
        <w:rPr>
          <w:rFonts w:hint="eastAsia"/>
        </w:rPr>
        <w:t>）回收利用排风冷(热)量应进行技术经济比较。</w:t>
      </w:r>
    </w:p>
    <w:p>
      <w:pPr>
        <w:ind w:left="0" w:leftChars="0" w:right="0" w:rightChars="0" w:firstLine="480"/>
      </w:pPr>
      <w:r>
        <w:rPr>
          <w:rFonts w:hint="eastAsia"/>
        </w:rPr>
        <w:t>（</w:t>
      </w:r>
      <w:r>
        <w:t>4</w:t>
      </w:r>
      <w:r>
        <w:rPr>
          <w:rFonts w:hint="eastAsia"/>
        </w:rPr>
        <w:t>）对于过渡季节或冬季存在供冷需求的建筑，宜对空调通风系统进行改造直接利用室外空气降温，或对空调水系统进行改造采用冷却塔供冷。</w:t>
      </w:r>
    </w:p>
    <w:p>
      <w:pPr>
        <w:ind w:left="0" w:leftChars="0" w:right="0" w:rightChars="0" w:firstLine="480"/>
      </w:pPr>
      <w:r>
        <w:rPr>
          <w:rFonts w:hint="eastAsia"/>
        </w:rPr>
        <w:t>（</w:t>
      </w:r>
      <w:r>
        <w:t>5</w:t>
      </w:r>
      <w:r>
        <w:rPr>
          <w:rFonts w:hint="eastAsia"/>
        </w:rPr>
        <w:t>）建筑屋面、周边场地等位置条件允许时，可增设可再生能源利用系统、空气源热泵机组为建筑提供生活热水、空调冷热量。</w:t>
      </w:r>
    </w:p>
    <w:p>
      <w:pPr>
        <w:ind w:left="0" w:leftChars="0" w:right="0" w:rightChars="0" w:firstLine="480"/>
      </w:pPr>
      <w:r>
        <w:t>4.</w:t>
      </w:r>
      <w:r>
        <w:rPr>
          <w:rFonts w:hint="eastAsia"/>
        </w:rPr>
        <w:t>节水与水资源利用</w:t>
      </w:r>
    </w:p>
    <w:p>
      <w:pPr>
        <w:ind w:left="0" w:leftChars="0" w:right="0" w:rightChars="0" w:firstLine="480"/>
      </w:pPr>
      <w:r>
        <w:rPr>
          <w:rFonts w:hint="eastAsia"/>
        </w:rPr>
        <w:t>既有建筑给水排水方面的改造主要是减少水资源不必要的浪费和水资源的重复利用，主要进行管网防漏损改造、节水器具与设备节水改造、非传统水源利用等，具体如下：</w:t>
      </w:r>
    </w:p>
    <w:p>
      <w:pPr>
        <w:ind w:left="0" w:leftChars="0" w:right="0" w:rightChars="0" w:firstLine="480"/>
      </w:pPr>
      <w:r>
        <w:rPr>
          <w:rFonts w:hint="eastAsia"/>
        </w:rPr>
        <w:t>节水系统</w:t>
      </w:r>
    </w:p>
    <w:p>
      <w:pPr>
        <w:ind w:left="0" w:leftChars="0" w:right="0" w:rightChars="0" w:firstLine="480"/>
      </w:pPr>
      <w:r>
        <w:rPr>
          <w:rFonts w:hint="eastAsia"/>
        </w:rPr>
        <w:t>（</w:t>
      </w:r>
      <w:r>
        <w:t>1</w:t>
      </w:r>
      <w:r>
        <w:rPr>
          <w:rFonts w:hint="eastAsia"/>
        </w:rPr>
        <w:t>）给水排水系统的水质、水量、水压应满足建筑用水的要求。</w:t>
      </w:r>
    </w:p>
    <w:p>
      <w:pPr>
        <w:ind w:left="0" w:leftChars="0" w:right="0" w:rightChars="0" w:firstLine="480"/>
      </w:pPr>
      <w:r>
        <w:rPr>
          <w:rFonts w:hint="eastAsia"/>
        </w:rPr>
        <w:t>（</w:t>
      </w:r>
      <w:r>
        <w:t>2</w:t>
      </w:r>
      <w:r>
        <w:rPr>
          <w:rFonts w:hint="eastAsia"/>
        </w:rPr>
        <w:t>）应对现有给水系统进行管道漏损情况检测，并采取避免管网漏损的措施。</w:t>
      </w:r>
    </w:p>
    <w:p>
      <w:pPr>
        <w:ind w:left="0" w:leftChars="0" w:right="0" w:rightChars="0" w:firstLine="480"/>
      </w:pPr>
      <w:r>
        <w:rPr>
          <w:rFonts w:hint="eastAsia"/>
        </w:rPr>
        <w:t>（</w:t>
      </w:r>
      <w:r>
        <w:t>3</w:t>
      </w:r>
      <w:r>
        <w:rPr>
          <w:rFonts w:hint="eastAsia"/>
        </w:rPr>
        <w:t>）对各种用水分级、分用途设置计量水表。</w:t>
      </w:r>
    </w:p>
    <w:p>
      <w:pPr>
        <w:ind w:left="0" w:leftChars="0" w:right="0" w:rightChars="0" w:firstLine="480"/>
      </w:pPr>
      <w:r>
        <w:rPr>
          <w:rFonts w:hint="eastAsia"/>
        </w:rPr>
        <w:t>（</w:t>
      </w:r>
      <w:r>
        <w:t>4</w:t>
      </w:r>
      <w:r>
        <w:rPr>
          <w:rFonts w:hint="eastAsia"/>
        </w:rPr>
        <w:t>）设有生活热水系统的建筑，热源系统如需改造，应优先利用余热、废热、可再生能源等作为热源，并合理配置辅助加热系统。</w:t>
      </w:r>
    </w:p>
    <w:p>
      <w:pPr>
        <w:ind w:left="0" w:leftChars="0" w:right="0" w:rightChars="0" w:firstLine="480"/>
      </w:pPr>
      <w:r>
        <w:rPr>
          <w:rFonts w:hint="eastAsia"/>
        </w:rPr>
        <w:t>（</w:t>
      </w:r>
      <w:r>
        <w:t>5</w:t>
      </w:r>
      <w:r>
        <w:rPr>
          <w:rFonts w:hint="eastAsia"/>
        </w:rPr>
        <w:t>）有生活热水需求的建筑，如需改造或加装生活热水系统，热水用水量较小且用水点分散时，宜采用局部热水供应系统；热水用水量较大、用水点比较集中时，应采用集中热水供应系统，并应设置完善的热水循环系统。</w:t>
      </w:r>
    </w:p>
    <w:p>
      <w:pPr>
        <w:ind w:left="0" w:leftChars="0" w:right="0" w:rightChars="0" w:firstLine="480"/>
      </w:pPr>
      <w:r>
        <w:rPr>
          <w:rFonts w:hint="eastAsia"/>
        </w:rPr>
        <w:t>节水器具与设备</w:t>
      </w:r>
    </w:p>
    <w:p>
      <w:pPr>
        <w:ind w:left="0" w:leftChars="0" w:right="0" w:rightChars="0" w:firstLine="480"/>
      </w:pPr>
      <w:r>
        <w:rPr>
          <w:rFonts w:hint="eastAsia"/>
        </w:rPr>
        <w:t>（</w:t>
      </w:r>
      <w:r>
        <w:t>6</w:t>
      </w:r>
      <w:r>
        <w:rPr>
          <w:rFonts w:hint="eastAsia"/>
        </w:rPr>
        <w:t>）如现有卫生器具不满足现行国家标准《节水型产品通用技术条件》GB/T18870及现行行业标准《节水型生活用水器具》CJ/T164的要求，应更换成节水器具。有条件时，宜采用用水效率等级为2级及以上的节水器具。</w:t>
      </w:r>
    </w:p>
    <w:p>
      <w:pPr>
        <w:ind w:left="0" w:leftChars="0" w:right="0" w:rightChars="0" w:firstLine="480"/>
      </w:pPr>
      <w:r>
        <w:rPr>
          <w:rFonts w:hint="eastAsia"/>
        </w:rPr>
        <w:t>（</w:t>
      </w:r>
      <w:r>
        <w:t>7</w:t>
      </w:r>
      <w:r>
        <w:rPr>
          <w:rFonts w:hint="eastAsia"/>
        </w:rPr>
        <w:t>）绿化灌溉应采用节水灌溉系统。有条件时，还应在采用节水灌溉的基础上，设置土壤湿度感应器、雨天关闭装置等节水控制措施。</w:t>
      </w:r>
    </w:p>
    <w:p>
      <w:pPr>
        <w:ind w:left="0" w:leftChars="0" w:right="0" w:rightChars="0" w:firstLine="480"/>
      </w:pPr>
      <w:r>
        <w:rPr>
          <w:rFonts w:hint="eastAsia"/>
        </w:rPr>
        <w:t>（</w:t>
      </w:r>
      <w:r>
        <w:t>8</w:t>
      </w:r>
      <w:r>
        <w:rPr>
          <w:rFonts w:hint="eastAsia"/>
        </w:rPr>
        <w:t>）空调设备或系统应合理采用节水冷却技术。</w:t>
      </w:r>
    </w:p>
    <w:p>
      <w:pPr>
        <w:ind w:left="0" w:leftChars="0" w:right="0" w:rightChars="0" w:firstLine="480"/>
      </w:pPr>
      <w:r>
        <w:rPr>
          <w:rFonts w:hint="eastAsia"/>
        </w:rPr>
        <w:t>（</w:t>
      </w:r>
      <w:r>
        <w:t>9</w:t>
      </w:r>
      <w:r>
        <w:rPr>
          <w:rFonts w:hint="eastAsia"/>
        </w:rPr>
        <w:t>）当建筑内设有公用浴室时，应采用节水控制措施，如采用带恒温控制和温度显示功能的冷热水混合淋浴器，并采用感应开关、延时自闭阀或脚踏式开关等节水装置。</w:t>
      </w:r>
    </w:p>
    <w:p>
      <w:pPr>
        <w:ind w:left="0" w:leftChars="0" w:right="0" w:rightChars="0" w:firstLine="480"/>
      </w:pPr>
      <w:r>
        <w:rPr>
          <w:rFonts w:hint="eastAsia"/>
        </w:rPr>
        <w:t>（</w:t>
      </w:r>
      <w:r>
        <w:t>10</w:t>
      </w:r>
      <w:r>
        <w:rPr>
          <w:rFonts w:hint="eastAsia"/>
        </w:rPr>
        <w:t>）现有的用水设备如需更换，应采用节水设备。</w:t>
      </w:r>
    </w:p>
    <w:p>
      <w:pPr>
        <w:ind w:left="0" w:leftChars="0" w:right="0" w:rightChars="0" w:firstLine="480"/>
      </w:pPr>
      <w:r>
        <w:rPr>
          <w:rFonts w:hint="eastAsia"/>
        </w:rPr>
        <w:t>非传统水源利用</w:t>
      </w:r>
    </w:p>
    <w:p>
      <w:pPr>
        <w:ind w:left="0" w:leftChars="0" w:right="0" w:rightChars="0" w:firstLine="480"/>
      </w:pPr>
      <w:r>
        <w:rPr>
          <w:rFonts w:hint="eastAsia"/>
        </w:rPr>
        <w:t>（</w:t>
      </w:r>
      <w:r>
        <w:t>11</w:t>
      </w:r>
      <w:r>
        <w:rPr>
          <w:rFonts w:hint="eastAsia"/>
        </w:rPr>
        <w:t>）景观水体用水、绿化用水、车辆冲洗用水、道路浇洒用水、冲厕用水、冷却水补水等不与人体接触的生活用水，宜采用除市政供水、地下水外的其他水源，且水质应达到现行相关标准的要求。有条件时应优先使用市政再生水。</w:t>
      </w:r>
    </w:p>
    <w:p>
      <w:pPr>
        <w:ind w:left="0" w:leftChars="0" w:right="0" w:rightChars="0" w:firstLine="480"/>
      </w:pPr>
      <w:r>
        <w:rPr>
          <w:rFonts w:hint="eastAsia"/>
        </w:rPr>
        <w:t>（</w:t>
      </w:r>
      <w:r>
        <w:t>12</w:t>
      </w:r>
      <w:r>
        <w:rPr>
          <w:rFonts w:hint="eastAsia"/>
        </w:rPr>
        <w:t>）非传统水源给水系统严禁与生活饮用水给水管道连接，必须采取安全措施。</w:t>
      </w:r>
    </w:p>
    <w:p>
      <w:pPr>
        <w:ind w:left="0" w:leftChars="0" w:right="0" w:rightChars="0" w:firstLine="480"/>
      </w:pPr>
      <w:r>
        <w:rPr>
          <w:rFonts w:hint="eastAsia"/>
        </w:rPr>
        <w:t>（</w:t>
      </w:r>
      <w:r>
        <w:t>13</w:t>
      </w:r>
      <w:r>
        <w:rPr>
          <w:rFonts w:hint="eastAsia"/>
        </w:rPr>
        <w:t>）使用非传统水源应采取用水安全保障措施，且不得对人体健康与周围环境产生不良影响。</w:t>
      </w:r>
    </w:p>
    <w:p>
      <w:pPr>
        <w:ind w:left="0" w:leftChars="0" w:right="0" w:rightChars="0" w:firstLine="480"/>
      </w:pPr>
      <w:r>
        <w:rPr>
          <w:rFonts w:hint="eastAsia"/>
        </w:rPr>
        <w:t>（</w:t>
      </w:r>
      <w:r>
        <w:t>14</w:t>
      </w:r>
      <w:r>
        <w:rPr>
          <w:rFonts w:hint="eastAsia"/>
        </w:rPr>
        <w:t>）应结合场地情况，对既有雨水排水系统进行断接改造。</w:t>
      </w:r>
    </w:p>
    <w:p>
      <w:pPr>
        <w:ind w:left="0" w:leftChars="0" w:right="0" w:rightChars="0" w:firstLine="480"/>
      </w:pPr>
      <w:r>
        <w:rPr>
          <w:rFonts w:hint="eastAsia"/>
        </w:rPr>
        <w:t>（</w:t>
      </w:r>
      <w:r>
        <w:t>15</w:t>
      </w:r>
      <w:r>
        <w:rPr>
          <w:rFonts w:hint="eastAsia"/>
        </w:rPr>
        <w:t>）景观水体的补水不得使用自来水或地下井水，应优先采用雨水。</w:t>
      </w:r>
    </w:p>
    <w:p>
      <w:pPr>
        <w:ind w:left="0" w:leftChars="0" w:right="0" w:rightChars="0" w:firstLine="480"/>
      </w:pPr>
      <w:r>
        <w:rPr>
          <w:rFonts w:hint="eastAsia"/>
        </w:rPr>
        <w:t>（</w:t>
      </w:r>
      <w:r>
        <w:t>16</w:t>
      </w:r>
      <w:r>
        <w:rPr>
          <w:rFonts w:hint="eastAsia"/>
        </w:rPr>
        <w:t>）海绵城市：按照《汕尾市海绵城市建设实施细则》的建设要求执行。</w:t>
      </w:r>
    </w:p>
    <w:p>
      <w:pPr>
        <w:ind w:left="0" w:leftChars="0" w:right="0" w:rightChars="0" w:firstLine="480"/>
      </w:pPr>
      <w:r>
        <w:rPr>
          <w:rFonts w:hint="eastAsia"/>
        </w:rPr>
        <w:t>5.节材和绿色建材</w:t>
      </w:r>
    </w:p>
    <w:p>
      <w:pPr>
        <w:ind w:left="0" w:leftChars="0" w:right="0" w:rightChars="0" w:firstLine="480"/>
      </w:pPr>
      <w:r>
        <w:rPr>
          <w:rFonts w:hint="eastAsia"/>
        </w:rPr>
        <w:t>提高既有建筑的使用寿命，减少拆建，改造时减少新增材料的使用等都是绿色节能的措施，对既有建筑应确保建筑结构及非结构构件安全、可靠，必要时应采取加固措施，尽量少拆除或更换，采用简约、功能化、轻量化装修，减少使用重质装修材料等。</w:t>
      </w:r>
    </w:p>
    <w:p>
      <w:pPr>
        <w:ind w:left="0" w:leftChars="0" w:right="0" w:rightChars="0" w:firstLine="480"/>
      </w:pPr>
      <w:r>
        <w:rPr>
          <w:rFonts w:hint="eastAsia"/>
        </w:rPr>
        <w:t>查阅材料力学性能、耐久性、回收利用价值相关资料，测算建筑材料节能环保价值。改造时，应充分利用原有材料；应合理采用高强度结构材料；应合理采用环保性和耐久性好的结构材料、结构加固材料和防护材料；新增材料宜采用可再利用材料和可再循环材料；在保证使用安全性和耐久性前提下，新增材料宜使用固体废弃物再生建材；宜采用简约、功能化、轻量化装修，减少使用重质装修材料。</w:t>
      </w:r>
    </w:p>
    <w:p>
      <w:pPr>
        <w:pStyle w:val="5"/>
        <w:numPr>
          <w:ilvl w:val="3"/>
          <w:numId w:val="34"/>
        </w:numPr>
        <w:spacing w:before="160" w:after="160"/>
        <w:ind w:left="0" w:leftChars="0" w:right="198" w:rightChars="0" w:firstLine="482" w:firstLineChars="0"/>
        <w:rPr>
          <w:sz w:val="24"/>
        </w:rPr>
      </w:pPr>
      <w:r>
        <w:rPr>
          <w:rFonts w:hint="eastAsia"/>
          <w:sz w:val="24"/>
        </w:rPr>
        <w:t>环境宜居</w:t>
      </w:r>
    </w:p>
    <w:p>
      <w:pPr>
        <w:ind w:left="0" w:leftChars="0" w:right="0" w:rightChars="0" w:firstLine="480"/>
      </w:pPr>
      <w:r>
        <w:rPr>
          <w:rFonts w:hint="eastAsia"/>
        </w:rPr>
        <w:t>（</w:t>
      </w:r>
      <w:r>
        <w:t>1</w:t>
      </w:r>
      <w:r>
        <w:rPr>
          <w:rFonts w:hint="eastAsia"/>
        </w:rPr>
        <w:t>）场地生态与景观。对场地及周边生态环境、建筑环境、交通、停车设施、绿化用地、雨水控制利用等项进行评估，并对不足项，可采取改造路网、自行车停车位设置遮阳防雨设施、机动车采用节约用地的停车方式、设置新能源汽车充电设施、设置智能停车场（库）管理系统、进行绿色景观改造、进行雨水利用等措施。</w:t>
      </w:r>
    </w:p>
    <w:p>
      <w:pPr>
        <w:ind w:left="0" w:leftChars="0" w:right="0" w:rightChars="0" w:firstLine="480"/>
      </w:pPr>
      <w:r>
        <w:rPr>
          <w:rFonts w:hint="eastAsia"/>
        </w:rPr>
        <w:t>（</w:t>
      </w:r>
      <w:r>
        <w:t>2</w:t>
      </w:r>
      <w:r>
        <w:rPr>
          <w:rFonts w:hint="eastAsia"/>
        </w:rPr>
        <w:t>）建筑环境。对建筑声、光、风、热环境进行评估，根据情况采用隔声降噪、降低热岛、增加自然采光、减少光污染、加强自然通风或设置辅助通风装置等措施。</w:t>
      </w:r>
    </w:p>
    <w:p>
      <w:pPr>
        <w:pStyle w:val="5"/>
        <w:numPr>
          <w:ilvl w:val="3"/>
          <w:numId w:val="34"/>
        </w:numPr>
        <w:spacing w:before="160" w:after="160"/>
        <w:ind w:left="0" w:leftChars="0" w:right="198" w:rightChars="0" w:firstLine="482" w:firstLineChars="0"/>
        <w:rPr>
          <w:sz w:val="24"/>
        </w:rPr>
      </w:pPr>
      <w:r>
        <w:rPr>
          <w:rFonts w:hint="eastAsia"/>
          <w:sz w:val="24"/>
        </w:rPr>
        <w:t>提高与创新</w:t>
      </w:r>
    </w:p>
    <w:p>
      <w:pPr>
        <w:ind w:left="0" w:leftChars="0" w:right="0" w:rightChars="0" w:firstLine="480"/>
      </w:pPr>
      <w:r>
        <w:rPr>
          <w:rFonts w:hint="eastAsia"/>
        </w:rPr>
        <w:t>既有建筑绿色化改造鼓励采用先进、适用、经济的技术、产品和管理方式，进一步降低建筑综合能耗，传承地域建筑文化，进行碳排放分析计算等。</w:t>
      </w:r>
    </w:p>
    <w:p>
      <w:pPr>
        <w:pStyle w:val="2"/>
        <w:keepLines w:val="0"/>
        <w:pageBreakBefore/>
        <w:numPr>
          <w:ilvl w:val="0"/>
          <w:numId w:val="12"/>
        </w:numPr>
        <w:spacing w:line="360" w:lineRule="auto"/>
        <w:ind w:left="0" w:leftChars="0" w:right="0" w:rightChars="0" w:firstLine="0" w:firstLineChars="0"/>
        <w:jc w:val="center"/>
        <w:rPr>
          <w:rFonts w:ascii="黑体" w:hAnsi="黑体" w:eastAsia="黑体"/>
          <w:sz w:val="36"/>
          <w:szCs w:val="32"/>
        </w:rPr>
      </w:pPr>
      <w:bookmarkStart w:id="45" w:name="_Toc117875458"/>
      <w:r>
        <w:rPr>
          <w:rFonts w:hint="eastAsia" w:ascii="黑体" w:hAnsi="黑体" w:eastAsia="黑体"/>
          <w:sz w:val="36"/>
          <w:szCs w:val="32"/>
        </w:rPr>
        <w:t>总体格局与指引</w:t>
      </w:r>
      <w:bookmarkEnd w:id="45"/>
    </w:p>
    <w:bookmarkEnd w:id="39"/>
    <w:bookmarkEnd w:id="40"/>
    <w:bookmarkEnd w:id="41"/>
    <w:p>
      <w:pPr>
        <w:pStyle w:val="3"/>
        <w:numPr>
          <w:ilvl w:val="1"/>
          <w:numId w:val="35"/>
        </w:numPr>
        <w:spacing w:line="360" w:lineRule="auto"/>
        <w:ind w:leftChars="0" w:right="-84" w:rightChars="-35" w:firstLineChars="0"/>
        <w:rPr>
          <w:rFonts w:ascii="黑体" w:hAnsi="黑体"/>
          <w:szCs w:val="30"/>
        </w:rPr>
      </w:pPr>
      <w:bookmarkStart w:id="46" w:name="_Toc117875459"/>
      <w:r>
        <w:rPr>
          <w:rFonts w:ascii="黑体" w:hAnsi="黑体"/>
          <w:szCs w:val="30"/>
        </w:rPr>
        <w:t>总体思路</w:t>
      </w:r>
      <w:bookmarkEnd w:id="46"/>
    </w:p>
    <w:p>
      <w:pPr>
        <w:ind w:left="0" w:leftChars="0" w:right="0" w:rightChars="0" w:firstLine="480"/>
        <w:rPr>
          <w:szCs w:val="24"/>
        </w:rPr>
      </w:pPr>
      <w:r>
        <w:rPr>
          <w:szCs w:val="24"/>
        </w:rPr>
        <w:t>构建</w:t>
      </w:r>
      <w:r>
        <w:rPr>
          <w:rFonts w:hint="eastAsia"/>
          <w:szCs w:val="24"/>
        </w:rPr>
        <w:t>汕尾市“</w:t>
      </w:r>
      <w:r>
        <w:rPr>
          <w:szCs w:val="24"/>
        </w:rPr>
        <w:t>市域</w:t>
      </w:r>
      <w:r>
        <w:rPr>
          <w:rFonts w:hint="eastAsia"/>
          <w:szCs w:val="24"/>
        </w:rPr>
        <w:t>—</w:t>
      </w:r>
      <w:r>
        <w:rPr>
          <w:szCs w:val="24"/>
        </w:rPr>
        <w:t>管理分区</w:t>
      </w:r>
      <w:r>
        <w:rPr>
          <w:rFonts w:hint="eastAsia"/>
          <w:szCs w:val="24"/>
        </w:rPr>
        <w:t>—</w:t>
      </w:r>
      <w:r>
        <w:rPr>
          <w:szCs w:val="24"/>
        </w:rPr>
        <w:t>目标单元</w:t>
      </w:r>
      <w:r>
        <w:rPr>
          <w:rFonts w:hint="eastAsia"/>
          <w:szCs w:val="24"/>
        </w:rPr>
        <w:t>”</w:t>
      </w:r>
      <w:r>
        <w:rPr>
          <w:szCs w:val="24"/>
        </w:rPr>
        <w:t>三级绿色建筑管控指引体系，其中市域层面明确全市绿色建筑发展的总体目标和空间格局，管理分区层面结合各</w:t>
      </w:r>
      <w:r>
        <w:rPr>
          <w:rFonts w:hint="eastAsia"/>
          <w:szCs w:val="24"/>
        </w:rPr>
        <w:t>县（市、区）</w:t>
      </w:r>
      <w:r>
        <w:rPr>
          <w:szCs w:val="24"/>
        </w:rPr>
        <w:t>特点因地制宜提出差异化的绿色建筑发展目标和指引，目标单元层面按照分区域、分类型方式提出绿色建筑发展指引，有序实现全市绿色建筑高质量发展</w:t>
      </w:r>
      <w:r>
        <w:rPr>
          <w:rFonts w:hint="eastAsia"/>
          <w:szCs w:val="24"/>
        </w:rPr>
        <w:t>。</w:t>
      </w:r>
    </w:p>
    <w:p>
      <w:pPr>
        <w:pStyle w:val="3"/>
        <w:numPr>
          <w:ilvl w:val="1"/>
          <w:numId w:val="35"/>
        </w:numPr>
        <w:spacing w:line="360" w:lineRule="auto"/>
        <w:ind w:leftChars="0" w:right="-84" w:rightChars="-35" w:firstLineChars="0"/>
        <w:rPr>
          <w:rFonts w:ascii="黑体" w:hAnsi="黑体"/>
          <w:szCs w:val="30"/>
        </w:rPr>
      </w:pPr>
      <w:bookmarkStart w:id="47" w:name="_Toc117875460"/>
      <w:r>
        <w:rPr>
          <w:rFonts w:hint="eastAsia" w:ascii="黑体" w:hAnsi="黑体"/>
          <w:szCs w:val="30"/>
        </w:rPr>
        <w:t>规划格局</w:t>
      </w:r>
      <w:bookmarkEnd w:id="47"/>
    </w:p>
    <w:p>
      <w:pPr>
        <w:ind w:left="0" w:leftChars="0" w:right="0" w:rightChars="0" w:firstLine="480"/>
        <w:rPr>
          <w:szCs w:val="24"/>
        </w:rPr>
      </w:pPr>
      <w:r>
        <w:rPr>
          <w:rFonts w:hint="eastAsia"/>
          <w:szCs w:val="24"/>
        </w:rPr>
        <w:t>汕尾市处于沿海经济带与粤北赣南地区入海重要通道相交的T字形节点上，本规划</w:t>
      </w:r>
      <w:r>
        <w:rPr>
          <w:szCs w:val="24"/>
        </w:rPr>
        <w:t>衔接</w:t>
      </w:r>
      <w:r>
        <w:rPr>
          <w:rFonts w:hint="eastAsia"/>
          <w:szCs w:val="24"/>
        </w:rPr>
        <w:t>汕尾</w:t>
      </w:r>
      <w:r>
        <w:rPr>
          <w:szCs w:val="24"/>
        </w:rPr>
        <w:t>市国土空间发展格局，</w:t>
      </w:r>
      <w:r>
        <w:rPr>
          <w:rFonts w:hint="eastAsia"/>
          <w:szCs w:val="24"/>
        </w:rPr>
        <w:t>紧抓“双区”建设、“双城”联动和构建“一核一带一区”区域发展格局，把握沿海经济发展带、广惠汕发展带、汕河赣发展走廊和汕梅闽发展走廊，</w:t>
      </w:r>
      <w:r>
        <w:rPr>
          <w:szCs w:val="24"/>
        </w:rPr>
        <w:t>结合未来新增建设区域布局，构建</w:t>
      </w:r>
      <w:r>
        <w:rPr>
          <w:rFonts w:hint="eastAsia"/>
          <w:szCs w:val="24"/>
        </w:rPr>
        <w:t>“1+</w:t>
      </w:r>
      <w:r>
        <w:rPr>
          <w:szCs w:val="24"/>
        </w:rPr>
        <w:t>1</w:t>
      </w:r>
      <w:r>
        <w:rPr>
          <w:rFonts w:hint="eastAsia"/>
          <w:szCs w:val="24"/>
        </w:rPr>
        <w:t>+</w:t>
      </w:r>
      <w:r>
        <w:rPr>
          <w:szCs w:val="24"/>
        </w:rPr>
        <w:t>1</w:t>
      </w:r>
      <w:r>
        <w:rPr>
          <w:rFonts w:hint="eastAsia"/>
          <w:szCs w:val="24"/>
        </w:rPr>
        <w:t>”</w:t>
      </w:r>
      <w:r>
        <w:rPr>
          <w:szCs w:val="24"/>
        </w:rPr>
        <w:t>的绿色建筑高质量发展格局，</w:t>
      </w:r>
      <w:r>
        <w:rPr>
          <w:rFonts w:hint="eastAsia"/>
          <w:szCs w:val="24"/>
        </w:rPr>
        <w:t>即北部绿色发展示范区、中部城镇发展区、南部海洋发展区，</w:t>
      </w:r>
      <w:r>
        <w:rPr>
          <w:szCs w:val="24"/>
        </w:rPr>
        <w:t>作为未来绿色建筑发展管控的重点</w:t>
      </w:r>
      <w:r>
        <w:rPr>
          <w:rFonts w:hint="eastAsia"/>
          <w:szCs w:val="24"/>
        </w:rPr>
        <w:t>。</w:t>
      </w:r>
    </w:p>
    <w:p>
      <w:pPr>
        <w:ind w:left="0" w:leftChars="0" w:right="0" w:rightChars="0" w:firstLine="480"/>
        <w:rPr>
          <w:szCs w:val="24"/>
        </w:rPr>
      </w:pPr>
      <w:r>
        <w:rPr>
          <w:rFonts w:hint="eastAsia"/>
          <w:szCs w:val="24"/>
        </w:rPr>
        <w:t>北部绿色发展示范区，打造汕尾美丽大花园，实现绿色新崛起，优先保障绿色产业、民生设施、乡村振兴用地需求，充分释放生态资源价值，切实打造“两山”转化通道，实现绿色发展。</w:t>
      </w:r>
    </w:p>
    <w:p>
      <w:pPr>
        <w:ind w:left="0" w:leftChars="0" w:right="0" w:rightChars="0" w:firstLine="480"/>
        <w:rPr>
          <w:szCs w:val="24"/>
        </w:rPr>
      </w:pPr>
      <w:r>
        <w:rPr>
          <w:rFonts w:hint="eastAsia"/>
          <w:szCs w:val="24"/>
        </w:rPr>
        <w:t>中部城镇发展区，优先集中连片开发，通过“精准增量、优化存量”，引导资源集聚高效配置。持续提升城市发展能级，打造精品现代滨海城市，着力推动以人为核心的新型城镇化，</w:t>
      </w:r>
      <w:r>
        <w:t>驱动全市绿色建筑高质量发展</w:t>
      </w:r>
      <w:r>
        <w:rPr>
          <w:rFonts w:hint="eastAsia"/>
        </w:rPr>
        <w:t>。</w:t>
      </w:r>
    </w:p>
    <w:p>
      <w:pPr>
        <w:ind w:left="0" w:leftChars="0" w:right="0" w:rightChars="0" w:firstLine="480"/>
        <w:rPr>
          <w:szCs w:val="24"/>
        </w:rPr>
      </w:pPr>
      <w:r>
        <w:rPr>
          <w:rFonts w:hint="eastAsia"/>
          <w:szCs w:val="24"/>
        </w:rPr>
        <w:t>南部海洋发展区，坚持陆海统筹，通过强化基础设施建设和临港产业布局，高质量发展“海上汕尾”，推动</w:t>
      </w:r>
      <w:r>
        <w:rPr>
          <w:szCs w:val="24"/>
        </w:rPr>
        <w:t>形成高星级绿色建筑集聚示范区。</w:t>
      </w:r>
    </w:p>
    <w:p>
      <w:pPr>
        <w:pStyle w:val="3"/>
        <w:numPr>
          <w:ilvl w:val="1"/>
          <w:numId w:val="35"/>
        </w:numPr>
        <w:spacing w:line="360" w:lineRule="auto"/>
        <w:ind w:leftChars="0" w:right="-84" w:rightChars="-35" w:firstLineChars="0"/>
        <w:rPr>
          <w:rFonts w:ascii="黑体" w:hAnsi="黑体"/>
          <w:szCs w:val="30"/>
        </w:rPr>
      </w:pPr>
      <w:bookmarkStart w:id="48" w:name="_Toc117875461"/>
      <w:r>
        <w:rPr>
          <w:rFonts w:hint="eastAsia" w:ascii="黑体" w:hAnsi="黑体"/>
          <w:szCs w:val="30"/>
        </w:rPr>
        <w:t>管理分区</w:t>
      </w:r>
      <w:bookmarkEnd w:id="48"/>
    </w:p>
    <w:p>
      <w:pPr>
        <w:pStyle w:val="4"/>
        <w:numPr>
          <w:ilvl w:val="2"/>
          <w:numId w:val="36"/>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划分思路</w:t>
      </w:r>
    </w:p>
    <w:p>
      <w:pPr>
        <w:ind w:left="0" w:leftChars="0" w:right="0" w:rightChars="0" w:firstLine="480"/>
        <w:rPr>
          <w:szCs w:val="24"/>
        </w:rPr>
      </w:pPr>
      <w:r>
        <w:rPr>
          <w:rFonts w:hint="eastAsia"/>
          <w:szCs w:val="24"/>
        </w:rPr>
        <w:t>根据《广东省绿色建筑发展专项规划编制技术导则》，管理分区应依据上位规划、产业空间布局和行政区划，按以下要求进行划分：</w:t>
      </w:r>
    </w:p>
    <w:p>
      <w:pPr>
        <w:ind w:left="0" w:leftChars="0" w:right="0" w:rightChars="0" w:firstLine="480"/>
        <w:rPr>
          <w:szCs w:val="24"/>
        </w:rPr>
      </w:pPr>
      <w:r>
        <w:rPr>
          <w:szCs w:val="24"/>
        </w:rPr>
        <w:t>1</w:t>
      </w:r>
      <w:r>
        <w:rPr>
          <w:rFonts w:hint="eastAsia"/>
          <w:szCs w:val="24"/>
        </w:rPr>
        <w:t>）参照建设主管部门的行政边界、城市特定重点发展区域和各类园区地域边界进行划分；</w:t>
      </w:r>
    </w:p>
    <w:p>
      <w:pPr>
        <w:ind w:left="0" w:leftChars="0" w:right="0" w:rightChars="0" w:firstLine="480"/>
        <w:rPr>
          <w:szCs w:val="24"/>
        </w:rPr>
      </w:pPr>
      <w:r>
        <w:rPr>
          <w:rFonts w:hint="eastAsia"/>
          <w:szCs w:val="24"/>
        </w:rPr>
        <w:t>2）各县（市、区）可根据实际情况划分为一个或多个管理分区。</w:t>
      </w:r>
    </w:p>
    <w:p>
      <w:pPr>
        <w:ind w:left="0" w:leftChars="0" w:right="0" w:rightChars="0" w:firstLine="480"/>
        <w:rPr>
          <w:szCs w:val="24"/>
        </w:rPr>
      </w:pPr>
      <w:r>
        <w:rPr>
          <w:rFonts w:hint="eastAsia"/>
          <w:szCs w:val="24"/>
        </w:rPr>
        <w:t>本次规划按照《广东省绿色建筑发展专项规划编制技术导则》的规定，在《汕尾市国土空间总体规划（2020—2035年）》（公示草案）基础上，对汕尾市绿色建筑发展专项规划的管理分区进行合理划分，</w:t>
      </w:r>
      <w:r>
        <w:rPr>
          <w:szCs w:val="24"/>
        </w:rPr>
        <w:t>将汕尾市</w:t>
      </w:r>
      <w:r>
        <w:rPr>
          <w:rFonts w:hint="eastAsia"/>
          <w:szCs w:val="24"/>
        </w:rPr>
        <w:t>划分</w:t>
      </w:r>
      <w:r>
        <w:rPr>
          <w:szCs w:val="24"/>
        </w:rPr>
        <w:t>为</w:t>
      </w:r>
      <w:r>
        <w:rPr>
          <w:rFonts w:hint="eastAsia"/>
          <w:szCs w:val="24"/>
        </w:rPr>
        <w:t>4个绿色建筑管理分区，分别为</w:t>
      </w:r>
      <w:r>
        <w:rPr>
          <w:szCs w:val="24"/>
        </w:rPr>
        <w:t>中心城区管理分区</w:t>
      </w:r>
      <w:r>
        <w:rPr>
          <w:rFonts w:hint="eastAsia"/>
          <w:szCs w:val="24"/>
        </w:rPr>
        <w:t>（包括市城区、红海湾经济开发区和汕尾新区）、</w:t>
      </w:r>
      <w:r>
        <w:rPr>
          <w:szCs w:val="24"/>
        </w:rPr>
        <w:t>陆丰管理分区</w:t>
      </w:r>
      <w:r>
        <w:rPr>
          <w:rFonts w:hint="eastAsia"/>
          <w:szCs w:val="24"/>
        </w:rPr>
        <w:t>（包括华侨管理区）、</w:t>
      </w:r>
      <w:r>
        <w:rPr>
          <w:szCs w:val="24"/>
        </w:rPr>
        <w:t>海丰管理分区</w:t>
      </w:r>
      <w:r>
        <w:rPr>
          <w:rFonts w:hint="eastAsia"/>
          <w:szCs w:val="24"/>
        </w:rPr>
        <w:t>、</w:t>
      </w:r>
      <w:r>
        <w:rPr>
          <w:szCs w:val="24"/>
        </w:rPr>
        <w:t>陆河管理分区</w:t>
      </w:r>
      <w:r>
        <w:rPr>
          <w:rFonts w:hint="eastAsia"/>
          <w:szCs w:val="24"/>
        </w:rPr>
        <w:t>。</w:t>
      </w:r>
    </w:p>
    <w:p>
      <w:pPr>
        <w:ind w:left="0" w:leftChars="0" w:right="0" w:rightChars="0" w:firstLine="480"/>
        <w:rPr>
          <w:szCs w:val="24"/>
        </w:rPr>
      </w:pPr>
    </w:p>
    <w:p>
      <w:pPr>
        <w:ind w:left="0" w:leftChars="0" w:right="0" w:rightChars="0" w:firstLine="480"/>
        <w:rPr>
          <w:szCs w:val="24"/>
        </w:rPr>
      </w:pPr>
    </w:p>
    <w:p>
      <w:pPr>
        <w:numPr>
          <w:ilvl w:val="0"/>
          <w:numId w:val="37"/>
        </w:numPr>
        <w:ind w:left="0" w:leftChars="0" w:right="0" w:rightChars="0" w:firstLine="0" w:firstLineChars="0"/>
        <w:jc w:val="center"/>
        <w:rPr>
          <w:b/>
          <w:szCs w:val="24"/>
        </w:rPr>
      </w:pPr>
      <w:r>
        <w:rPr>
          <w:b/>
          <w:szCs w:val="24"/>
        </w:rPr>
        <w:t>汕尾市</w:t>
      </w:r>
      <w:r>
        <w:rPr>
          <w:rFonts w:hint="eastAsia"/>
          <w:b/>
          <w:szCs w:val="24"/>
        </w:rPr>
        <w:t>管理分区划分情况表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544"/>
        <w:gridCol w:w="3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13" w:type="dxa"/>
            <w:vAlign w:val="center"/>
          </w:tcPr>
          <w:p>
            <w:pPr>
              <w:ind w:left="0" w:leftChars="0" w:right="0" w:rightChars="0" w:firstLine="0" w:firstLineChars="0"/>
              <w:jc w:val="center"/>
              <w:rPr>
                <w:b/>
                <w:szCs w:val="24"/>
              </w:rPr>
            </w:pPr>
            <w:r>
              <w:rPr>
                <w:rFonts w:hint="eastAsia"/>
                <w:b/>
                <w:szCs w:val="24"/>
              </w:rPr>
              <w:t>序号</w:t>
            </w:r>
          </w:p>
        </w:tc>
        <w:tc>
          <w:tcPr>
            <w:tcW w:w="3544" w:type="dxa"/>
            <w:vAlign w:val="center"/>
          </w:tcPr>
          <w:p>
            <w:pPr>
              <w:ind w:left="0" w:leftChars="0" w:right="0" w:rightChars="0" w:firstLine="0" w:firstLineChars="0"/>
              <w:jc w:val="center"/>
              <w:rPr>
                <w:b/>
                <w:szCs w:val="24"/>
              </w:rPr>
            </w:pPr>
            <w:r>
              <w:rPr>
                <w:rFonts w:hint="eastAsia"/>
                <w:b/>
                <w:szCs w:val="24"/>
              </w:rPr>
              <w:t>管理分区名称</w:t>
            </w:r>
          </w:p>
        </w:tc>
        <w:tc>
          <w:tcPr>
            <w:tcW w:w="3538" w:type="dxa"/>
            <w:vAlign w:val="center"/>
          </w:tcPr>
          <w:p>
            <w:pPr>
              <w:ind w:left="0" w:leftChars="0" w:right="0" w:rightChars="0" w:firstLine="0" w:firstLineChars="0"/>
              <w:jc w:val="center"/>
              <w:rPr>
                <w:b/>
                <w:szCs w:val="24"/>
              </w:rPr>
            </w:pPr>
            <w:r>
              <w:rPr>
                <w:rFonts w:hint="eastAsia"/>
                <w:b/>
                <w:szCs w:val="24"/>
              </w:rPr>
              <w:t>面积（km</w:t>
            </w:r>
            <w:r>
              <w:rPr>
                <w:b/>
                <w:szCs w:val="24"/>
                <w:vertAlign w:val="superscript"/>
              </w:rPr>
              <w:t>2</w:t>
            </w:r>
            <w:r>
              <w:rPr>
                <w:rFonts w:hint="eastAsia"/>
                <w:b/>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ind w:left="0" w:leftChars="0" w:right="0" w:rightChars="0" w:firstLine="0" w:firstLineChars="0"/>
              <w:jc w:val="center"/>
              <w:rPr>
                <w:szCs w:val="24"/>
              </w:rPr>
            </w:pPr>
            <w:r>
              <w:rPr>
                <w:rFonts w:hint="eastAsia"/>
                <w:szCs w:val="24"/>
              </w:rPr>
              <w:t>1</w:t>
            </w:r>
          </w:p>
        </w:tc>
        <w:tc>
          <w:tcPr>
            <w:tcW w:w="3544" w:type="dxa"/>
            <w:vAlign w:val="center"/>
          </w:tcPr>
          <w:p>
            <w:pPr>
              <w:ind w:left="0" w:leftChars="0" w:right="0" w:rightChars="0" w:firstLine="0" w:firstLineChars="0"/>
              <w:jc w:val="center"/>
              <w:rPr>
                <w:szCs w:val="24"/>
              </w:rPr>
            </w:pPr>
            <w:r>
              <w:rPr>
                <w:szCs w:val="24"/>
              </w:rPr>
              <w:t>中心城区管理分区</w:t>
            </w:r>
          </w:p>
        </w:tc>
        <w:tc>
          <w:tcPr>
            <w:tcW w:w="3538" w:type="dxa"/>
            <w:vAlign w:val="center"/>
          </w:tcPr>
          <w:p>
            <w:pPr>
              <w:ind w:left="0" w:leftChars="0" w:right="0" w:rightChars="0" w:firstLine="0" w:firstLineChars="0"/>
              <w:jc w:val="center"/>
              <w:rPr>
                <w:szCs w:val="24"/>
              </w:rPr>
            </w:pPr>
            <w:r>
              <w:rPr>
                <w:szCs w:val="24"/>
              </w:rPr>
              <w:t>392.62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ind w:left="0" w:leftChars="0" w:right="0" w:rightChars="0" w:firstLine="0" w:firstLineChars="0"/>
              <w:jc w:val="center"/>
              <w:rPr>
                <w:szCs w:val="24"/>
              </w:rPr>
            </w:pPr>
            <w:r>
              <w:rPr>
                <w:rFonts w:hint="eastAsia"/>
                <w:szCs w:val="24"/>
              </w:rPr>
              <w:t>2</w:t>
            </w:r>
          </w:p>
        </w:tc>
        <w:tc>
          <w:tcPr>
            <w:tcW w:w="3544" w:type="dxa"/>
            <w:vAlign w:val="center"/>
          </w:tcPr>
          <w:p>
            <w:pPr>
              <w:ind w:left="0" w:leftChars="0" w:right="0" w:rightChars="0" w:firstLine="0" w:firstLineChars="0"/>
              <w:jc w:val="center"/>
              <w:rPr>
                <w:szCs w:val="24"/>
              </w:rPr>
            </w:pPr>
            <w:r>
              <w:rPr>
                <w:szCs w:val="24"/>
              </w:rPr>
              <w:t>陆丰管理分区</w:t>
            </w:r>
          </w:p>
        </w:tc>
        <w:tc>
          <w:tcPr>
            <w:tcW w:w="3538" w:type="dxa"/>
            <w:vAlign w:val="center"/>
          </w:tcPr>
          <w:p>
            <w:pPr>
              <w:ind w:left="0" w:leftChars="0" w:right="0" w:rightChars="0" w:firstLine="0" w:firstLineChars="0"/>
              <w:jc w:val="center"/>
              <w:rPr>
                <w:szCs w:val="24"/>
              </w:rPr>
            </w:pPr>
            <w:r>
              <w:rPr>
                <w:szCs w:val="24"/>
              </w:rPr>
              <w:t>1702.07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ind w:left="0" w:leftChars="0" w:right="0" w:rightChars="0" w:firstLine="0" w:firstLineChars="0"/>
              <w:jc w:val="center"/>
              <w:rPr>
                <w:szCs w:val="24"/>
              </w:rPr>
            </w:pPr>
            <w:r>
              <w:rPr>
                <w:rFonts w:hint="eastAsia"/>
                <w:szCs w:val="24"/>
              </w:rPr>
              <w:t>3</w:t>
            </w:r>
          </w:p>
        </w:tc>
        <w:tc>
          <w:tcPr>
            <w:tcW w:w="3544" w:type="dxa"/>
            <w:vAlign w:val="center"/>
          </w:tcPr>
          <w:p>
            <w:pPr>
              <w:ind w:left="0" w:leftChars="0" w:right="0" w:rightChars="0" w:firstLine="0" w:firstLineChars="0"/>
              <w:jc w:val="center"/>
              <w:rPr>
                <w:szCs w:val="24"/>
              </w:rPr>
            </w:pPr>
            <w:r>
              <w:rPr>
                <w:szCs w:val="24"/>
              </w:rPr>
              <w:t>海丰管理分区</w:t>
            </w:r>
          </w:p>
        </w:tc>
        <w:tc>
          <w:tcPr>
            <w:tcW w:w="3538" w:type="dxa"/>
            <w:vAlign w:val="center"/>
          </w:tcPr>
          <w:p>
            <w:pPr>
              <w:ind w:left="0" w:leftChars="0" w:right="0" w:rightChars="0" w:firstLine="0" w:firstLineChars="0"/>
              <w:jc w:val="center"/>
              <w:rPr>
                <w:szCs w:val="24"/>
              </w:rPr>
            </w:pPr>
            <w:r>
              <w:rPr>
                <w:szCs w:val="24"/>
              </w:rPr>
              <w:t>1783.47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ind w:left="0" w:leftChars="0" w:right="0" w:rightChars="0" w:firstLine="0" w:firstLineChars="0"/>
              <w:jc w:val="center"/>
              <w:rPr>
                <w:szCs w:val="24"/>
              </w:rPr>
            </w:pPr>
            <w:r>
              <w:rPr>
                <w:rFonts w:hint="eastAsia"/>
                <w:szCs w:val="24"/>
              </w:rPr>
              <w:t>4</w:t>
            </w:r>
          </w:p>
        </w:tc>
        <w:tc>
          <w:tcPr>
            <w:tcW w:w="3544" w:type="dxa"/>
            <w:vAlign w:val="center"/>
          </w:tcPr>
          <w:p>
            <w:pPr>
              <w:ind w:left="0" w:leftChars="0" w:right="0" w:rightChars="0" w:firstLine="0" w:firstLineChars="0"/>
              <w:jc w:val="center"/>
              <w:rPr>
                <w:szCs w:val="24"/>
              </w:rPr>
            </w:pPr>
            <w:r>
              <w:rPr>
                <w:szCs w:val="24"/>
              </w:rPr>
              <w:t>陆河管理分区</w:t>
            </w:r>
          </w:p>
        </w:tc>
        <w:tc>
          <w:tcPr>
            <w:tcW w:w="3538" w:type="dxa"/>
            <w:vAlign w:val="center"/>
          </w:tcPr>
          <w:p>
            <w:pPr>
              <w:ind w:left="0" w:leftChars="0" w:right="0" w:rightChars="0" w:firstLine="0" w:firstLineChars="0"/>
              <w:jc w:val="center"/>
              <w:rPr>
                <w:szCs w:val="24"/>
              </w:rPr>
            </w:pPr>
            <w:r>
              <w:rPr>
                <w:szCs w:val="24"/>
              </w:rPr>
              <w:t>986.68</w:t>
            </w:r>
          </w:p>
        </w:tc>
      </w:tr>
    </w:tbl>
    <w:p>
      <w:pPr>
        <w:ind w:left="0" w:leftChars="0" w:right="0" w:rightChars="0" w:firstLine="0" w:firstLineChars="0"/>
        <w:rPr>
          <w:szCs w:val="24"/>
        </w:rPr>
      </w:pPr>
    </w:p>
    <w:p>
      <w:pPr>
        <w:pStyle w:val="4"/>
        <w:numPr>
          <w:ilvl w:val="2"/>
          <w:numId w:val="36"/>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管理分区指标要求</w:t>
      </w:r>
    </w:p>
    <w:p>
      <w:pPr>
        <w:ind w:left="0" w:leftChars="0" w:right="0" w:rightChars="0" w:firstLine="480"/>
        <w:rPr>
          <w:szCs w:val="24"/>
        </w:rPr>
      </w:pPr>
      <w:r>
        <w:rPr>
          <w:szCs w:val="24"/>
        </w:rPr>
        <w:t>综合考虑</w:t>
      </w:r>
      <w:r>
        <w:rPr>
          <w:rFonts w:hint="eastAsia"/>
          <w:szCs w:val="24"/>
        </w:rPr>
        <w:t>汕尾市</w:t>
      </w:r>
      <w:r>
        <w:rPr>
          <w:szCs w:val="24"/>
        </w:rPr>
        <w:t>不同管理分区的定位、绿色建筑发展基础和新增开发建设规模，在总体规划目标指引下，将</w:t>
      </w:r>
      <w:r>
        <w:rPr>
          <w:rFonts w:hint="eastAsia"/>
          <w:szCs w:val="24"/>
        </w:rPr>
        <w:t>汕尾</w:t>
      </w:r>
      <w:r>
        <w:rPr>
          <w:szCs w:val="24"/>
        </w:rPr>
        <w:t>绿色建筑规划目标分解到各管理分区</w:t>
      </w:r>
      <w:r>
        <w:rPr>
          <w:rFonts w:hint="eastAsia"/>
          <w:szCs w:val="24"/>
        </w:rPr>
        <w:t>。</w:t>
      </w:r>
    </w:p>
    <w:p>
      <w:pPr>
        <w:ind w:left="0" w:leftChars="0" w:right="0" w:rightChars="0" w:firstLine="480"/>
        <w:rPr>
          <w:szCs w:val="24"/>
        </w:rPr>
      </w:pPr>
    </w:p>
    <w:p>
      <w:pPr>
        <w:ind w:left="0" w:leftChars="0" w:right="0" w:rightChars="0" w:firstLine="480"/>
        <w:rPr>
          <w:szCs w:val="24"/>
        </w:rPr>
      </w:pPr>
    </w:p>
    <w:p>
      <w:pPr>
        <w:ind w:left="0" w:leftChars="0" w:right="0" w:rightChars="0" w:firstLine="480"/>
        <w:rPr>
          <w:szCs w:val="24"/>
        </w:rPr>
      </w:pPr>
    </w:p>
    <w:p>
      <w:pPr>
        <w:ind w:left="0" w:leftChars="0" w:right="0" w:rightChars="0" w:firstLine="480"/>
        <w:rPr>
          <w:szCs w:val="24"/>
        </w:rPr>
      </w:pPr>
    </w:p>
    <w:p>
      <w:pPr>
        <w:ind w:left="0" w:leftChars="0" w:right="0" w:rightChars="0" w:firstLine="480"/>
        <w:rPr>
          <w:szCs w:val="24"/>
        </w:rPr>
      </w:pPr>
    </w:p>
    <w:p>
      <w:pPr>
        <w:numPr>
          <w:ilvl w:val="0"/>
          <w:numId w:val="37"/>
        </w:numPr>
        <w:ind w:left="0" w:leftChars="0" w:right="0" w:rightChars="0" w:firstLine="0" w:firstLineChars="0"/>
        <w:jc w:val="center"/>
        <w:rPr>
          <w:b/>
          <w:szCs w:val="24"/>
        </w:rPr>
      </w:pPr>
      <w:r>
        <w:rPr>
          <w:b/>
          <w:szCs w:val="24"/>
        </w:rPr>
        <w:t>汕尾市</w:t>
      </w:r>
      <w:r>
        <w:rPr>
          <w:rFonts w:hint="eastAsia"/>
          <w:b/>
          <w:szCs w:val="24"/>
        </w:rPr>
        <w:t>各管理</w:t>
      </w:r>
      <w:r>
        <w:rPr>
          <w:b/>
          <w:szCs w:val="24"/>
        </w:rPr>
        <w:t>分区</w:t>
      </w:r>
      <w:r>
        <w:rPr>
          <w:rFonts w:hint="eastAsia"/>
          <w:b/>
          <w:szCs w:val="24"/>
        </w:rPr>
        <w:t>绿色</w:t>
      </w:r>
      <w:r>
        <w:rPr>
          <w:b/>
          <w:szCs w:val="24"/>
        </w:rPr>
        <w:t>建筑</w:t>
      </w:r>
      <w:r>
        <w:rPr>
          <w:rFonts w:hint="eastAsia"/>
          <w:b/>
          <w:szCs w:val="24"/>
        </w:rPr>
        <w:t>规划</w:t>
      </w:r>
      <w:r>
        <w:rPr>
          <w:b/>
          <w:szCs w:val="24"/>
        </w:rPr>
        <w:t>指标</w:t>
      </w:r>
      <w:r>
        <w:rPr>
          <w:rFonts w:hint="eastAsia"/>
          <w:b/>
          <w:szCs w:val="24"/>
        </w:rPr>
        <w:t>分解</w:t>
      </w:r>
      <w:r>
        <w:rPr>
          <w:b/>
          <w:szCs w:val="24"/>
        </w:rPr>
        <w:t>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1209"/>
        <w:gridCol w:w="1163"/>
        <w:gridCol w:w="1308"/>
        <w:gridCol w:w="1312"/>
        <w:gridCol w:w="1308"/>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640" w:type="pct"/>
            <w:vMerge w:val="restart"/>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b/>
                <w:szCs w:val="24"/>
              </w:rPr>
              <w:t>管理分区名称</w:t>
            </w:r>
          </w:p>
        </w:tc>
        <w:tc>
          <w:tcPr>
            <w:tcW w:w="1360" w:type="pct"/>
            <w:gridSpan w:val="2"/>
            <w:shd w:val="clear" w:color="auto" w:fill="auto"/>
            <w:noWrap/>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新建民用建筑中</w:t>
            </w:r>
          </w:p>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绿色建筑占比（%）</w:t>
            </w:r>
          </w:p>
        </w:tc>
        <w:tc>
          <w:tcPr>
            <w:tcW w:w="1501" w:type="pct"/>
            <w:gridSpan w:val="2"/>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新建民用建筑中星级绿色建筑占比（%）</w:t>
            </w:r>
          </w:p>
        </w:tc>
        <w:tc>
          <w:tcPr>
            <w:tcW w:w="1499" w:type="pct"/>
            <w:gridSpan w:val="2"/>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新建民用建筑中高星级绿色建筑占比（%）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640" w:type="pct"/>
            <w:vMerge w:val="continue"/>
            <w:vAlign w:val="center"/>
          </w:tcPr>
          <w:p>
            <w:pPr>
              <w:widowControl/>
              <w:spacing w:line="240" w:lineRule="auto"/>
              <w:ind w:left="0" w:leftChars="0" w:right="0" w:rightChars="0" w:firstLine="0" w:firstLineChars="0"/>
              <w:jc w:val="center"/>
              <w:rPr>
                <w:rFonts w:ascii="宋体" w:hAnsi="宋体" w:cs="宋体"/>
                <w:b/>
                <w:color w:val="000000"/>
                <w:kern w:val="0"/>
                <w:szCs w:val="24"/>
              </w:rPr>
            </w:pPr>
          </w:p>
        </w:tc>
        <w:tc>
          <w:tcPr>
            <w:tcW w:w="693" w:type="pct"/>
            <w:shd w:val="clear" w:color="auto" w:fill="auto"/>
            <w:noWrap/>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2025年</w:t>
            </w:r>
          </w:p>
        </w:tc>
        <w:tc>
          <w:tcPr>
            <w:tcW w:w="667" w:type="pct"/>
            <w:shd w:val="clear" w:color="auto" w:fill="auto"/>
            <w:noWrap/>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2</w:t>
            </w:r>
            <w:r>
              <w:rPr>
                <w:rFonts w:ascii="宋体" w:hAnsi="宋体" w:cs="宋体"/>
                <w:b/>
                <w:color w:val="000000"/>
                <w:kern w:val="0"/>
                <w:szCs w:val="24"/>
              </w:rPr>
              <w:t>035年</w:t>
            </w:r>
          </w:p>
        </w:tc>
        <w:tc>
          <w:tcPr>
            <w:tcW w:w="750" w:type="pct"/>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2025年</w:t>
            </w:r>
          </w:p>
        </w:tc>
        <w:tc>
          <w:tcPr>
            <w:tcW w:w="752" w:type="pct"/>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2</w:t>
            </w:r>
            <w:r>
              <w:rPr>
                <w:rFonts w:ascii="宋体" w:hAnsi="宋体" w:cs="宋体"/>
                <w:b/>
                <w:color w:val="000000"/>
                <w:kern w:val="0"/>
                <w:szCs w:val="24"/>
              </w:rPr>
              <w:t>035年</w:t>
            </w:r>
          </w:p>
        </w:tc>
        <w:tc>
          <w:tcPr>
            <w:tcW w:w="750" w:type="pct"/>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2025年</w:t>
            </w:r>
          </w:p>
        </w:tc>
        <w:tc>
          <w:tcPr>
            <w:tcW w:w="748" w:type="pct"/>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2</w:t>
            </w:r>
            <w:r>
              <w:rPr>
                <w:rFonts w:ascii="宋体" w:hAnsi="宋体" w:cs="宋体"/>
                <w:b/>
                <w:color w:val="000000"/>
                <w:kern w:val="0"/>
                <w:szCs w:val="24"/>
              </w:rPr>
              <w:t>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40"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中心城区管理分区</w:t>
            </w:r>
          </w:p>
        </w:tc>
        <w:tc>
          <w:tcPr>
            <w:tcW w:w="69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100</w:t>
            </w:r>
          </w:p>
        </w:tc>
        <w:tc>
          <w:tcPr>
            <w:tcW w:w="667"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100</w:t>
            </w:r>
          </w:p>
        </w:tc>
        <w:tc>
          <w:tcPr>
            <w:tcW w:w="750"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3</w:t>
            </w:r>
            <w:r>
              <w:rPr>
                <w:rFonts w:ascii="宋体" w:hAnsi="宋体" w:cs="宋体"/>
                <w:color w:val="000000"/>
                <w:kern w:val="0"/>
                <w:szCs w:val="24"/>
              </w:rPr>
              <w:t>0</w:t>
            </w:r>
          </w:p>
        </w:tc>
        <w:tc>
          <w:tcPr>
            <w:tcW w:w="752"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100</w:t>
            </w:r>
          </w:p>
        </w:tc>
        <w:tc>
          <w:tcPr>
            <w:tcW w:w="750"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w:t>
            </w:r>
          </w:p>
        </w:tc>
        <w:tc>
          <w:tcPr>
            <w:tcW w:w="748"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3</w:t>
            </w:r>
            <w:r>
              <w:rPr>
                <w:rFonts w:ascii="宋体" w:hAnsi="宋体" w:cs="宋体"/>
                <w:color w:val="000000"/>
                <w:kern w:val="0"/>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40"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陆丰管理分区</w:t>
            </w:r>
          </w:p>
        </w:tc>
        <w:tc>
          <w:tcPr>
            <w:tcW w:w="69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100</w:t>
            </w:r>
          </w:p>
        </w:tc>
        <w:tc>
          <w:tcPr>
            <w:tcW w:w="667"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100</w:t>
            </w:r>
          </w:p>
        </w:tc>
        <w:tc>
          <w:tcPr>
            <w:tcW w:w="750"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w:t>
            </w:r>
            <w:r>
              <w:rPr>
                <w:rFonts w:ascii="宋体" w:hAnsi="宋体" w:cs="宋体"/>
                <w:color w:val="000000"/>
                <w:kern w:val="0"/>
                <w:szCs w:val="24"/>
              </w:rPr>
              <w:t>0</w:t>
            </w:r>
          </w:p>
        </w:tc>
        <w:tc>
          <w:tcPr>
            <w:tcW w:w="752"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100</w:t>
            </w:r>
          </w:p>
        </w:tc>
        <w:tc>
          <w:tcPr>
            <w:tcW w:w="750"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w:t>
            </w:r>
          </w:p>
        </w:tc>
        <w:tc>
          <w:tcPr>
            <w:tcW w:w="748"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w:t>
            </w:r>
            <w:r>
              <w:rPr>
                <w:rFonts w:ascii="宋体" w:hAnsi="宋体" w:cs="宋体"/>
                <w:color w:val="000000"/>
                <w:kern w:val="0"/>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40"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海丰管理分区</w:t>
            </w:r>
          </w:p>
        </w:tc>
        <w:tc>
          <w:tcPr>
            <w:tcW w:w="69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100</w:t>
            </w:r>
          </w:p>
        </w:tc>
        <w:tc>
          <w:tcPr>
            <w:tcW w:w="667"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100</w:t>
            </w:r>
          </w:p>
        </w:tc>
        <w:tc>
          <w:tcPr>
            <w:tcW w:w="750"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w:t>
            </w:r>
            <w:r>
              <w:rPr>
                <w:rFonts w:ascii="宋体" w:hAnsi="宋体" w:cs="宋体"/>
                <w:color w:val="000000"/>
                <w:kern w:val="0"/>
                <w:szCs w:val="24"/>
              </w:rPr>
              <w:t>0</w:t>
            </w:r>
          </w:p>
        </w:tc>
        <w:tc>
          <w:tcPr>
            <w:tcW w:w="752"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100</w:t>
            </w:r>
          </w:p>
        </w:tc>
        <w:tc>
          <w:tcPr>
            <w:tcW w:w="750"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w:t>
            </w:r>
          </w:p>
        </w:tc>
        <w:tc>
          <w:tcPr>
            <w:tcW w:w="748"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w:t>
            </w:r>
            <w:r>
              <w:rPr>
                <w:rFonts w:ascii="宋体" w:hAnsi="宋体" w:cs="宋体"/>
                <w:color w:val="000000"/>
                <w:kern w:val="0"/>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40"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陆河管理分区</w:t>
            </w:r>
          </w:p>
        </w:tc>
        <w:tc>
          <w:tcPr>
            <w:tcW w:w="69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100</w:t>
            </w:r>
          </w:p>
        </w:tc>
        <w:tc>
          <w:tcPr>
            <w:tcW w:w="667"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100</w:t>
            </w:r>
          </w:p>
        </w:tc>
        <w:tc>
          <w:tcPr>
            <w:tcW w:w="750"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w:t>
            </w:r>
            <w:r>
              <w:rPr>
                <w:rFonts w:ascii="宋体" w:hAnsi="宋体" w:cs="宋体"/>
                <w:color w:val="000000"/>
                <w:kern w:val="0"/>
                <w:szCs w:val="24"/>
              </w:rPr>
              <w:t>0</w:t>
            </w:r>
          </w:p>
        </w:tc>
        <w:tc>
          <w:tcPr>
            <w:tcW w:w="752"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100</w:t>
            </w:r>
          </w:p>
        </w:tc>
        <w:tc>
          <w:tcPr>
            <w:tcW w:w="750"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w:t>
            </w:r>
          </w:p>
        </w:tc>
        <w:tc>
          <w:tcPr>
            <w:tcW w:w="748"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w:t>
            </w:r>
            <w:r>
              <w:rPr>
                <w:rFonts w:ascii="宋体" w:hAnsi="宋体" w:cs="宋体"/>
                <w:color w:val="000000"/>
                <w:kern w:val="0"/>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40"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合计</w:t>
            </w:r>
          </w:p>
        </w:tc>
        <w:tc>
          <w:tcPr>
            <w:tcW w:w="693"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100</w:t>
            </w:r>
          </w:p>
        </w:tc>
        <w:tc>
          <w:tcPr>
            <w:tcW w:w="667"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100</w:t>
            </w:r>
          </w:p>
        </w:tc>
        <w:tc>
          <w:tcPr>
            <w:tcW w:w="750"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20</w:t>
            </w:r>
          </w:p>
        </w:tc>
        <w:tc>
          <w:tcPr>
            <w:tcW w:w="752"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100</w:t>
            </w:r>
          </w:p>
        </w:tc>
        <w:tc>
          <w:tcPr>
            <w:tcW w:w="750"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w:t>
            </w:r>
          </w:p>
        </w:tc>
        <w:tc>
          <w:tcPr>
            <w:tcW w:w="748"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20</w:t>
            </w:r>
          </w:p>
        </w:tc>
      </w:tr>
    </w:tbl>
    <w:p>
      <w:pPr>
        <w:ind w:left="0" w:leftChars="0" w:right="0" w:rightChars="0" w:firstLine="560"/>
        <w:rPr>
          <w:sz w:val="28"/>
          <w:lang w:bidi="en-US"/>
        </w:rPr>
      </w:pPr>
    </w:p>
    <w:p>
      <w:pPr>
        <w:numPr>
          <w:ilvl w:val="0"/>
          <w:numId w:val="37"/>
        </w:numPr>
        <w:ind w:left="0" w:leftChars="0" w:right="0" w:rightChars="0" w:firstLine="0" w:firstLineChars="0"/>
        <w:jc w:val="center"/>
        <w:rPr>
          <w:b/>
          <w:szCs w:val="24"/>
        </w:rPr>
      </w:pPr>
      <w:r>
        <w:rPr>
          <w:b/>
          <w:szCs w:val="24"/>
        </w:rPr>
        <w:t>汕尾市</w:t>
      </w:r>
      <w:r>
        <w:rPr>
          <w:rFonts w:hint="eastAsia"/>
          <w:b/>
          <w:szCs w:val="24"/>
        </w:rPr>
        <w:t>各管理</w:t>
      </w:r>
      <w:r>
        <w:rPr>
          <w:b/>
          <w:szCs w:val="24"/>
        </w:rPr>
        <w:t>分区</w:t>
      </w:r>
      <w:r>
        <w:rPr>
          <w:rFonts w:hint="eastAsia"/>
          <w:b/>
          <w:szCs w:val="24"/>
        </w:rPr>
        <w:t>既有建筑绿色化改造面积</w:t>
      </w:r>
      <w:r>
        <w:rPr>
          <w:b/>
          <w:szCs w:val="24"/>
        </w:rPr>
        <w:t>指标</w:t>
      </w:r>
      <w:r>
        <w:rPr>
          <w:rFonts w:hint="eastAsia"/>
          <w:b/>
          <w:szCs w:val="24"/>
        </w:rPr>
        <w:t>分解</w:t>
      </w:r>
      <w:r>
        <w:rPr>
          <w:b/>
          <w:szCs w:val="24"/>
        </w:rPr>
        <w:t>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1603"/>
        <w:gridCol w:w="1747"/>
        <w:gridCol w:w="1453"/>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1331" w:type="pct"/>
            <w:vMerge w:val="restart"/>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b/>
                <w:szCs w:val="24"/>
              </w:rPr>
              <w:t>管理分区名称</w:t>
            </w:r>
          </w:p>
        </w:tc>
        <w:tc>
          <w:tcPr>
            <w:tcW w:w="1921" w:type="pct"/>
            <w:gridSpan w:val="2"/>
            <w:shd w:val="clear" w:color="auto" w:fill="auto"/>
            <w:noWrap/>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装配式建筑面积比例（%）</w:t>
            </w:r>
          </w:p>
        </w:tc>
        <w:tc>
          <w:tcPr>
            <w:tcW w:w="1748" w:type="pct"/>
            <w:gridSpan w:val="2"/>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政府投资装配式建筑面积比例（%）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1331" w:type="pct"/>
            <w:vMerge w:val="continue"/>
            <w:vAlign w:val="center"/>
          </w:tcPr>
          <w:p>
            <w:pPr>
              <w:widowControl/>
              <w:spacing w:line="240" w:lineRule="auto"/>
              <w:ind w:left="0" w:leftChars="0" w:right="0" w:rightChars="0" w:firstLine="0" w:firstLineChars="0"/>
              <w:jc w:val="center"/>
              <w:rPr>
                <w:rFonts w:ascii="宋体" w:hAnsi="宋体" w:cs="宋体"/>
                <w:b/>
                <w:color w:val="000000"/>
                <w:kern w:val="0"/>
                <w:szCs w:val="24"/>
              </w:rPr>
            </w:pPr>
          </w:p>
        </w:tc>
        <w:tc>
          <w:tcPr>
            <w:tcW w:w="919" w:type="pct"/>
            <w:shd w:val="clear" w:color="auto" w:fill="auto"/>
            <w:noWrap/>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2025年</w:t>
            </w:r>
          </w:p>
        </w:tc>
        <w:tc>
          <w:tcPr>
            <w:tcW w:w="1002" w:type="pct"/>
            <w:shd w:val="clear" w:color="auto" w:fill="auto"/>
            <w:noWrap/>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2</w:t>
            </w:r>
            <w:r>
              <w:rPr>
                <w:rFonts w:ascii="宋体" w:hAnsi="宋体" w:cs="宋体"/>
                <w:b/>
                <w:color w:val="000000"/>
                <w:kern w:val="0"/>
                <w:szCs w:val="24"/>
              </w:rPr>
              <w:t>035年</w:t>
            </w:r>
          </w:p>
        </w:tc>
        <w:tc>
          <w:tcPr>
            <w:tcW w:w="833" w:type="pct"/>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2025年</w:t>
            </w:r>
          </w:p>
        </w:tc>
        <w:tc>
          <w:tcPr>
            <w:tcW w:w="915" w:type="pct"/>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2</w:t>
            </w:r>
            <w:r>
              <w:rPr>
                <w:rFonts w:ascii="宋体" w:hAnsi="宋体" w:cs="宋体"/>
                <w:b/>
                <w:color w:val="000000"/>
                <w:kern w:val="0"/>
                <w:szCs w:val="24"/>
              </w:rPr>
              <w:t>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31"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中心城区管理分区</w:t>
            </w:r>
          </w:p>
        </w:tc>
        <w:tc>
          <w:tcPr>
            <w:tcW w:w="919"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3</w:t>
            </w:r>
            <w:r>
              <w:rPr>
                <w:rFonts w:ascii="宋体" w:hAnsi="宋体" w:cs="宋体"/>
                <w:color w:val="000000"/>
                <w:kern w:val="0"/>
                <w:szCs w:val="24"/>
              </w:rPr>
              <w:t>0</w:t>
            </w:r>
          </w:p>
        </w:tc>
        <w:tc>
          <w:tcPr>
            <w:tcW w:w="100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4</w:t>
            </w:r>
            <w:r>
              <w:rPr>
                <w:rFonts w:ascii="宋体" w:hAnsi="宋体" w:cs="宋体"/>
                <w:color w:val="000000"/>
                <w:kern w:val="0"/>
                <w:szCs w:val="24"/>
              </w:rPr>
              <w:t>0</w:t>
            </w:r>
          </w:p>
        </w:tc>
        <w:tc>
          <w:tcPr>
            <w:tcW w:w="833" w:type="pct"/>
            <w:vMerge w:val="restar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5</w:t>
            </w:r>
            <w:r>
              <w:rPr>
                <w:rFonts w:ascii="宋体" w:hAnsi="宋体" w:cs="宋体"/>
                <w:color w:val="000000"/>
                <w:kern w:val="0"/>
                <w:szCs w:val="24"/>
              </w:rPr>
              <w:t>0</w:t>
            </w:r>
          </w:p>
        </w:tc>
        <w:tc>
          <w:tcPr>
            <w:tcW w:w="915" w:type="pct"/>
            <w:vMerge w:val="restar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7</w:t>
            </w:r>
            <w:r>
              <w:rPr>
                <w:rFonts w:ascii="宋体" w:hAnsi="宋体" w:cs="宋体"/>
                <w:color w:val="000000"/>
                <w:kern w:val="0"/>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31"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陆丰管理分区</w:t>
            </w:r>
          </w:p>
        </w:tc>
        <w:tc>
          <w:tcPr>
            <w:tcW w:w="919"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w:t>
            </w:r>
            <w:r>
              <w:rPr>
                <w:rFonts w:ascii="宋体" w:hAnsi="宋体" w:cs="宋体"/>
                <w:color w:val="000000"/>
                <w:kern w:val="0"/>
                <w:szCs w:val="24"/>
              </w:rPr>
              <w:t>2</w:t>
            </w:r>
          </w:p>
        </w:tc>
        <w:tc>
          <w:tcPr>
            <w:tcW w:w="100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4</w:t>
            </w:r>
            <w:r>
              <w:rPr>
                <w:rFonts w:ascii="宋体" w:hAnsi="宋体" w:cs="宋体"/>
                <w:color w:val="000000"/>
                <w:kern w:val="0"/>
                <w:szCs w:val="24"/>
              </w:rPr>
              <w:t>4</w:t>
            </w:r>
          </w:p>
        </w:tc>
        <w:tc>
          <w:tcPr>
            <w:tcW w:w="833"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915"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31"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海丰管理分区</w:t>
            </w:r>
          </w:p>
        </w:tc>
        <w:tc>
          <w:tcPr>
            <w:tcW w:w="919"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21</w:t>
            </w:r>
          </w:p>
        </w:tc>
        <w:tc>
          <w:tcPr>
            <w:tcW w:w="100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4</w:t>
            </w:r>
            <w:r>
              <w:rPr>
                <w:rFonts w:ascii="宋体" w:hAnsi="宋体" w:cs="宋体"/>
                <w:color w:val="000000"/>
                <w:kern w:val="0"/>
                <w:szCs w:val="24"/>
              </w:rPr>
              <w:t>4</w:t>
            </w:r>
          </w:p>
        </w:tc>
        <w:tc>
          <w:tcPr>
            <w:tcW w:w="833"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915"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31"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陆河管理分区</w:t>
            </w:r>
          </w:p>
        </w:tc>
        <w:tc>
          <w:tcPr>
            <w:tcW w:w="919"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w:t>
            </w:r>
            <w:r>
              <w:rPr>
                <w:rFonts w:ascii="宋体" w:hAnsi="宋体" w:cs="宋体"/>
                <w:color w:val="000000"/>
                <w:kern w:val="0"/>
                <w:szCs w:val="24"/>
              </w:rPr>
              <w:t>5</w:t>
            </w:r>
          </w:p>
        </w:tc>
        <w:tc>
          <w:tcPr>
            <w:tcW w:w="100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3</w:t>
            </w:r>
            <w:r>
              <w:rPr>
                <w:rFonts w:ascii="宋体" w:hAnsi="宋体" w:cs="宋体"/>
                <w:color w:val="000000"/>
                <w:kern w:val="0"/>
                <w:szCs w:val="24"/>
              </w:rPr>
              <w:t>0</w:t>
            </w:r>
          </w:p>
        </w:tc>
        <w:tc>
          <w:tcPr>
            <w:tcW w:w="833"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c>
          <w:tcPr>
            <w:tcW w:w="915" w:type="pct"/>
            <w:vMerge w:val="continue"/>
            <w:vAlign w:val="center"/>
          </w:tcPr>
          <w:p>
            <w:pPr>
              <w:widowControl/>
              <w:spacing w:line="240" w:lineRule="auto"/>
              <w:ind w:left="0" w:leftChars="0" w:right="0" w:rightChars="0" w:firstLine="0" w:firstLineChars="0"/>
              <w:jc w:val="center"/>
              <w:rPr>
                <w:rFonts w:ascii="宋体" w:hAnsi="宋体" w:cs="宋体"/>
                <w:color w:val="000000"/>
                <w:kern w:val="0"/>
                <w:szCs w:val="24"/>
              </w:rPr>
            </w:pPr>
          </w:p>
        </w:tc>
      </w:tr>
    </w:tbl>
    <w:p>
      <w:pPr>
        <w:ind w:left="0" w:leftChars="0" w:right="0" w:rightChars="0" w:firstLine="560"/>
        <w:rPr>
          <w:sz w:val="28"/>
          <w:lang w:bidi="en-US"/>
        </w:rPr>
      </w:pPr>
    </w:p>
    <w:p>
      <w:pPr>
        <w:numPr>
          <w:ilvl w:val="0"/>
          <w:numId w:val="37"/>
        </w:numPr>
        <w:ind w:left="0" w:leftChars="0" w:right="0" w:rightChars="0" w:firstLine="0" w:firstLineChars="0"/>
        <w:jc w:val="center"/>
        <w:rPr>
          <w:b/>
          <w:szCs w:val="24"/>
        </w:rPr>
      </w:pPr>
      <w:r>
        <w:rPr>
          <w:b/>
          <w:szCs w:val="24"/>
        </w:rPr>
        <w:t>汕尾市</w:t>
      </w:r>
      <w:r>
        <w:rPr>
          <w:rFonts w:hint="eastAsia"/>
          <w:b/>
          <w:szCs w:val="24"/>
        </w:rPr>
        <w:t>各管理</w:t>
      </w:r>
      <w:r>
        <w:rPr>
          <w:b/>
          <w:szCs w:val="24"/>
        </w:rPr>
        <w:t>分区</w:t>
      </w:r>
      <w:r>
        <w:rPr>
          <w:rFonts w:hint="eastAsia"/>
          <w:b/>
          <w:szCs w:val="24"/>
        </w:rPr>
        <w:t>既有建筑绿色化改造面积</w:t>
      </w:r>
      <w:r>
        <w:rPr>
          <w:b/>
          <w:szCs w:val="24"/>
        </w:rPr>
        <w:t>指标</w:t>
      </w:r>
      <w:r>
        <w:rPr>
          <w:rFonts w:hint="eastAsia"/>
          <w:b/>
          <w:szCs w:val="24"/>
        </w:rPr>
        <w:t>分解</w:t>
      </w:r>
      <w:r>
        <w:rPr>
          <w:b/>
          <w:szCs w:val="24"/>
        </w:rPr>
        <w:t>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2"/>
        <w:gridCol w:w="3021"/>
        <w:gridCol w:w="2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1601" w:type="pct"/>
            <w:vMerge w:val="restart"/>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b/>
                <w:szCs w:val="24"/>
              </w:rPr>
              <w:t>管理分区名称</w:t>
            </w:r>
          </w:p>
        </w:tc>
        <w:tc>
          <w:tcPr>
            <w:tcW w:w="3399" w:type="pct"/>
            <w:gridSpan w:val="2"/>
            <w:shd w:val="clear" w:color="auto" w:fill="auto"/>
            <w:noWrap/>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既有建筑绿色化改造面积（万m</w:t>
            </w:r>
            <w:r>
              <w:rPr>
                <w:rFonts w:ascii="宋体" w:hAnsi="宋体" w:cs="宋体"/>
                <w:b/>
                <w:color w:val="000000"/>
                <w:kern w:val="0"/>
                <w:szCs w:val="24"/>
                <w:vertAlign w:val="superscript"/>
              </w:rPr>
              <w:t>2</w:t>
            </w:r>
            <w:r>
              <w:rPr>
                <w:rFonts w:hint="eastAsia" w:ascii="宋体" w:hAnsi="宋体" w:cs="宋体"/>
                <w:b/>
                <w:color w:val="000000"/>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1601" w:type="pct"/>
            <w:vMerge w:val="continue"/>
            <w:vAlign w:val="center"/>
          </w:tcPr>
          <w:p>
            <w:pPr>
              <w:widowControl/>
              <w:spacing w:line="240" w:lineRule="auto"/>
              <w:ind w:left="0" w:leftChars="0" w:right="0" w:rightChars="0" w:firstLine="0" w:firstLineChars="0"/>
              <w:jc w:val="center"/>
              <w:rPr>
                <w:rFonts w:ascii="宋体" w:hAnsi="宋体" w:cs="宋体"/>
                <w:b/>
                <w:color w:val="000000"/>
                <w:kern w:val="0"/>
                <w:szCs w:val="24"/>
              </w:rPr>
            </w:pPr>
          </w:p>
        </w:tc>
        <w:tc>
          <w:tcPr>
            <w:tcW w:w="1732" w:type="pct"/>
            <w:shd w:val="clear" w:color="auto" w:fill="auto"/>
            <w:noWrap/>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2025年</w:t>
            </w:r>
          </w:p>
        </w:tc>
        <w:tc>
          <w:tcPr>
            <w:tcW w:w="1667" w:type="pct"/>
            <w:shd w:val="clear" w:color="auto" w:fill="auto"/>
            <w:noWrap/>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2</w:t>
            </w:r>
            <w:r>
              <w:rPr>
                <w:rFonts w:ascii="宋体" w:hAnsi="宋体" w:cs="宋体"/>
                <w:b/>
                <w:color w:val="000000"/>
                <w:kern w:val="0"/>
                <w:szCs w:val="24"/>
              </w:rPr>
              <w:t>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01"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中心城区管理分区</w:t>
            </w:r>
          </w:p>
        </w:tc>
        <w:tc>
          <w:tcPr>
            <w:tcW w:w="173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3</w:t>
            </w:r>
          </w:p>
        </w:tc>
        <w:tc>
          <w:tcPr>
            <w:tcW w:w="1667"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01"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陆丰管理分区</w:t>
            </w:r>
          </w:p>
        </w:tc>
        <w:tc>
          <w:tcPr>
            <w:tcW w:w="173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3</w:t>
            </w:r>
          </w:p>
        </w:tc>
        <w:tc>
          <w:tcPr>
            <w:tcW w:w="1667"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01"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海丰管理分区</w:t>
            </w:r>
          </w:p>
        </w:tc>
        <w:tc>
          <w:tcPr>
            <w:tcW w:w="173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3</w:t>
            </w:r>
          </w:p>
        </w:tc>
        <w:tc>
          <w:tcPr>
            <w:tcW w:w="1667"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01"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ascii="宋体" w:hAnsi="宋体" w:cs="宋体"/>
                <w:color w:val="000000"/>
                <w:kern w:val="0"/>
                <w:szCs w:val="24"/>
              </w:rPr>
              <w:t>陆河管理分区</w:t>
            </w:r>
          </w:p>
        </w:tc>
        <w:tc>
          <w:tcPr>
            <w:tcW w:w="173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w:t>
            </w:r>
          </w:p>
        </w:tc>
        <w:tc>
          <w:tcPr>
            <w:tcW w:w="1667"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01" w:type="pc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合计</w:t>
            </w:r>
          </w:p>
        </w:tc>
        <w:tc>
          <w:tcPr>
            <w:tcW w:w="1732"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w:t>
            </w:r>
            <w:r>
              <w:rPr>
                <w:rFonts w:ascii="宋体" w:hAnsi="宋体" w:cs="宋体"/>
                <w:color w:val="000000"/>
                <w:kern w:val="0"/>
                <w:szCs w:val="24"/>
              </w:rPr>
              <w:t>0</w:t>
            </w:r>
          </w:p>
        </w:tc>
        <w:tc>
          <w:tcPr>
            <w:tcW w:w="1667" w:type="pct"/>
            <w:shd w:val="clear" w:color="auto" w:fill="auto"/>
            <w:noWrap/>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w:t>
            </w:r>
            <w:r>
              <w:rPr>
                <w:rFonts w:ascii="宋体" w:hAnsi="宋体" w:cs="宋体"/>
                <w:color w:val="000000"/>
                <w:kern w:val="0"/>
                <w:szCs w:val="24"/>
              </w:rPr>
              <w:t>5</w:t>
            </w:r>
          </w:p>
        </w:tc>
      </w:tr>
    </w:tbl>
    <w:p>
      <w:pPr>
        <w:pStyle w:val="3"/>
        <w:numPr>
          <w:ilvl w:val="1"/>
          <w:numId w:val="35"/>
        </w:numPr>
        <w:spacing w:line="360" w:lineRule="auto"/>
        <w:ind w:leftChars="0" w:right="-84" w:rightChars="-35" w:firstLineChars="0"/>
        <w:rPr>
          <w:rFonts w:ascii="黑体" w:hAnsi="黑体"/>
          <w:szCs w:val="30"/>
        </w:rPr>
      </w:pPr>
      <w:bookmarkStart w:id="49" w:name="_Toc117875462"/>
      <w:r>
        <w:rPr>
          <w:rFonts w:hint="eastAsia" w:ascii="黑体" w:hAnsi="黑体"/>
          <w:szCs w:val="30"/>
        </w:rPr>
        <w:t>目标单元</w:t>
      </w:r>
      <w:bookmarkEnd w:id="49"/>
    </w:p>
    <w:p>
      <w:pPr>
        <w:pStyle w:val="4"/>
        <w:numPr>
          <w:ilvl w:val="2"/>
          <w:numId w:val="38"/>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划分思路</w:t>
      </w:r>
    </w:p>
    <w:p>
      <w:pPr>
        <w:ind w:left="0" w:leftChars="0" w:right="0" w:rightChars="0" w:firstLine="480"/>
        <w:rPr>
          <w:szCs w:val="24"/>
        </w:rPr>
      </w:pPr>
      <w:r>
        <w:rPr>
          <w:rFonts w:hint="eastAsia"/>
          <w:szCs w:val="24"/>
        </w:rPr>
        <w:t>参照汕尾市控制性详细规划编制单元，结合道路、铁路、河流、建设管理主体明确的重点功能区边界等要素，将中心城区管理分区细分为14个目标单元。为实现中心城区目标，将中心城区管理分区进一步划分为</w:t>
      </w:r>
      <w:r>
        <w:rPr>
          <w:szCs w:val="24"/>
        </w:rPr>
        <w:t>4</w:t>
      </w:r>
      <w:r>
        <w:rPr>
          <w:rFonts w:hint="eastAsia"/>
          <w:szCs w:val="24"/>
        </w:rPr>
        <w:t>个核心目标单元和</w:t>
      </w:r>
      <w:r>
        <w:rPr>
          <w:szCs w:val="24"/>
        </w:rPr>
        <w:t>10</w:t>
      </w:r>
      <w:r>
        <w:rPr>
          <w:rFonts w:hint="eastAsia"/>
          <w:szCs w:val="24"/>
        </w:rPr>
        <w:t>个基础目标单元。</w:t>
      </w:r>
    </w:p>
    <w:p>
      <w:pPr>
        <w:ind w:left="0" w:leftChars="0" w:right="0" w:rightChars="0" w:firstLine="480"/>
        <w:rPr>
          <w:szCs w:val="24"/>
        </w:rPr>
      </w:pPr>
      <w:r>
        <w:rPr>
          <w:rFonts w:hint="eastAsia"/>
          <w:szCs w:val="24"/>
        </w:rPr>
        <w:t>本次规划确定了4个</w:t>
      </w:r>
      <w:r>
        <w:rPr>
          <w:rFonts w:hint="eastAsia" w:ascii="宋体" w:hAnsi="宋体"/>
          <w:szCs w:val="24"/>
        </w:rPr>
        <w:t>核心目标单元，其中</w:t>
      </w:r>
      <w:r>
        <w:rPr>
          <w:rFonts w:hint="eastAsia"/>
          <w:szCs w:val="24"/>
        </w:rPr>
        <w:t>是红草组团（目标单元五）、红海湾站区（目标单元十一）属于汕尾市中心城区未来规划发展的重点区域，有利于汕尾市近期绿色建筑指标的实现；湖东分区（目标单元十二）、汕尾站片区（目标单元八）属于未来建设量增量空间较大的区域，有利于汕尾市远期绿色建筑指标的实现。</w:t>
      </w:r>
    </w:p>
    <w:p>
      <w:pPr>
        <w:numPr>
          <w:ilvl w:val="0"/>
          <w:numId w:val="37"/>
        </w:numPr>
        <w:ind w:left="0" w:leftChars="0" w:right="0" w:rightChars="0" w:firstLine="0" w:firstLineChars="0"/>
        <w:jc w:val="center"/>
        <w:rPr>
          <w:b/>
          <w:szCs w:val="24"/>
        </w:rPr>
      </w:pPr>
      <w:r>
        <w:rPr>
          <w:rFonts w:hint="eastAsia"/>
          <w:b/>
          <w:szCs w:val="24"/>
        </w:rPr>
        <w:t>汕尾市中心城区目标</w:t>
      </w:r>
      <w:r>
        <w:rPr>
          <w:rFonts w:hint="eastAsia" w:ascii="宋体" w:hAnsi="宋体" w:cs="宋体"/>
          <w:b/>
          <w:color w:val="000000"/>
          <w:kern w:val="0"/>
          <w:szCs w:val="24"/>
        </w:rPr>
        <w:t>单元划分表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1"/>
        <w:gridCol w:w="2832"/>
        <w:gridCol w:w="2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31" w:type="dxa"/>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管理分区</w:t>
            </w:r>
          </w:p>
        </w:tc>
        <w:tc>
          <w:tcPr>
            <w:tcW w:w="2832" w:type="dxa"/>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目标单元</w:t>
            </w:r>
          </w:p>
        </w:tc>
        <w:tc>
          <w:tcPr>
            <w:tcW w:w="2832" w:type="dxa"/>
            <w:vAlign w:val="center"/>
          </w:tcPr>
          <w:p>
            <w:pPr>
              <w:widowControl/>
              <w:spacing w:line="240" w:lineRule="auto"/>
              <w:ind w:left="0" w:leftChars="0" w:right="0" w:rightChars="0" w:firstLine="0" w:firstLineChars="0"/>
              <w:jc w:val="center"/>
              <w:rPr>
                <w:rFonts w:ascii="宋体" w:hAnsi="宋体" w:cs="宋体"/>
                <w:b/>
                <w:color w:val="000000"/>
                <w:kern w:val="0"/>
                <w:szCs w:val="24"/>
              </w:rPr>
            </w:pPr>
            <w:r>
              <w:rPr>
                <w:rFonts w:hint="eastAsia" w:ascii="宋体" w:hAnsi="宋体" w:cs="宋体"/>
                <w:b/>
                <w:color w:val="000000"/>
                <w:kern w:val="0"/>
                <w:szCs w:val="24"/>
              </w:rPr>
              <w:t>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31" w:type="dxa"/>
            <w:vMerge w:val="restart"/>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中心城区</w:t>
            </w:r>
          </w:p>
        </w:tc>
        <w:tc>
          <w:tcPr>
            <w:tcW w:w="2832" w:type="dxa"/>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szCs w:val="24"/>
              </w:rPr>
              <w:t>核心目标单元</w:t>
            </w:r>
          </w:p>
        </w:tc>
        <w:tc>
          <w:tcPr>
            <w:tcW w:w="2832" w:type="dxa"/>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31" w:type="dxa"/>
            <w:vMerge w:val="continue"/>
            <w:vAlign w:val="center"/>
          </w:tcPr>
          <w:p>
            <w:pPr>
              <w:ind w:left="0" w:leftChars="0" w:right="0" w:rightChars="0" w:firstLine="0" w:firstLineChars="0"/>
              <w:jc w:val="center"/>
              <w:rPr>
                <w:sz w:val="21"/>
                <w:szCs w:val="21"/>
              </w:rPr>
            </w:pPr>
          </w:p>
        </w:tc>
        <w:tc>
          <w:tcPr>
            <w:tcW w:w="2832" w:type="dxa"/>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szCs w:val="24"/>
              </w:rPr>
              <w:t>基础目标单元</w:t>
            </w:r>
          </w:p>
        </w:tc>
        <w:tc>
          <w:tcPr>
            <w:tcW w:w="2832" w:type="dxa"/>
            <w:vAlign w:val="center"/>
          </w:tcPr>
          <w:p>
            <w:pPr>
              <w:widowControl/>
              <w:spacing w:line="240" w:lineRule="auto"/>
              <w:ind w:left="0" w:leftChars="0" w:right="0" w:rightChars="0" w:firstLine="0" w:firstLineChars="0"/>
              <w:jc w:val="center"/>
              <w:rPr>
                <w:rFonts w:ascii="宋体" w:hAnsi="宋体" w:cs="宋体"/>
                <w:color w:val="000000"/>
                <w:kern w:val="0"/>
                <w:szCs w:val="24"/>
              </w:rPr>
            </w:pPr>
            <w:r>
              <w:rPr>
                <w:rFonts w:hint="eastAsia" w:ascii="宋体" w:hAnsi="宋体" w:cs="宋体"/>
                <w:color w:val="000000"/>
                <w:kern w:val="0"/>
                <w:szCs w:val="24"/>
              </w:rPr>
              <w:t>1</w:t>
            </w:r>
            <w:r>
              <w:rPr>
                <w:rFonts w:ascii="宋体" w:hAnsi="宋体" w:cs="宋体"/>
                <w:color w:val="000000"/>
                <w:kern w:val="0"/>
                <w:szCs w:val="24"/>
              </w:rPr>
              <w:t>0</w:t>
            </w:r>
          </w:p>
        </w:tc>
      </w:tr>
    </w:tbl>
    <w:p>
      <w:pPr>
        <w:ind w:left="0" w:leftChars="0" w:right="0" w:rightChars="0" w:firstLine="480"/>
        <w:rPr>
          <w:szCs w:val="24"/>
        </w:rPr>
      </w:pPr>
    </w:p>
    <w:p>
      <w:pPr>
        <w:numPr>
          <w:ilvl w:val="0"/>
          <w:numId w:val="37"/>
        </w:numPr>
        <w:ind w:left="0" w:leftChars="0" w:right="0" w:rightChars="0" w:firstLine="0" w:firstLineChars="0"/>
        <w:jc w:val="center"/>
        <w:rPr>
          <w:b/>
          <w:szCs w:val="24"/>
        </w:rPr>
      </w:pPr>
      <w:r>
        <w:rPr>
          <w:rFonts w:hint="eastAsia"/>
          <w:b/>
          <w:szCs w:val="24"/>
        </w:rPr>
        <w:t>汕尾市中心城区绿色建筑目标单元划分表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0"/>
        <w:gridCol w:w="4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500" w:type="pct"/>
            <w:vAlign w:val="center"/>
          </w:tcPr>
          <w:p>
            <w:pPr>
              <w:pStyle w:val="102"/>
              <w:spacing w:before="120" w:beforeLines="50"/>
              <w:ind w:left="0" w:leftChars="0" w:right="0" w:rightChars="0" w:firstLine="0" w:firstLineChars="0"/>
              <w:jc w:val="center"/>
              <w:rPr>
                <w:rFonts w:ascii="宋体" w:hAnsi="宋体"/>
                <w:b/>
                <w:bCs/>
                <w:szCs w:val="24"/>
              </w:rPr>
            </w:pPr>
            <w:r>
              <w:rPr>
                <w:rFonts w:hint="eastAsia" w:ascii="宋体" w:hAnsi="宋体"/>
                <w:b/>
                <w:bCs/>
                <w:szCs w:val="24"/>
              </w:rPr>
              <w:t>目标单元名称</w:t>
            </w:r>
          </w:p>
        </w:tc>
        <w:tc>
          <w:tcPr>
            <w:tcW w:w="2500" w:type="pct"/>
            <w:vAlign w:val="center"/>
          </w:tcPr>
          <w:p>
            <w:pPr>
              <w:pStyle w:val="102"/>
              <w:spacing w:before="120" w:beforeLines="50"/>
              <w:ind w:left="0" w:leftChars="0" w:right="0" w:rightChars="0" w:firstLine="0" w:firstLineChars="0"/>
              <w:jc w:val="center"/>
              <w:rPr>
                <w:rFonts w:ascii="宋体" w:hAnsi="宋体"/>
                <w:b/>
                <w:bCs/>
                <w:szCs w:val="24"/>
              </w:rPr>
            </w:pPr>
            <w:r>
              <w:rPr>
                <w:rFonts w:hint="eastAsia" w:ascii="宋体" w:hAnsi="宋体"/>
                <w:b/>
                <w:bCs/>
                <w:szCs w:val="24"/>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单元一</w:t>
            </w:r>
          </w:p>
        </w:tc>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基础目标单元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单元二</w:t>
            </w:r>
          </w:p>
        </w:tc>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基础目标单元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单元三</w:t>
            </w:r>
          </w:p>
        </w:tc>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基础目标单元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单元四</w:t>
            </w:r>
          </w:p>
        </w:tc>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基础目标单元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单元五</w:t>
            </w:r>
          </w:p>
        </w:tc>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核心目标单元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单元六</w:t>
            </w:r>
          </w:p>
        </w:tc>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基础目标单元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单元七</w:t>
            </w:r>
          </w:p>
        </w:tc>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基础目标单元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单元八</w:t>
            </w:r>
          </w:p>
        </w:tc>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核心目标单元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单元九</w:t>
            </w:r>
          </w:p>
        </w:tc>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基础目标单元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单元十</w:t>
            </w:r>
          </w:p>
        </w:tc>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基础目标单元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单元十一</w:t>
            </w:r>
          </w:p>
        </w:tc>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核心目标单元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单元十二</w:t>
            </w:r>
          </w:p>
        </w:tc>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核心目标单元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单元十三</w:t>
            </w:r>
          </w:p>
        </w:tc>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基础目标单元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单元十四</w:t>
            </w:r>
          </w:p>
        </w:tc>
        <w:tc>
          <w:tcPr>
            <w:tcW w:w="2500" w:type="pct"/>
            <w:vAlign w:val="center"/>
          </w:tcPr>
          <w:p>
            <w:pPr>
              <w:pStyle w:val="102"/>
              <w:spacing w:before="120" w:beforeLines="50"/>
              <w:ind w:left="0" w:leftChars="0" w:right="0" w:rightChars="0" w:firstLine="0" w:firstLineChars="0"/>
              <w:jc w:val="center"/>
              <w:rPr>
                <w:rFonts w:ascii="宋体" w:hAnsi="宋体"/>
                <w:szCs w:val="24"/>
              </w:rPr>
            </w:pPr>
            <w:r>
              <w:rPr>
                <w:rFonts w:hint="eastAsia" w:ascii="宋体" w:hAnsi="宋体"/>
                <w:szCs w:val="24"/>
              </w:rPr>
              <w:t>基础目标单元</w:t>
            </w:r>
          </w:p>
        </w:tc>
      </w:tr>
    </w:tbl>
    <w:p>
      <w:pPr>
        <w:ind w:left="0" w:leftChars="0" w:right="0" w:rightChars="0" w:firstLine="480"/>
        <w:rPr>
          <w:szCs w:val="24"/>
        </w:rPr>
      </w:pPr>
    </w:p>
    <w:p>
      <w:pPr>
        <w:pStyle w:val="4"/>
        <w:numPr>
          <w:ilvl w:val="2"/>
          <w:numId w:val="38"/>
        </w:numPr>
        <w:spacing w:line="360" w:lineRule="auto"/>
        <w:ind w:left="0" w:right="-84" w:rightChars="-35" w:firstLine="482"/>
        <w:rPr>
          <w:rFonts w:ascii="黑体" w:hAnsi="黑体" w:eastAsia="黑体"/>
          <w:sz w:val="28"/>
          <w:szCs w:val="28"/>
        </w:rPr>
      </w:pPr>
      <w:bookmarkStart w:id="68" w:name="_GoBack"/>
      <w:bookmarkEnd w:id="68"/>
      <w:r>
        <w:rPr>
          <w:rFonts w:hint="eastAsia" w:ascii="黑体" w:hAnsi="黑体" w:eastAsia="黑体"/>
          <w:sz w:val="28"/>
          <w:szCs w:val="28"/>
        </w:rPr>
        <w:t>目标单元指标要求</w:t>
      </w:r>
    </w:p>
    <w:p>
      <w:pPr>
        <w:ind w:left="0" w:leftChars="0" w:right="0" w:rightChars="0" w:firstLine="480"/>
        <w:rPr>
          <w:szCs w:val="24"/>
        </w:rPr>
      </w:pPr>
      <w:r>
        <w:rPr>
          <w:rFonts w:hint="eastAsia"/>
          <w:szCs w:val="24"/>
        </w:rPr>
        <w:t>为有效促进绿色建筑规划目标落地，依据核心目标单元和基础目标单元，将汕尾市中心城区管理分区绿色建筑星级目标进行分解，落实到不同的目标单元，并对核心目标单元提出高于基础目标单元的指标要求。其中，基础目标单元不低于绿色建筑基本级，核心目标单元不低于绿色建筑一星级。此外，对于符合下述三类条件的建筑，需按照下列要求进行建设：</w:t>
      </w:r>
    </w:p>
    <w:p>
      <w:pPr>
        <w:ind w:left="0" w:leftChars="0" w:right="0" w:rightChars="0" w:firstLine="480"/>
        <w:rPr>
          <w:szCs w:val="24"/>
        </w:rPr>
      </w:pPr>
      <w:r>
        <w:rPr>
          <w:rFonts w:hint="eastAsia"/>
          <w:szCs w:val="24"/>
        </w:rPr>
        <w:t>（</w:t>
      </w:r>
      <w:r>
        <w:rPr>
          <w:szCs w:val="24"/>
        </w:rPr>
        <w:t>1</w:t>
      </w:r>
      <w:r>
        <w:rPr>
          <w:rFonts w:hint="eastAsia"/>
          <w:szCs w:val="24"/>
        </w:rPr>
        <w:t>）</w:t>
      </w:r>
      <w:bookmarkStart w:id="50" w:name="_Hlk106561495"/>
      <w:r>
        <w:rPr>
          <w:rFonts w:hint="eastAsia"/>
          <w:szCs w:val="24"/>
        </w:rPr>
        <w:t>建筑面积大于</w:t>
      </w:r>
      <w:r>
        <w:rPr>
          <w:szCs w:val="24"/>
        </w:rPr>
        <w:t>5</w:t>
      </w:r>
      <w:r>
        <w:rPr>
          <w:rFonts w:hint="eastAsia"/>
          <w:szCs w:val="24"/>
        </w:rPr>
        <w:t>万m</w:t>
      </w:r>
      <w:r>
        <w:rPr>
          <w:szCs w:val="24"/>
          <w:vertAlign w:val="superscript"/>
        </w:rPr>
        <w:t>2</w:t>
      </w:r>
      <w:r>
        <w:rPr>
          <w:rFonts w:hint="eastAsia"/>
          <w:szCs w:val="24"/>
        </w:rPr>
        <w:t>的居住小区按照一星级及以上绿色建筑标准进行建设。</w:t>
      </w:r>
      <w:bookmarkEnd w:id="50"/>
    </w:p>
    <w:p>
      <w:pPr>
        <w:ind w:left="0" w:leftChars="0" w:right="0" w:rightChars="0" w:firstLine="480"/>
        <w:rPr>
          <w:szCs w:val="24"/>
        </w:rPr>
      </w:pPr>
      <w:r>
        <w:rPr>
          <w:rFonts w:hint="eastAsia"/>
          <w:szCs w:val="24"/>
        </w:rPr>
        <w:t>（</w:t>
      </w:r>
      <w:r>
        <w:rPr>
          <w:szCs w:val="24"/>
        </w:rPr>
        <w:t>2</w:t>
      </w:r>
      <w:r>
        <w:rPr>
          <w:rFonts w:hint="eastAsia"/>
          <w:szCs w:val="24"/>
        </w:rPr>
        <w:t>）建筑面积大于</w:t>
      </w:r>
      <w:r>
        <w:rPr>
          <w:szCs w:val="24"/>
        </w:rPr>
        <w:t>5</w:t>
      </w:r>
      <w:r>
        <w:rPr>
          <w:rFonts w:hint="eastAsia"/>
          <w:szCs w:val="24"/>
        </w:rPr>
        <w:t>万m</w:t>
      </w:r>
      <w:r>
        <w:rPr>
          <w:szCs w:val="24"/>
          <w:vertAlign w:val="superscript"/>
        </w:rPr>
        <w:t>2</w:t>
      </w:r>
      <w:r>
        <w:rPr>
          <w:rFonts w:hint="eastAsia"/>
          <w:szCs w:val="24"/>
        </w:rPr>
        <w:t>的大型公共建筑和国家机关办公建筑、国有资金参与投资建设的其他公共建筑按照一星级及以上绿色建筑标准进行建设。</w:t>
      </w:r>
    </w:p>
    <w:p>
      <w:pPr>
        <w:ind w:left="0" w:leftChars="0" w:right="0" w:rightChars="0" w:firstLine="480"/>
        <w:rPr>
          <w:szCs w:val="24"/>
        </w:rPr>
      </w:pPr>
      <w:r>
        <w:rPr>
          <w:rFonts w:hint="eastAsia"/>
          <w:szCs w:val="24"/>
        </w:rPr>
        <w:t>（</w:t>
      </w:r>
      <w:r>
        <w:rPr>
          <w:szCs w:val="24"/>
        </w:rPr>
        <w:t>3</w:t>
      </w:r>
      <w:r>
        <w:rPr>
          <w:rFonts w:hint="eastAsia"/>
          <w:szCs w:val="24"/>
        </w:rPr>
        <w:t>）超高层建筑不得低于三星级绿色建筑标准。</w:t>
      </w:r>
    </w:p>
    <w:p>
      <w:pPr>
        <w:ind w:left="0" w:leftChars="0" w:right="0" w:rightChars="0" w:firstLine="480"/>
        <w:rPr>
          <w:szCs w:val="24"/>
        </w:rPr>
      </w:pPr>
      <w:r>
        <w:rPr>
          <w:rFonts w:hint="eastAsia"/>
          <w:szCs w:val="24"/>
        </w:rPr>
        <w:t>（4）鼓励汕尾市结合实际，建设二星级及以上高等级绿色建筑。</w:t>
      </w:r>
    </w:p>
    <w:p>
      <w:pPr>
        <w:ind w:left="0" w:leftChars="0" w:right="0" w:rightChars="0" w:firstLine="480"/>
        <w:rPr>
          <w:szCs w:val="24"/>
        </w:rPr>
      </w:pPr>
      <w:r>
        <w:rPr>
          <w:rFonts w:hint="eastAsia"/>
          <w:szCs w:val="24"/>
        </w:rPr>
        <w:t>（5）鼓励汕尾市工业、物流仓储、科研用地</w:t>
      </w:r>
      <w:r>
        <w:rPr>
          <w:rFonts w:hint="eastAsia"/>
        </w:rPr>
        <w:t>范围内的办公楼、实验楼以及办公、研发、展示等功能为主的研发楼等，纳入绿色建筑实施范围。</w:t>
      </w:r>
    </w:p>
    <w:p>
      <w:pPr>
        <w:ind w:left="0" w:leftChars="0" w:right="0" w:rightChars="0" w:firstLine="482"/>
        <w:rPr>
          <w:b/>
          <w:szCs w:val="24"/>
        </w:rPr>
      </w:pPr>
      <w:r>
        <w:rPr>
          <w:rFonts w:hint="eastAsia"/>
          <w:b/>
          <w:szCs w:val="24"/>
        </w:rPr>
        <w:t>1</w:t>
      </w:r>
      <w:r>
        <w:rPr>
          <w:b/>
          <w:szCs w:val="24"/>
        </w:rPr>
        <w:t>.基础目标单元管控指引</w:t>
      </w:r>
    </w:p>
    <w:p>
      <w:pPr>
        <w:ind w:left="0" w:leftChars="0" w:right="0" w:rightChars="0" w:firstLine="480"/>
        <w:rPr>
          <w:szCs w:val="24"/>
        </w:rPr>
      </w:pPr>
      <w:r>
        <w:rPr>
          <w:szCs w:val="24"/>
        </w:rPr>
        <w:t>各类建筑管控指引：基础目标单元内的新建居住建筑全部执行</w:t>
      </w:r>
      <w:r>
        <w:rPr>
          <w:rFonts w:hint="eastAsia"/>
          <w:szCs w:val="24"/>
        </w:rPr>
        <w:t>基本</w:t>
      </w:r>
      <w:r>
        <w:rPr>
          <w:szCs w:val="24"/>
        </w:rPr>
        <w:t>级绿色建筑标准，其中</w:t>
      </w:r>
      <w:r>
        <w:rPr>
          <w:rFonts w:asciiTheme="minorEastAsia" w:hAnsiTheme="minorEastAsia" w:eastAsiaTheme="minorEastAsia"/>
          <w:bCs/>
          <w:szCs w:val="24"/>
        </w:rPr>
        <w:t>国家机关办公建筑</w:t>
      </w:r>
      <w:r>
        <w:rPr>
          <w:rFonts w:hint="eastAsia" w:asciiTheme="minorEastAsia" w:hAnsiTheme="minorEastAsia" w:eastAsiaTheme="minorEastAsia"/>
          <w:bCs/>
          <w:szCs w:val="24"/>
        </w:rPr>
        <w:t>、</w:t>
      </w:r>
      <w:r>
        <w:rPr>
          <w:rFonts w:asciiTheme="minorEastAsia" w:hAnsiTheme="minorEastAsia" w:eastAsiaTheme="minorEastAsia"/>
          <w:bCs/>
          <w:szCs w:val="24"/>
        </w:rPr>
        <w:t>国有资金参与投资建设的新建</w:t>
      </w:r>
      <w:r>
        <w:rPr>
          <w:rFonts w:hint="eastAsia" w:asciiTheme="minorEastAsia" w:hAnsiTheme="minorEastAsia" w:eastAsiaTheme="minorEastAsia"/>
          <w:bCs/>
          <w:szCs w:val="24"/>
        </w:rPr>
        <w:t>居住</w:t>
      </w:r>
      <w:r>
        <w:rPr>
          <w:rFonts w:asciiTheme="minorEastAsia" w:hAnsiTheme="minorEastAsia" w:eastAsiaTheme="minorEastAsia"/>
          <w:bCs/>
          <w:szCs w:val="24"/>
        </w:rPr>
        <w:t>建筑</w:t>
      </w:r>
      <w:r>
        <w:rPr>
          <w:szCs w:val="24"/>
        </w:rPr>
        <w:t>和建筑面积大于5万</w:t>
      </w:r>
      <w:r>
        <w:rPr>
          <w:rFonts w:hint="eastAsia"/>
          <w:szCs w:val="24"/>
        </w:rPr>
        <w:t>m</w:t>
      </w:r>
      <w:r>
        <w:rPr>
          <w:szCs w:val="24"/>
          <w:vertAlign w:val="superscript"/>
        </w:rPr>
        <w:t>2</w:t>
      </w:r>
      <w:r>
        <w:rPr>
          <w:szCs w:val="24"/>
        </w:rPr>
        <w:t>的新建居住建筑执行</w:t>
      </w:r>
      <w:r>
        <w:rPr>
          <w:rFonts w:hint="eastAsia"/>
          <w:szCs w:val="24"/>
        </w:rPr>
        <w:t>一星级</w:t>
      </w:r>
      <w:r>
        <w:rPr>
          <w:szCs w:val="24"/>
        </w:rPr>
        <w:t>绿色建筑标准。基础目标单元内的新建</w:t>
      </w:r>
      <w:r>
        <w:rPr>
          <w:rFonts w:hint="eastAsia"/>
          <w:szCs w:val="24"/>
        </w:rPr>
        <w:t>公共</w:t>
      </w:r>
      <w:r>
        <w:rPr>
          <w:szCs w:val="24"/>
        </w:rPr>
        <w:t>建筑全部执行</w:t>
      </w:r>
      <w:r>
        <w:rPr>
          <w:rFonts w:hint="eastAsia"/>
          <w:szCs w:val="24"/>
        </w:rPr>
        <w:t>一星级</w:t>
      </w:r>
      <w:r>
        <w:rPr>
          <w:szCs w:val="24"/>
        </w:rPr>
        <w:t>绿色建筑标准，其中，建筑面积大于5万</w:t>
      </w:r>
      <w:r>
        <w:rPr>
          <w:rFonts w:hint="eastAsia"/>
          <w:szCs w:val="24"/>
        </w:rPr>
        <w:t>m</w:t>
      </w:r>
      <w:r>
        <w:rPr>
          <w:szCs w:val="24"/>
          <w:vertAlign w:val="superscript"/>
        </w:rPr>
        <w:t>2</w:t>
      </w:r>
      <w:r>
        <w:rPr>
          <w:szCs w:val="24"/>
        </w:rPr>
        <w:t>的</w:t>
      </w:r>
      <w:r>
        <w:rPr>
          <w:rFonts w:hint="eastAsia" w:asciiTheme="minorEastAsia" w:hAnsiTheme="minorEastAsia" w:eastAsiaTheme="minorEastAsia"/>
          <w:bCs/>
          <w:szCs w:val="24"/>
        </w:rPr>
        <w:t>新建</w:t>
      </w:r>
      <w:r>
        <w:rPr>
          <w:szCs w:val="24"/>
        </w:rPr>
        <w:t>公共建筑执行</w:t>
      </w:r>
      <w:r>
        <w:rPr>
          <w:rFonts w:hint="eastAsia"/>
          <w:szCs w:val="24"/>
        </w:rPr>
        <w:t>二</w:t>
      </w:r>
      <w:r>
        <w:rPr>
          <w:szCs w:val="24"/>
        </w:rPr>
        <w:t>星级绿色建筑标准；</w:t>
      </w:r>
      <w:r>
        <w:rPr>
          <w:rFonts w:asciiTheme="minorEastAsia" w:hAnsiTheme="minorEastAsia" w:eastAsiaTheme="minorEastAsia"/>
          <w:bCs/>
          <w:szCs w:val="24"/>
        </w:rPr>
        <w:t>国家机关办公建筑</w:t>
      </w:r>
      <w:r>
        <w:rPr>
          <w:rFonts w:hint="eastAsia" w:asciiTheme="minorEastAsia" w:hAnsiTheme="minorEastAsia" w:eastAsiaTheme="minorEastAsia"/>
          <w:bCs/>
          <w:szCs w:val="24"/>
        </w:rPr>
        <w:t>、</w:t>
      </w:r>
      <w:r>
        <w:rPr>
          <w:rFonts w:asciiTheme="minorEastAsia" w:hAnsiTheme="minorEastAsia" w:eastAsiaTheme="minorEastAsia"/>
          <w:bCs/>
          <w:szCs w:val="24"/>
        </w:rPr>
        <w:t>国有资金参与投资建设的新建公共建筑</w:t>
      </w:r>
      <w:r>
        <w:rPr>
          <w:szCs w:val="24"/>
        </w:rPr>
        <w:t>执行一星级绿色建筑标准</w:t>
      </w:r>
      <w:r>
        <w:rPr>
          <w:rFonts w:hint="eastAsia"/>
          <w:szCs w:val="24"/>
        </w:rPr>
        <w:t>。</w:t>
      </w:r>
      <w:r>
        <w:rPr>
          <w:szCs w:val="24"/>
        </w:rPr>
        <w:t>超高层建筑执行三星级绿色建筑标准。</w:t>
      </w:r>
    </w:p>
    <w:tbl>
      <w:tblPr>
        <w:tblStyle w:val="17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3133"/>
        <w:gridCol w:w="2184"/>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000" w:type="pct"/>
            <w:gridSpan w:val="4"/>
            <w:vAlign w:val="center"/>
          </w:tcPr>
          <w:p>
            <w:pPr>
              <w:spacing w:line="240" w:lineRule="auto"/>
              <w:ind w:left="0" w:leftChars="0" w:right="0" w:rightChars="0" w:firstLine="0" w:firstLineChars="0"/>
              <w:jc w:val="center"/>
              <w:textAlignment w:val="baseline"/>
              <w:rPr>
                <w:rFonts w:asciiTheme="minorEastAsia" w:hAnsiTheme="minorEastAsia" w:eastAsiaTheme="minorEastAsia"/>
                <w:b/>
                <w:szCs w:val="24"/>
              </w:rPr>
            </w:pPr>
            <w:r>
              <w:rPr>
                <w:rFonts w:hint="eastAsia" w:asciiTheme="minorEastAsia" w:hAnsiTheme="minorEastAsia" w:eastAsiaTheme="minorEastAsia"/>
                <w:b/>
                <w:szCs w:val="24"/>
              </w:rPr>
              <w:t>基础目标单元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667" w:type="pct"/>
            <w:gridSpan w:val="2"/>
            <w:vAlign w:val="center"/>
          </w:tcPr>
          <w:p>
            <w:pPr>
              <w:spacing w:line="240" w:lineRule="auto"/>
              <w:ind w:left="0" w:leftChars="0" w:right="0" w:rightChars="0" w:firstLine="0" w:firstLineChars="0"/>
              <w:jc w:val="center"/>
              <w:textAlignment w:val="baseline"/>
              <w:rPr>
                <w:rFonts w:asciiTheme="minorEastAsia" w:hAnsiTheme="minorEastAsia" w:eastAsiaTheme="minorEastAsia"/>
                <w:b/>
                <w:szCs w:val="24"/>
              </w:rPr>
            </w:pPr>
            <w:r>
              <w:rPr>
                <w:rFonts w:hint="eastAsia" w:asciiTheme="minorEastAsia" w:hAnsiTheme="minorEastAsia" w:eastAsiaTheme="minorEastAsia"/>
                <w:b/>
                <w:szCs w:val="24"/>
              </w:rPr>
              <w:t>约束性指标</w:t>
            </w:r>
          </w:p>
        </w:tc>
        <w:tc>
          <w:tcPr>
            <w:tcW w:w="2333" w:type="pct"/>
            <w:gridSpan w:val="2"/>
            <w:vAlign w:val="center"/>
          </w:tcPr>
          <w:p>
            <w:pPr>
              <w:spacing w:line="240" w:lineRule="auto"/>
              <w:ind w:left="0" w:leftChars="0" w:right="0" w:rightChars="0" w:firstLine="0" w:firstLineChars="0"/>
              <w:jc w:val="center"/>
              <w:textAlignment w:val="baseline"/>
              <w:rPr>
                <w:rFonts w:asciiTheme="minorEastAsia" w:hAnsiTheme="minorEastAsia" w:eastAsiaTheme="minorEastAsia"/>
                <w:b/>
                <w:szCs w:val="24"/>
              </w:rPr>
            </w:pPr>
            <w:r>
              <w:rPr>
                <w:rFonts w:asciiTheme="minorEastAsia" w:hAnsiTheme="minorEastAsia" w:eastAsiaTheme="minorEastAsia"/>
                <w:bCs/>
                <w:szCs w:val="24"/>
              </w:rPr>
              <w:t>新建民用建筑绿色建筑</w:t>
            </w:r>
            <w:r>
              <w:rPr>
                <w:rFonts w:hint="eastAsia" w:asciiTheme="minorEastAsia" w:hAnsiTheme="minorEastAsia" w:eastAsiaTheme="minorEastAsia"/>
                <w:bCs/>
                <w:szCs w:val="24"/>
              </w:rPr>
              <w:t>等级不低于</w:t>
            </w:r>
            <w:r>
              <w:rPr>
                <w:rFonts w:hint="eastAsia" w:asciiTheme="minorEastAsia" w:hAnsiTheme="minorEastAsia" w:eastAsiaTheme="minorEastAsia"/>
                <w:b/>
                <w:szCs w:val="24"/>
              </w:rPr>
              <w:t>基础级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4"/>
            <w:vAlign w:val="center"/>
          </w:tcPr>
          <w:p>
            <w:pPr>
              <w:spacing w:line="240" w:lineRule="auto"/>
              <w:ind w:left="0" w:leftChars="0" w:right="0" w:rightChars="0" w:firstLine="0" w:firstLineChars="0"/>
              <w:jc w:val="center"/>
              <w:textAlignment w:val="baseline"/>
              <w:rPr>
                <w:rFonts w:asciiTheme="minorEastAsia" w:hAnsiTheme="minorEastAsia" w:eastAsiaTheme="minorEastAsia"/>
                <w:b/>
                <w:szCs w:val="24"/>
              </w:rPr>
            </w:pPr>
            <w:r>
              <w:rPr>
                <w:rFonts w:hint="eastAsia" w:asciiTheme="minorEastAsia" w:hAnsiTheme="minorEastAsia" w:eastAsiaTheme="minorEastAsia"/>
                <w:b/>
                <w:szCs w:val="24"/>
              </w:rPr>
              <w:t>新建建筑类型对应星级要求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71"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新建民用建筑类型</w:t>
            </w:r>
          </w:p>
        </w:tc>
        <w:tc>
          <w:tcPr>
            <w:tcW w:w="1796"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投资方式</w:t>
            </w:r>
          </w:p>
        </w:tc>
        <w:tc>
          <w:tcPr>
            <w:tcW w:w="1252"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建筑面积</w:t>
            </w:r>
          </w:p>
        </w:tc>
        <w:tc>
          <w:tcPr>
            <w:tcW w:w="1081"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绿色建筑等级要求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Merge w:val="restar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居住建筑</w:t>
            </w:r>
          </w:p>
        </w:tc>
        <w:tc>
          <w:tcPr>
            <w:tcW w:w="1796"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asciiTheme="minorEastAsia" w:hAnsiTheme="minorEastAsia" w:eastAsiaTheme="minorEastAsia"/>
                <w:bCs/>
                <w:szCs w:val="24"/>
              </w:rPr>
              <w:t>国家机关办公建筑</w:t>
            </w:r>
            <w:r>
              <w:rPr>
                <w:rFonts w:hint="eastAsia" w:asciiTheme="minorEastAsia" w:hAnsiTheme="minorEastAsia" w:eastAsiaTheme="minorEastAsia"/>
                <w:bCs/>
                <w:szCs w:val="24"/>
              </w:rPr>
              <w:t>、</w:t>
            </w:r>
            <w:r>
              <w:rPr>
                <w:rFonts w:asciiTheme="minorEastAsia" w:hAnsiTheme="minorEastAsia" w:eastAsiaTheme="minorEastAsia"/>
                <w:bCs/>
                <w:szCs w:val="24"/>
              </w:rPr>
              <w:t>国有资金参与投资建设的新建</w:t>
            </w:r>
            <w:r>
              <w:rPr>
                <w:rFonts w:hint="eastAsia" w:asciiTheme="minorEastAsia" w:hAnsiTheme="minorEastAsia" w:eastAsiaTheme="minorEastAsia"/>
                <w:bCs/>
                <w:szCs w:val="24"/>
              </w:rPr>
              <w:t>居住</w:t>
            </w:r>
            <w:r>
              <w:rPr>
                <w:rFonts w:asciiTheme="minorEastAsia" w:hAnsiTheme="minorEastAsia" w:eastAsiaTheme="minorEastAsia"/>
                <w:bCs/>
                <w:szCs w:val="24"/>
              </w:rPr>
              <w:t>建筑</w:t>
            </w:r>
          </w:p>
        </w:tc>
        <w:tc>
          <w:tcPr>
            <w:tcW w:w="1252"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w:t>
            </w:r>
          </w:p>
        </w:tc>
        <w:tc>
          <w:tcPr>
            <w:tcW w:w="1081"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一星级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Merge w:val="continue"/>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p>
        </w:tc>
        <w:tc>
          <w:tcPr>
            <w:tcW w:w="1796" w:type="pct"/>
            <w:vMerge w:val="restar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其他新建居住建筑</w:t>
            </w:r>
          </w:p>
        </w:tc>
        <w:tc>
          <w:tcPr>
            <w:tcW w:w="1252"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w:t>
            </w:r>
            <w:r>
              <w:rPr>
                <w:rFonts w:asciiTheme="minorEastAsia" w:hAnsiTheme="minorEastAsia" w:eastAsiaTheme="minorEastAsia"/>
                <w:bCs/>
                <w:szCs w:val="24"/>
              </w:rPr>
              <w:t>5</w:t>
            </w:r>
            <w:r>
              <w:rPr>
                <w:rFonts w:hint="eastAsia" w:asciiTheme="minorEastAsia" w:hAnsiTheme="minorEastAsia" w:eastAsiaTheme="minorEastAsia"/>
                <w:bCs/>
                <w:szCs w:val="24"/>
              </w:rPr>
              <w:t>万</w:t>
            </w:r>
            <w:r>
              <w:rPr>
                <w:rFonts w:hint="eastAsia" w:ascii="Calibri" w:hAnsi="Calibri"/>
                <w:szCs w:val="24"/>
              </w:rPr>
              <w:t>m</w:t>
            </w:r>
            <w:r>
              <w:rPr>
                <w:rFonts w:ascii="Calibri" w:hAnsi="Calibri"/>
                <w:szCs w:val="24"/>
                <w:vertAlign w:val="superscript"/>
              </w:rPr>
              <w:t>2</w:t>
            </w:r>
          </w:p>
        </w:tc>
        <w:tc>
          <w:tcPr>
            <w:tcW w:w="1081"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一星级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Merge w:val="continue"/>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p>
        </w:tc>
        <w:tc>
          <w:tcPr>
            <w:tcW w:w="1796" w:type="pct"/>
            <w:vMerge w:val="continue"/>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p>
        </w:tc>
        <w:tc>
          <w:tcPr>
            <w:tcW w:w="1252"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w:t>
            </w:r>
            <w:r>
              <w:rPr>
                <w:rFonts w:asciiTheme="minorEastAsia" w:hAnsiTheme="minorEastAsia" w:eastAsiaTheme="minorEastAsia"/>
                <w:bCs/>
                <w:szCs w:val="24"/>
              </w:rPr>
              <w:t>5</w:t>
            </w:r>
            <w:r>
              <w:rPr>
                <w:rFonts w:hint="eastAsia" w:asciiTheme="minorEastAsia" w:hAnsiTheme="minorEastAsia" w:eastAsiaTheme="minorEastAsia"/>
                <w:bCs/>
                <w:szCs w:val="24"/>
              </w:rPr>
              <w:t>万</w:t>
            </w:r>
            <w:r>
              <w:rPr>
                <w:rFonts w:hint="eastAsia" w:ascii="Calibri" w:hAnsi="Calibri"/>
                <w:szCs w:val="24"/>
              </w:rPr>
              <w:t>m</w:t>
            </w:r>
            <w:r>
              <w:rPr>
                <w:rFonts w:ascii="Calibri" w:hAnsi="Calibri"/>
                <w:szCs w:val="24"/>
                <w:vertAlign w:val="superscript"/>
              </w:rPr>
              <w:t>2</w:t>
            </w:r>
          </w:p>
        </w:tc>
        <w:tc>
          <w:tcPr>
            <w:tcW w:w="1081"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基本级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Merge w:val="restar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公共建筑</w:t>
            </w:r>
          </w:p>
        </w:tc>
        <w:tc>
          <w:tcPr>
            <w:tcW w:w="1796"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asciiTheme="minorEastAsia" w:hAnsiTheme="minorEastAsia" w:eastAsiaTheme="minorEastAsia"/>
                <w:bCs/>
                <w:szCs w:val="24"/>
              </w:rPr>
              <w:t>国家机关办公建筑</w:t>
            </w:r>
            <w:r>
              <w:rPr>
                <w:rFonts w:hint="eastAsia" w:asciiTheme="minorEastAsia" w:hAnsiTheme="minorEastAsia" w:eastAsiaTheme="minorEastAsia"/>
                <w:bCs/>
                <w:szCs w:val="24"/>
              </w:rPr>
              <w:t>、</w:t>
            </w:r>
            <w:r>
              <w:rPr>
                <w:rFonts w:asciiTheme="minorEastAsia" w:hAnsiTheme="minorEastAsia" w:eastAsiaTheme="minorEastAsia"/>
                <w:bCs/>
                <w:szCs w:val="24"/>
              </w:rPr>
              <w:t>国有资金参与投资建设的新建公共建筑</w:t>
            </w:r>
          </w:p>
        </w:tc>
        <w:tc>
          <w:tcPr>
            <w:tcW w:w="1252"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w:t>
            </w:r>
          </w:p>
        </w:tc>
        <w:tc>
          <w:tcPr>
            <w:tcW w:w="1081"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一星级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Merge w:val="continue"/>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p>
        </w:tc>
        <w:tc>
          <w:tcPr>
            <w:tcW w:w="1796" w:type="pct"/>
            <w:vMerge w:val="restar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其他新建公共建筑</w:t>
            </w:r>
          </w:p>
        </w:tc>
        <w:tc>
          <w:tcPr>
            <w:tcW w:w="1252"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w:t>
            </w:r>
            <w:r>
              <w:rPr>
                <w:rFonts w:asciiTheme="minorEastAsia" w:hAnsiTheme="minorEastAsia" w:eastAsiaTheme="minorEastAsia"/>
                <w:bCs/>
                <w:szCs w:val="24"/>
              </w:rPr>
              <w:t>5</w:t>
            </w:r>
            <w:r>
              <w:rPr>
                <w:rFonts w:hint="eastAsia" w:asciiTheme="minorEastAsia" w:hAnsiTheme="minorEastAsia" w:eastAsiaTheme="minorEastAsia"/>
                <w:bCs/>
                <w:szCs w:val="24"/>
              </w:rPr>
              <w:t>万</w:t>
            </w:r>
            <w:r>
              <w:rPr>
                <w:rFonts w:hint="eastAsia" w:ascii="Calibri" w:hAnsi="Calibri"/>
                <w:szCs w:val="24"/>
              </w:rPr>
              <w:t>m</w:t>
            </w:r>
            <w:r>
              <w:rPr>
                <w:rFonts w:ascii="Calibri" w:hAnsi="Calibri"/>
                <w:szCs w:val="24"/>
                <w:vertAlign w:val="superscript"/>
              </w:rPr>
              <w:t>2</w:t>
            </w:r>
          </w:p>
        </w:tc>
        <w:tc>
          <w:tcPr>
            <w:tcW w:w="1081"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二星级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Merge w:val="continue"/>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p>
        </w:tc>
        <w:tc>
          <w:tcPr>
            <w:tcW w:w="1796" w:type="pct"/>
            <w:vMerge w:val="continue"/>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p>
        </w:tc>
        <w:tc>
          <w:tcPr>
            <w:tcW w:w="1252"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w:t>
            </w:r>
            <w:r>
              <w:rPr>
                <w:rFonts w:asciiTheme="minorEastAsia" w:hAnsiTheme="minorEastAsia" w:eastAsiaTheme="minorEastAsia"/>
                <w:bCs/>
                <w:szCs w:val="24"/>
              </w:rPr>
              <w:t>5</w:t>
            </w:r>
            <w:r>
              <w:rPr>
                <w:rFonts w:hint="eastAsia" w:asciiTheme="minorEastAsia" w:hAnsiTheme="minorEastAsia" w:eastAsiaTheme="minorEastAsia"/>
                <w:bCs/>
                <w:szCs w:val="24"/>
              </w:rPr>
              <w:t>万</w:t>
            </w:r>
            <w:r>
              <w:rPr>
                <w:rFonts w:hint="eastAsia" w:ascii="Calibri" w:hAnsi="Calibri"/>
                <w:szCs w:val="24"/>
              </w:rPr>
              <w:t>m</w:t>
            </w:r>
            <w:r>
              <w:rPr>
                <w:rFonts w:ascii="Calibri" w:hAnsi="Calibri"/>
                <w:szCs w:val="24"/>
                <w:vertAlign w:val="superscript"/>
              </w:rPr>
              <w:t>2</w:t>
            </w:r>
          </w:p>
        </w:tc>
        <w:tc>
          <w:tcPr>
            <w:tcW w:w="1081"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一星级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超高层建筑</w:t>
            </w:r>
          </w:p>
        </w:tc>
        <w:tc>
          <w:tcPr>
            <w:tcW w:w="1796"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w:t>
            </w:r>
          </w:p>
        </w:tc>
        <w:tc>
          <w:tcPr>
            <w:tcW w:w="1252"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w:t>
            </w:r>
          </w:p>
        </w:tc>
        <w:tc>
          <w:tcPr>
            <w:tcW w:w="1081"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三星级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5000" w:type="pct"/>
            <w:gridSpan w:val="4"/>
            <w:vAlign w:val="center"/>
          </w:tcPr>
          <w:p>
            <w:pPr>
              <w:spacing w:line="240" w:lineRule="auto"/>
              <w:ind w:left="0" w:leftChars="0" w:right="0" w:rightChars="0" w:firstLine="0" w:firstLineChars="0"/>
              <w:jc w:val="center"/>
              <w:textAlignment w:val="baseline"/>
              <w:rPr>
                <w:rFonts w:asciiTheme="minorEastAsia" w:hAnsiTheme="minorEastAsia" w:eastAsiaTheme="minorEastAsia"/>
                <w:b/>
                <w:szCs w:val="24"/>
              </w:rPr>
            </w:pPr>
            <w:r>
              <w:rPr>
                <w:rFonts w:hint="eastAsia" w:asciiTheme="minorEastAsia" w:hAnsiTheme="minorEastAsia" w:eastAsiaTheme="minorEastAsia"/>
                <w:b/>
                <w:szCs w:val="24"/>
              </w:rPr>
              <w:t>预期性指标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指标名称</w:t>
            </w:r>
          </w:p>
        </w:tc>
        <w:tc>
          <w:tcPr>
            <w:tcW w:w="4129" w:type="pct"/>
            <w:gridSpan w:val="3"/>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tcBorders>
              <w:bottom w:val="single" w:color="auto" w:sz="4" w:space="0"/>
            </w:tcBorders>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居住小区体育设施室外用地面积</w:t>
            </w:r>
          </w:p>
        </w:tc>
        <w:tc>
          <w:tcPr>
            <w:tcW w:w="4129" w:type="pct"/>
            <w:gridSpan w:val="3"/>
            <w:tcBorders>
              <w:bottom w:val="single" w:color="auto" w:sz="4" w:space="0"/>
            </w:tcBorders>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建筑面积达到1</w:t>
            </w:r>
            <w:r>
              <w:rPr>
                <w:rFonts w:asciiTheme="minorEastAsia" w:hAnsiTheme="minorEastAsia" w:eastAsiaTheme="minorEastAsia"/>
                <w:bCs/>
                <w:szCs w:val="24"/>
              </w:rPr>
              <w:t>0</w:t>
            </w:r>
            <w:r>
              <w:rPr>
                <w:rFonts w:hint="eastAsia" w:asciiTheme="minorEastAsia" w:hAnsiTheme="minorEastAsia" w:eastAsiaTheme="minorEastAsia"/>
                <w:bCs/>
                <w:szCs w:val="24"/>
              </w:rPr>
              <w:t>万</w:t>
            </w:r>
            <w:r>
              <w:rPr>
                <w:rFonts w:hint="eastAsia" w:ascii="Calibri" w:hAnsi="Calibri"/>
                <w:szCs w:val="24"/>
              </w:rPr>
              <w:t>m</w:t>
            </w:r>
            <w:r>
              <w:rPr>
                <w:rFonts w:ascii="Calibri" w:hAnsi="Calibri"/>
                <w:szCs w:val="24"/>
                <w:vertAlign w:val="superscript"/>
              </w:rPr>
              <w:t>2</w:t>
            </w:r>
            <w:r>
              <w:rPr>
                <w:rFonts w:hint="eastAsia" w:asciiTheme="minorEastAsia" w:hAnsiTheme="minorEastAsia" w:eastAsiaTheme="minorEastAsia"/>
                <w:bCs/>
                <w:szCs w:val="24"/>
              </w:rPr>
              <w:t>及以上的居住小区，体育设施室外用地面积应达到人均0</w:t>
            </w:r>
            <w:r>
              <w:rPr>
                <w:rFonts w:asciiTheme="minorEastAsia" w:hAnsiTheme="minorEastAsia" w:eastAsiaTheme="minorEastAsia"/>
                <w:bCs/>
                <w:szCs w:val="24"/>
              </w:rPr>
              <w:t>.3</w:t>
            </w:r>
            <w:r>
              <w:rPr>
                <w:rFonts w:hint="eastAsia" w:ascii="Calibri" w:hAnsi="Calibri"/>
                <w:szCs w:val="24"/>
              </w:rPr>
              <w:t>m</w:t>
            </w:r>
            <w:r>
              <w:rPr>
                <w:rFonts w:ascii="Calibri" w:hAnsi="Calibri"/>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tcBorders>
              <w:top w:val="single" w:color="auto" w:sz="4" w:space="0"/>
              <w:left w:val="single" w:color="auto" w:sz="4" w:space="0"/>
              <w:bottom w:val="single" w:color="auto" w:sz="4" w:space="0"/>
              <w:right w:val="single" w:color="auto" w:sz="4" w:space="0"/>
            </w:tcBorders>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建筑能耗指标</w:t>
            </w:r>
          </w:p>
        </w:tc>
        <w:tc>
          <w:tcPr>
            <w:tcW w:w="4129"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不低于约束值要求（详表注）</w:t>
            </w:r>
          </w:p>
        </w:tc>
      </w:tr>
    </w:tbl>
    <w:p>
      <w:pPr>
        <w:spacing w:line="240" w:lineRule="auto"/>
        <w:ind w:left="0" w:leftChars="0" w:right="0" w:rightChars="0" w:firstLine="420"/>
        <w:rPr>
          <w:rFonts w:asciiTheme="minorEastAsia" w:hAnsiTheme="minorEastAsia" w:eastAsiaTheme="minorEastAsia"/>
          <w:bCs/>
          <w:sz w:val="21"/>
          <w:szCs w:val="21"/>
        </w:rPr>
      </w:pPr>
      <w:r>
        <w:rPr>
          <w:rFonts w:hint="eastAsia" w:asciiTheme="minorEastAsia" w:hAnsiTheme="minorEastAsia" w:eastAsiaTheme="minorEastAsia"/>
          <w:bCs/>
          <w:sz w:val="21"/>
          <w:szCs w:val="21"/>
        </w:rPr>
        <w:t>表注：建筑能耗指标参考标准包括但不限于：《民用建筑能耗标准》（GB</w:t>
      </w:r>
      <w:r>
        <w:rPr>
          <w:rFonts w:asciiTheme="minorEastAsia" w:hAnsiTheme="minorEastAsia" w:eastAsiaTheme="minorEastAsia"/>
          <w:bCs/>
          <w:sz w:val="21"/>
          <w:szCs w:val="21"/>
        </w:rPr>
        <w:t>/</w:t>
      </w:r>
      <w:r>
        <w:rPr>
          <w:rFonts w:hint="eastAsia" w:asciiTheme="minorEastAsia" w:hAnsiTheme="minorEastAsia" w:eastAsiaTheme="minorEastAsia"/>
          <w:bCs/>
          <w:sz w:val="21"/>
          <w:szCs w:val="21"/>
        </w:rPr>
        <w:t>T 51161）、《公共建筑能耗标准》（DBJ/T15-126）、《公共机构能源资源消耗限额》（DB44</w:t>
      </w:r>
      <w:r>
        <w:rPr>
          <w:rFonts w:asciiTheme="minorEastAsia" w:hAnsiTheme="minorEastAsia" w:eastAsiaTheme="minorEastAsia"/>
          <w:bCs/>
          <w:sz w:val="21"/>
          <w:szCs w:val="21"/>
        </w:rPr>
        <w:t>/</w:t>
      </w:r>
      <w:r>
        <w:rPr>
          <w:rFonts w:hint="eastAsia" w:asciiTheme="minorEastAsia" w:hAnsiTheme="minorEastAsia" w:eastAsiaTheme="minorEastAsia"/>
          <w:bCs/>
          <w:sz w:val="21"/>
          <w:szCs w:val="21"/>
        </w:rPr>
        <w:t>T 2267）。</w:t>
      </w:r>
    </w:p>
    <w:p>
      <w:pPr>
        <w:spacing w:line="240" w:lineRule="auto"/>
        <w:ind w:left="0" w:leftChars="0" w:right="0" w:rightChars="0" w:firstLine="480"/>
        <w:rPr>
          <w:rFonts w:asciiTheme="minorEastAsia" w:hAnsiTheme="minorEastAsia" w:eastAsiaTheme="minorEastAsia"/>
          <w:szCs w:val="22"/>
        </w:rPr>
      </w:pPr>
    </w:p>
    <w:p>
      <w:pPr>
        <w:ind w:left="0" w:leftChars="0" w:right="0" w:rightChars="0" w:firstLine="482"/>
        <w:rPr>
          <w:b/>
          <w:szCs w:val="24"/>
        </w:rPr>
      </w:pPr>
      <w:r>
        <w:rPr>
          <w:b/>
          <w:szCs w:val="24"/>
        </w:rPr>
        <w:t>2.</w:t>
      </w:r>
      <w:r>
        <w:rPr>
          <w:rFonts w:hint="eastAsia"/>
          <w:b/>
          <w:szCs w:val="24"/>
        </w:rPr>
        <w:t>核心</w:t>
      </w:r>
      <w:r>
        <w:rPr>
          <w:b/>
          <w:szCs w:val="24"/>
        </w:rPr>
        <w:t>目标单元管控指引</w:t>
      </w:r>
    </w:p>
    <w:p>
      <w:pPr>
        <w:ind w:left="0" w:leftChars="0" w:right="0" w:rightChars="0" w:firstLine="480"/>
        <w:rPr>
          <w:szCs w:val="24"/>
        </w:rPr>
      </w:pPr>
      <w:r>
        <w:rPr>
          <w:szCs w:val="24"/>
        </w:rPr>
        <w:t>各类建筑管控指引：</w:t>
      </w:r>
      <w:r>
        <w:rPr>
          <w:rFonts w:hint="eastAsia"/>
          <w:szCs w:val="24"/>
        </w:rPr>
        <w:t>核心</w:t>
      </w:r>
      <w:r>
        <w:rPr>
          <w:szCs w:val="24"/>
        </w:rPr>
        <w:t>目标单元内的新建居住建筑全部执行</w:t>
      </w:r>
      <w:r>
        <w:rPr>
          <w:rFonts w:hint="eastAsia"/>
          <w:szCs w:val="24"/>
        </w:rPr>
        <w:t>一星级</w:t>
      </w:r>
      <w:r>
        <w:rPr>
          <w:szCs w:val="24"/>
        </w:rPr>
        <w:t>绿色建筑标准，其中</w:t>
      </w:r>
      <w:r>
        <w:rPr>
          <w:rFonts w:asciiTheme="minorEastAsia" w:hAnsiTheme="minorEastAsia" w:eastAsiaTheme="minorEastAsia"/>
          <w:bCs/>
          <w:szCs w:val="24"/>
        </w:rPr>
        <w:t>国家机关办公建筑</w:t>
      </w:r>
      <w:r>
        <w:rPr>
          <w:rFonts w:hint="eastAsia" w:asciiTheme="minorEastAsia" w:hAnsiTheme="minorEastAsia" w:eastAsiaTheme="minorEastAsia"/>
          <w:bCs/>
          <w:szCs w:val="24"/>
        </w:rPr>
        <w:t>、</w:t>
      </w:r>
      <w:r>
        <w:rPr>
          <w:rFonts w:asciiTheme="minorEastAsia" w:hAnsiTheme="minorEastAsia" w:eastAsiaTheme="minorEastAsia"/>
          <w:bCs/>
          <w:szCs w:val="24"/>
        </w:rPr>
        <w:t>国有资金参与投资建设的新建</w:t>
      </w:r>
      <w:r>
        <w:rPr>
          <w:rFonts w:hint="eastAsia" w:asciiTheme="minorEastAsia" w:hAnsiTheme="minorEastAsia" w:eastAsiaTheme="minorEastAsia"/>
          <w:bCs/>
          <w:szCs w:val="24"/>
        </w:rPr>
        <w:t>居住</w:t>
      </w:r>
      <w:r>
        <w:rPr>
          <w:rFonts w:asciiTheme="minorEastAsia" w:hAnsiTheme="minorEastAsia" w:eastAsiaTheme="minorEastAsia"/>
          <w:bCs/>
          <w:szCs w:val="24"/>
        </w:rPr>
        <w:t>建筑</w:t>
      </w:r>
      <w:r>
        <w:rPr>
          <w:szCs w:val="24"/>
        </w:rPr>
        <w:t>和建筑面积大于5万</w:t>
      </w:r>
      <w:r>
        <w:rPr>
          <w:rFonts w:hint="eastAsia"/>
          <w:szCs w:val="24"/>
        </w:rPr>
        <w:t>m</w:t>
      </w:r>
      <w:r>
        <w:rPr>
          <w:szCs w:val="24"/>
          <w:vertAlign w:val="superscript"/>
        </w:rPr>
        <w:t>2</w:t>
      </w:r>
      <w:r>
        <w:rPr>
          <w:szCs w:val="24"/>
        </w:rPr>
        <w:t>的</w:t>
      </w:r>
      <w:r>
        <w:rPr>
          <w:rFonts w:hint="eastAsia"/>
          <w:szCs w:val="24"/>
        </w:rPr>
        <w:t>新建</w:t>
      </w:r>
      <w:r>
        <w:rPr>
          <w:szCs w:val="24"/>
        </w:rPr>
        <w:t>居住建筑执行</w:t>
      </w:r>
      <w:r>
        <w:rPr>
          <w:rFonts w:hint="eastAsia"/>
          <w:szCs w:val="24"/>
        </w:rPr>
        <w:t>二星级</w:t>
      </w:r>
      <w:r>
        <w:rPr>
          <w:szCs w:val="24"/>
        </w:rPr>
        <w:t>绿色建筑标准。</w:t>
      </w:r>
      <w:r>
        <w:rPr>
          <w:rFonts w:hint="eastAsia"/>
          <w:szCs w:val="24"/>
        </w:rPr>
        <w:t>核心</w:t>
      </w:r>
      <w:r>
        <w:rPr>
          <w:szCs w:val="24"/>
        </w:rPr>
        <w:t>目标单元内的新建</w:t>
      </w:r>
      <w:r>
        <w:rPr>
          <w:rFonts w:hint="eastAsia"/>
          <w:szCs w:val="24"/>
        </w:rPr>
        <w:t>公共</w:t>
      </w:r>
      <w:r>
        <w:rPr>
          <w:szCs w:val="24"/>
        </w:rPr>
        <w:t>建筑全部执行</w:t>
      </w:r>
      <w:r>
        <w:rPr>
          <w:rFonts w:hint="eastAsia"/>
          <w:szCs w:val="24"/>
        </w:rPr>
        <w:t>一星级</w:t>
      </w:r>
      <w:r>
        <w:rPr>
          <w:szCs w:val="24"/>
        </w:rPr>
        <w:t>绿色建筑标准，其中，建筑面积大于5万</w:t>
      </w:r>
      <w:r>
        <w:rPr>
          <w:rFonts w:hint="eastAsia"/>
          <w:szCs w:val="24"/>
        </w:rPr>
        <w:t>m</w:t>
      </w:r>
      <w:r>
        <w:rPr>
          <w:szCs w:val="24"/>
          <w:vertAlign w:val="superscript"/>
        </w:rPr>
        <w:t>2</w:t>
      </w:r>
      <w:r>
        <w:rPr>
          <w:szCs w:val="24"/>
        </w:rPr>
        <w:t>的</w:t>
      </w:r>
      <w:r>
        <w:rPr>
          <w:rFonts w:hint="eastAsia"/>
          <w:szCs w:val="24"/>
        </w:rPr>
        <w:t>新建</w:t>
      </w:r>
      <w:r>
        <w:rPr>
          <w:szCs w:val="24"/>
        </w:rPr>
        <w:t>公共建筑执行</w:t>
      </w:r>
      <w:r>
        <w:rPr>
          <w:rFonts w:hint="eastAsia"/>
          <w:szCs w:val="24"/>
        </w:rPr>
        <w:t>二</w:t>
      </w:r>
      <w:r>
        <w:rPr>
          <w:szCs w:val="24"/>
        </w:rPr>
        <w:t>星级绿色建筑标准；</w:t>
      </w:r>
      <w:r>
        <w:rPr>
          <w:rFonts w:asciiTheme="minorEastAsia" w:hAnsiTheme="minorEastAsia" w:eastAsiaTheme="minorEastAsia"/>
          <w:bCs/>
          <w:szCs w:val="24"/>
        </w:rPr>
        <w:t>国家机关办公建筑</w:t>
      </w:r>
      <w:r>
        <w:rPr>
          <w:rFonts w:hint="eastAsia" w:asciiTheme="minorEastAsia" w:hAnsiTheme="minorEastAsia" w:eastAsiaTheme="minorEastAsia"/>
          <w:bCs/>
          <w:szCs w:val="24"/>
        </w:rPr>
        <w:t>、</w:t>
      </w:r>
      <w:r>
        <w:rPr>
          <w:rFonts w:asciiTheme="minorEastAsia" w:hAnsiTheme="minorEastAsia" w:eastAsiaTheme="minorEastAsia"/>
          <w:bCs/>
          <w:szCs w:val="24"/>
        </w:rPr>
        <w:t>国有资金参与投资建设的新建公共建筑</w:t>
      </w:r>
      <w:r>
        <w:rPr>
          <w:szCs w:val="24"/>
        </w:rPr>
        <w:t>执行</w:t>
      </w:r>
      <w:r>
        <w:rPr>
          <w:rFonts w:hint="eastAsia"/>
          <w:szCs w:val="24"/>
        </w:rPr>
        <w:t>二</w:t>
      </w:r>
      <w:r>
        <w:rPr>
          <w:szCs w:val="24"/>
        </w:rPr>
        <w:t>星级绿色建筑标准</w:t>
      </w:r>
      <w:r>
        <w:rPr>
          <w:rFonts w:hint="eastAsia"/>
          <w:szCs w:val="24"/>
        </w:rPr>
        <w:t>。</w:t>
      </w:r>
      <w:r>
        <w:rPr>
          <w:szCs w:val="24"/>
        </w:rPr>
        <w:t>超高层建筑执行三星级绿色建筑标准。</w:t>
      </w:r>
    </w:p>
    <w:tbl>
      <w:tblPr>
        <w:tblStyle w:val="17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3133"/>
        <w:gridCol w:w="2329"/>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000" w:type="pct"/>
            <w:gridSpan w:val="4"/>
            <w:vAlign w:val="center"/>
          </w:tcPr>
          <w:p>
            <w:pPr>
              <w:spacing w:line="240" w:lineRule="auto"/>
              <w:ind w:left="0" w:leftChars="0" w:right="0" w:rightChars="0" w:firstLine="0" w:firstLineChars="0"/>
              <w:jc w:val="center"/>
              <w:textAlignment w:val="baseline"/>
              <w:rPr>
                <w:rFonts w:asciiTheme="minorEastAsia" w:hAnsiTheme="minorEastAsia" w:eastAsiaTheme="minorEastAsia"/>
                <w:b/>
                <w:szCs w:val="24"/>
              </w:rPr>
            </w:pPr>
            <w:r>
              <w:rPr>
                <w:rFonts w:hint="eastAsia" w:asciiTheme="minorEastAsia" w:hAnsiTheme="minorEastAsia" w:eastAsiaTheme="minorEastAsia"/>
                <w:b/>
                <w:szCs w:val="24"/>
              </w:rPr>
              <w:t>核心目标单元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667" w:type="pct"/>
            <w:gridSpan w:val="2"/>
            <w:vAlign w:val="center"/>
          </w:tcPr>
          <w:p>
            <w:pPr>
              <w:spacing w:line="240" w:lineRule="auto"/>
              <w:ind w:left="0" w:leftChars="0" w:right="0" w:rightChars="0" w:firstLine="0" w:firstLineChars="0"/>
              <w:jc w:val="center"/>
              <w:textAlignment w:val="baseline"/>
              <w:rPr>
                <w:rFonts w:asciiTheme="minorEastAsia" w:hAnsiTheme="minorEastAsia" w:eastAsiaTheme="minorEastAsia"/>
                <w:b/>
                <w:szCs w:val="24"/>
              </w:rPr>
            </w:pPr>
            <w:r>
              <w:rPr>
                <w:rFonts w:hint="eastAsia" w:asciiTheme="minorEastAsia" w:hAnsiTheme="minorEastAsia" w:eastAsiaTheme="minorEastAsia"/>
                <w:b/>
                <w:szCs w:val="24"/>
              </w:rPr>
              <w:t>约束性指标</w:t>
            </w:r>
          </w:p>
        </w:tc>
        <w:tc>
          <w:tcPr>
            <w:tcW w:w="2333" w:type="pct"/>
            <w:gridSpan w:val="2"/>
            <w:vAlign w:val="center"/>
          </w:tcPr>
          <w:p>
            <w:pPr>
              <w:spacing w:line="240" w:lineRule="auto"/>
              <w:ind w:left="0" w:leftChars="0" w:right="0" w:rightChars="0" w:firstLine="0" w:firstLineChars="0"/>
              <w:jc w:val="center"/>
              <w:textAlignment w:val="baseline"/>
              <w:rPr>
                <w:rFonts w:asciiTheme="minorEastAsia" w:hAnsiTheme="minorEastAsia" w:eastAsiaTheme="minorEastAsia"/>
                <w:b/>
                <w:szCs w:val="24"/>
              </w:rPr>
            </w:pPr>
            <w:r>
              <w:rPr>
                <w:rFonts w:asciiTheme="minorEastAsia" w:hAnsiTheme="minorEastAsia" w:eastAsiaTheme="minorEastAsia"/>
                <w:bCs/>
                <w:szCs w:val="24"/>
              </w:rPr>
              <w:t>新建民用建筑绿色建筑</w:t>
            </w:r>
            <w:r>
              <w:rPr>
                <w:rFonts w:hint="eastAsia" w:asciiTheme="minorEastAsia" w:hAnsiTheme="minorEastAsia" w:eastAsiaTheme="minorEastAsia"/>
                <w:bCs/>
                <w:szCs w:val="24"/>
              </w:rPr>
              <w:t>等级不低于</w:t>
            </w:r>
            <w:r>
              <w:rPr>
                <w:rFonts w:hint="eastAsia" w:asciiTheme="minorEastAsia" w:hAnsiTheme="minorEastAsia" w:eastAsiaTheme="minorEastAsia"/>
                <w:b/>
                <w:szCs w:val="24"/>
              </w:rPr>
              <w:t>一星级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4"/>
            <w:vAlign w:val="center"/>
          </w:tcPr>
          <w:p>
            <w:pPr>
              <w:spacing w:line="240" w:lineRule="auto"/>
              <w:ind w:left="0" w:leftChars="0" w:right="0" w:rightChars="0" w:firstLine="0" w:firstLineChars="0"/>
              <w:jc w:val="center"/>
              <w:textAlignment w:val="baseline"/>
              <w:rPr>
                <w:rFonts w:asciiTheme="minorEastAsia" w:hAnsiTheme="minorEastAsia" w:eastAsiaTheme="minorEastAsia"/>
                <w:b/>
                <w:szCs w:val="24"/>
              </w:rPr>
            </w:pPr>
            <w:r>
              <w:rPr>
                <w:rFonts w:hint="eastAsia" w:asciiTheme="minorEastAsia" w:hAnsiTheme="minorEastAsia" w:eastAsiaTheme="minorEastAsia"/>
                <w:b/>
                <w:szCs w:val="24"/>
              </w:rPr>
              <w:t>新建建筑类型对应星级要求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71"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新建民用建筑类型</w:t>
            </w:r>
          </w:p>
        </w:tc>
        <w:tc>
          <w:tcPr>
            <w:tcW w:w="1796"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投资方式</w:t>
            </w:r>
          </w:p>
        </w:tc>
        <w:tc>
          <w:tcPr>
            <w:tcW w:w="1335"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建筑面积</w:t>
            </w:r>
          </w:p>
        </w:tc>
        <w:tc>
          <w:tcPr>
            <w:tcW w:w="998"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绿色建筑等级要求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Merge w:val="restar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居住建筑</w:t>
            </w:r>
          </w:p>
        </w:tc>
        <w:tc>
          <w:tcPr>
            <w:tcW w:w="1796"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asciiTheme="minorEastAsia" w:hAnsiTheme="minorEastAsia" w:eastAsiaTheme="minorEastAsia"/>
                <w:bCs/>
                <w:szCs w:val="24"/>
              </w:rPr>
              <w:t>国家机关办公建筑</w:t>
            </w:r>
            <w:r>
              <w:rPr>
                <w:rFonts w:hint="eastAsia" w:asciiTheme="minorEastAsia" w:hAnsiTheme="minorEastAsia" w:eastAsiaTheme="minorEastAsia"/>
                <w:bCs/>
                <w:szCs w:val="24"/>
              </w:rPr>
              <w:t>、</w:t>
            </w:r>
            <w:r>
              <w:rPr>
                <w:rFonts w:asciiTheme="minorEastAsia" w:hAnsiTheme="minorEastAsia" w:eastAsiaTheme="minorEastAsia"/>
                <w:bCs/>
                <w:szCs w:val="24"/>
              </w:rPr>
              <w:t>国有资金参与投资建设的新建</w:t>
            </w:r>
            <w:r>
              <w:rPr>
                <w:rFonts w:hint="eastAsia" w:asciiTheme="minorEastAsia" w:hAnsiTheme="minorEastAsia" w:eastAsiaTheme="minorEastAsia"/>
                <w:bCs/>
                <w:szCs w:val="24"/>
              </w:rPr>
              <w:t>居住</w:t>
            </w:r>
            <w:r>
              <w:rPr>
                <w:rFonts w:asciiTheme="minorEastAsia" w:hAnsiTheme="minorEastAsia" w:eastAsiaTheme="minorEastAsia"/>
                <w:bCs/>
                <w:szCs w:val="24"/>
              </w:rPr>
              <w:t>建筑</w:t>
            </w:r>
          </w:p>
        </w:tc>
        <w:tc>
          <w:tcPr>
            <w:tcW w:w="1335"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w:t>
            </w:r>
          </w:p>
        </w:tc>
        <w:tc>
          <w:tcPr>
            <w:tcW w:w="998"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二星级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Merge w:val="continue"/>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p>
        </w:tc>
        <w:tc>
          <w:tcPr>
            <w:tcW w:w="1796" w:type="pct"/>
            <w:vMerge w:val="restar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其他新建居住建筑</w:t>
            </w:r>
          </w:p>
        </w:tc>
        <w:tc>
          <w:tcPr>
            <w:tcW w:w="1335"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w:t>
            </w:r>
            <w:r>
              <w:rPr>
                <w:rFonts w:asciiTheme="minorEastAsia" w:hAnsiTheme="minorEastAsia" w:eastAsiaTheme="minorEastAsia"/>
                <w:bCs/>
                <w:szCs w:val="24"/>
              </w:rPr>
              <w:t>10</w:t>
            </w:r>
            <w:r>
              <w:rPr>
                <w:rFonts w:hint="eastAsia" w:asciiTheme="minorEastAsia" w:hAnsiTheme="minorEastAsia" w:eastAsiaTheme="minorEastAsia"/>
                <w:bCs/>
                <w:szCs w:val="24"/>
              </w:rPr>
              <w:t>万</w:t>
            </w:r>
            <w:r>
              <w:rPr>
                <w:rFonts w:hint="eastAsia" w:ascii="Calibri" w:hAnsi="Calibri"/>
                <w:szCs w:val="24"/>
              </w:rPr>
              <w:t>m</w:t>
            </w:r>
            <w:r>
              <w:rPr>
                <w:rFonts w:ascii="Calibri" w:hAnsi="Calibri"/>
                <w:szCs w:val="24"/>
                <w:vertAlign w:val="superscript"/>
              </w:rPr>
              <w:t>2</w:t>
            </w:r>
          </w:p>
        </w:tc>
        <w:tc>
          <w:tcPr>
            <w:tcW w:w="998"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二星级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Merge w:val="continue"/>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p>
        </w:tc>
        <w:tc>
          <w:tcPr>
            <w:tcW w:w="1796" w:type="pct"/>
            <w:vMerge w:val="continue"/>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p>
        </w:tc>
        <w:tc>
          <w:tcPr>
            <w:tcW w:w="1335"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w:t>
            </w:r>
            <w:r>
              <w:rPr>
                <w:rFonts w:asciiTheme="minorEastAsia" w:hAnsiTheme="minorEastAsia" w:eastAsiaTheme="minorEastAsia"/>
                <w:bCs/>
                <w:szCs w:val="24"/>
              </w:rPr>
              <w:t>10</w:t>
            </w:r>
            <w:r>
              <w:rPr>
                <w:rFonts w:hint="eastAsia" w:asciiTheme="minorEastAsia" w:hAnsiTheme="minorEastAsia" w:eastAsiaTheme="minorEastAsia"/>
                <w:bCs/>
                <w:szCs w:val="24"/>
              </w:rPr>
              <w:t>万</w:t>
            </w:r>
            <w:r>
              <w:rPr>
                <w:rFonts w:hint="eastAsia" w:ascii="Calibri" w:hAnsi="Calibri"/>
                <w:szCs w:val="24"/>
              </w:rPr>
              <w:t>m</w:t>
            </w:r>
            <w:r>
              <w:rPr>
                <w:rFonts w:ascii="Calibri" w:hAnsi="Calibri"/>
                <w:szCs w:val="24"/>
                <w:vertAlign w:val="superscript"/>
              </w:rPr>
              <w:t>2</w:t>
            </w:r>
          </w:p>
        </w:tc>
        <w:tc>
          <w:tcPr>
            <w:tcW w:w="998"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一星级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Merge w:val="restar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公共建筑</w:t>
            </w:r>
          </w:p>
        </w:tc>
        <w:tc>
          <w:tcPr>
            <w:tcW w:w="1796"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asciiTheme="minorEastAsia" w:hAnsiTheme="minorEastAsia" w:eastAsiaTheme="minorEastAsia"/>
                <w:bCs/>
                <w:szCs w:val="24"/>
              </w:rPr>
              <w:t>国家机关办公建筑</w:t>
            </w:r>
            <w:r>
              <w:rPr>
                <w:rFonts w:hint="eastAsia" w:asciiTheme="minorEastAsia" w:hAnsiTheme="minorEastAsia" w:eastAsiaTheme="minorEastAsia"/>
                <w:bCs/>
                <w:szCs w:val="24"/>
              </w:rPr>
              <w:t>、</w:t>
            </w:r>
            <w:r>
              <w:rPr>
                <w:rFonts w:asciiTheme="minorEastAsia" w:hAnsiTheme="minorEastAsia" w:eastAsiaTheme="minorEastAsia"/>
                <w:bCs/>
                <w:szCs w:val="24"/>
              </w:rPr>
              <w:t>国有资金参与投资建设的新建公共建筑</w:t>
            </w:r>
          </w:p>
        </w:tc>
        <w:tc>
          <w:tcPr>
            <w:tcW w:w="1335"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w:t>
            </w:r>
          </w:p>
        </w:tc>
        <w:tc>
          <w:tcPr>
            <w:tcW w:w="998"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二星级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Merge w:val="continue"/>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p>
        </w:tc>
        <w:tc>
          <w:tcPr>
            <w:tcW w:w="1796" w:type="pct"/>
            <w:vMerge w:val="restar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其他新建公共建筑</w:t>
            </w:r>
          </w:p>
        </w:tc>
        <w:tc>
          <w:tcPr>
            <w:tcW w:w="1335"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w:t>
            </w:r>
            <w:r>
              <w:rPr>
                <w:rFonts w:asciiTheme="minorEastAsia" w:hAnsiTheme="minorEastAsia" w:eastAsiaTheme="minorEastAsia"/>
                <w:bCs/>
                <w:szCs w:val="24"/>
              </w:rPr>
              <w:t>2</w:t>
            </w:r>
            <w:r>
              <w:rPr>
                <w:rFonts w:hint="eastAsia" w:asciiTheme="minorEastAsia" w:hAnsiTheme="minorEastAsia" w:eastAsiaTheme="minorEastAsia"/>
                <w:bCs/>
                <w:szCs w:val="24"/>
              </w:rPr>
              <w:t>万</w:t>
            </w:r>
            <w:r>
              <w:rPr>
                <w:rFonts w:hint="eastAsia" w:ascii="Calibri" w:hAnsi="Calibri"/>
                <w:szCs w:val="24"/>
              </w:rPr>
              <w:t>m</w:t>
            </w:r>
            <w:r>
              <w:rPr>
                <w:rFonts w:ascii="Calibri" w:hAnsi="Calibri"/>
                <w:szCs w:val="24"/>
                <w:vertAlign w:val="superscript"/>
              </w:rPr>
              <w:t>2</w:t>
            </w:r>
          </w:p>
        </w:tc>
        <w:tc>
          <w:tcPr>
            <w:tcW w:w="998"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二星级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Merge w:val="continue"/>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p>
        </w:tc>
        <w:tc>
          <w:tcPr>
            <w:tcW w:w="1796" w:type="pct"/>
            <w:vMerge w:val="continue"/>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p>
        </w:tc>
        <w:tc>
          <w:tcPr>
            <w:tcW w:w="1335"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w:t>
            </w:r>
            <w:r>
              <w:rPr>
                <w:rFonts w:asciiTheme="minorEastAsia" w:hAnsiTheme="minorEastAsia" w:eastAsiaTheme="minorEastAsia"/>
                <w:bCs/>
                <w:szCs w:val="24"/>
              </w:rPr>
              <w:t>2</w:t>
            </w:r>
            <w:r>
              <w:rPr>
                <w:rFonts w:hint="eastAsia" w:asciiTheme="minorEastAsia" w:hAnsiTheme="minorEastAsia" w:eastAsiaTheme="minorEastAsia"/>
                <w:bCs/>
                <w:szCs w:val="24"/>
              </w:rPr>
              <w:t>万</w:t>
            </w:r>
            <w:r>
              <w:rPr>
                <w:rFonts w:hint="eastAsia" w:ascii="Calibri" w:hAnsi="Calibri"/>
                <w:szCs w:val="24"/>
              </w:rPr>
              <w:t>m</w:t>
            </w:r>
            <w:r>
              <w:rPr>
                <w:rFonts w:ascii="Calibri" w:hAnsi="Calibri"/>
                <w:szCs w:val="24"/>
                <w:vertAlign w:val="superscript"/>
              </w:rPr>
              <w:t>2</w:t>
            </w:r>
          </w:p>
        </w:tc>
        <w:tc>
          <w:tcPr>
            <w:tcW w:w="998"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一星级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超高层建筑</w:t>
            </w:r>
          </w:p>
        </w:tc>
        <w:tc>
          <w:tcPr>
            <w:tcW w:w="1796"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w:t>
            </w:r>
          </w:p>
        </w:tc>
        <w:tc>
          <w:tcPr>
            <w:tcW w:w="1335"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w:t>
            </w:r>
          </w:p>
        </w:tc>
        <w:tc>
          <w:tcPr>
            <w:tcW w:w="998"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三星级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5000" w:type="pct"/>
            <w:gridSpan w:val="4"/>
            <w:vAlign w:val="center"/>
          </w:tcPr>
          <w:p>
            <w:pPr>
              <w:spacing w:line="240" w:lineRule="auto"/>
              <w:ind w:left="0" w:leftChars="0" w:right="0" w:rightChars="0" w:firstLine="0" w:firstLineChars="0"/>
              <w:jc w:val="center"/>
              <w:textAlignment w:val="baseline"/>
              <w:rPr>
                <w:rFonts w:asciiTheme="minorEastAsia" w:hAnsiTheme="minorEastAsia" w:eastAsiaTheme="minorEastAsia"/>
                <w:b/>
                <w:szCs w:val="24"/>
              </w:rPr>
            </w:pPr>
            <w:r>
              <w:rPr>
                <w:rFonts w:hint="eastAsia" w:asciiTheme="minorEastAsia" w:hAnsiTheme="minorEastAsia" w:eastAsiaTheme="minorEastAsia"/>
                <w:b/>
                <w:szCs w:val="24"/>
              </w:rPr>
              <w:t>预期性指标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指标名称</w:t>
            </w:r>
          </w:p>
        </w:tc>
        <w:tc>
          <w:tcPr>
            <w:tcW w:w="4129" w:type="pct"/>
            <w:gridSpan w:val="3"/>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tcBorders>
              <w:bottom w:val="single" w:color="auto" w:sz="4" w:space="0"/>
            </w:tcBorders>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居住小区体育设施室外用地面积</w:t>
            </w:r>
          </w:p>
        </w:tc>
        <w:tc>
          <w:tcPr>
            <w:tcW w:w="4129" w:type="pct"/>
            <w:gridSpan w:val="3"/>
            <w:tcBorders>
              <w:bottom w:val="single" w:color="auto" w:sz="4" w:space="0"/>
            </w:tcBorders>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建筑面积达到1</w:t>
            </w:r>
            <w:r>
              <w:rPr>
                <w:rFonts w:asciiTheme="minorEastAsia" w:hAnsiTheme="minorEastAsia" w:eastAsiaTheme="minorEastAsia"/>
                <w:bCs/>
                <w:szCs w:val="24"/>
              </w:rPr>
              <w:t>0</w:t>
            </w:r>
            <w:r>
              <w:rPr>
                <w:rFonts w:hint="eastAsia" w:asciiTheme="minorEastAsia" w:hAnsiTheme="minorEastAsia" w:eastAsiaTheme="minorEastAsia"/>
                <w:bCs/>
                <w:szCs w:val="24"/>
              </w:rPr>
              <w:t>万</w:t>
            </w:r>
            <w:r>
              <w:rPr>
                <w:rFonts w:hint="eastAsia" w:ascii="Calibri" w:hAnsi="Calibri"/>
                <w:szCs w:val="24"/>
              </w:rPr>
              <w:t>m</w:t>
            </w:r>
            <w:r>
              <w:rPr>
                <w:rFonts w:ascii="Calibri" w:hAnsi="Calibri"/>
                <w:szCs w:val="24"/>
                <w:vertAlign w:val="superscript"/>
              </w:rPr>
              <w:t>2</w:t>
            </w:r>
            <w:r>
              <w:rPr>
                <w:rFonts w:hint="eastAsia" w:asciiTheme="minorEastAsia" w:hAnsiTheme="minorEastAsia" w:eastAsiaTheme="minorEastAsia"/>
                <w:bCs/>
                <w:szCs w:val="24"/>
              </w:rPr>
              <w:t>及以上的居住小区，体育设施室外用地面积应达到人均0</w:t>
            </w:r>
            <w:r>
              <w:rPr>
                <w:rFonts w:asciiTheme="minorEastAsia" w:hAnsiTheme="minorEastAsia" w:eastAsiaTheme="minorEastAsia"/>
                <w:bCs/>
                <w:szCs w:val="24"/>
              </w:rPr>
              <w:t>.3</w:t>
            </w:r>
            <w:r>
              <w:rPr>
                <w:rFonts w:hint="eastAsia" w:ascii="Calibri" w:hAnsi="Calibri"/>
                <w:szCs w:val="24"/>
              </w:rPr>
              <w:t>m</w:t>
            </w:r>
            <w:r>
              <w:rPr>
                <w:rFonts w:ascii="Calibri" w:hAnsi="Calibri"/>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tcBorders>
              <w:top w:val="single" w:color="auto" w:sz="4" w:space="0"/>
              <w:left w:val="single" w:color="auto" w:sz="4" w:space="0"/>
              <w:bottom w:val="single" w:color="auto" w:sz="4" w:space="0"/>
              <w:right w:val="single" w:color="auto" w:sz="4" w:space="0"/>
            </w:tcBorders>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建筑能耗指标</w:t>
            </w:r>
          </w:p>
        </w:tc>
        <w:tc>
          <w:tcPr>
            <w:tcW w:w="4129"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不低于引导值要求（详表注）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tcBorders>
              <w:top w:val="single" w:color="auto" w:sz="4" w:space="0"/>
              <w:left w:val="single" w:color="auto" w:sz="4" w:space="0"/>
              <w:bottom w:val="single" w:color="auto" w:sz="4" w:space="0"/>
              <w:right w:val="single" w:color="auto" w:sz="4" w:space="0"/>
            </w:tcBorders>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避雨防晒连廊</w:t>
            </w:r>
          </w:p>
        </w:tc>
        <w:tc>
          <w:tcPr>
            <w:tcW w:w="4129"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建筑群各单体之间、或建筑主要出入口至用地主要出入口之间，设置避雨防晒的连通走廊、雨棚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tcBorders>
              <w:top w:val="single" w:color="auto" w:sz="4" w:space="0"/>
              <w:left w:val="single" w:color="auto" w:sz="4" w:space="0"/>
              <w:bottom w:val="single" w:color="auto" w:sz="4" w:space="0"/>
              <w:right w:val="single" w:color="auto" w:sz="4" w:space="0"/>
            </w:tcBorders>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绿色建材应用比例</w:t>
            </w:r>
          </w:p>
        </w:tc>
        <w:tc>
          <w:tcPr>
            <w:tcW w:w="4129"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不低于3</w:t>
            </w:r>
            <w:r>
              <w:rPr>
                <w:rFonts w:asciiTheme="minorEastAsia" w:hAnsiTheme="minorEastAsia" w:eastAsiaTheme="minorEastAsia"/>
                <w:bCs/>
                <w:szCs w:val="24"/>
              </w:rPr>
              <w:t>0</w:t>
            </w:r>
            <w:r>
              <w:rPr>
                <w:rFonts w:hint="eastAsia" w:asciiTheme="minorEastAsia" w:hAnsiTheme="minorEastAsia" w:eastAsiaTheme="minorEastAsia"/>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tcBorders>
              <w:top w:val="single" w:color="auto" w:sz="4" w:space="0"/>
              <w:left w:val="single" w:color="auto" w:sz="4" w:space="0"/>
              <w:bottom w:val="single" w:color="auto" w:sz="4" w:space="0"/>
              <w:right w:val="single" w:color="auto" w:sz="4" w:space="0"/>
            </w:tcBorders>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公共建筑、工业建筑屋面光伏覆盖率</w:t>
            </w:r>
          </w:p>
        </w:tc>
        <w:tc>
          <w:tcPr>
            <w:tcW w:w="4129" w:type="pct"/>
            <w:gridSpan w:val="3"/>
            <w:tcBorders>
              <w:top w:val="single" w:color="auto" w:sz="4" w:space="0"/>
              <w:left w:val="single" w:color="auto" w:sz="4" w:space="0"/>
              <w:bottom w:val="single" w:color="auto" w:sz="4" w:space="0"/>
              <w:right w:val="single" w:color="auto" w:sz="4" w:space="0"/>
            </w:tcBorders>
            <w:vAlign w:val="center"/>
          </w:tcPr>
          <w:p>
            <w:pPr>
              <w:spacing w:line="240" w:lineRule="auto"/>
              <w:ind w:left="0" w:leftChars="0" w:right="0" w:rightChars="0" w:firstLine="0" w:firstLineChars="0"/>
              <w:jc w:val="center"/>
              <w:textAlignment w:val="baseline"/>
              <w:rPr>
                <w:rFonts w:asciiTheme="minorEastAsia" w:hAnsiTheme="minorEastAsia" w:eastAsiaTheme="minorEastAsia"/>
                <w:bCs/>
                <w:szCs w:val="24"/>
              </w:rPr>
            </w:pPr>
            <w:r>
              <w:rPr>
                <w:rFonts w:hint="eastAsia" w:asciiTheme="minorEastAsia" w:hAnsiTheme="minorEastAsia" w:eastAsiaTheme="minorEastAsia"/>
                <w:bCs/>
                <w:szCs w:val="24"/>
              </w:rPr>
              <w:t>≥3</w:t>
            </w:r>
            <w:r>
              <w:rPr>
                <w:rFonts w:asciiTheme="minorEastAsia" w:hAnsiTheme="minorEastAsia" w:eastAsiaTheme="minorEastAsia"/>
                <w:bCs/>
                <w:szCs w:val="24"/>
              </w:rPr>
              <w:t>0</w:t>
            </w:r>
            <w:r>
              <w:rPr>
                <w:rFonts w:hint="eastAsia" w:asciiTheme="minorEastAsia" w:hAnsiTheme="minorEastAsia" w:eastAsiaTheme="minorEastAsia"/>
                <w:bCs/>
                <w:szCs w:val="24"/>
              </w:rPr>
              <w:t>%</w:t>
            </w:r>
          </w:p>
        </w:tc>
      </w:tr>
    </w:tbl>
    <w:p>
      <w:pPr>
        <w:spacing w:line="240" w:lineRule="auto"/>
        <w:ind w:left="0" w:leftChars="0" w:right="0" w:rightChars="0" w:firstLine="420"/>
        <w:rPr>
          <w:szCs w:val="24"/>
        </w:rPr>
      </w:pPr>
      <w:r>
        <w:rPr>
          <w:rFonts w:hint="eastAsia" w:asciiTheme="minorEastAsia" w:hAnsiTheme="minorEastAsia" w:eastAsiaTheme="minorEastAsia"/>
          <w:bCs/>
          <w:sz w:val="21"/>
          <w:szCs w:val="21"/>
        </w:rPr>
        <w:t>表注：建筑能耗指标参考标准包括但不限于：《民用建筑能耗标准》（GB</w:t>
      </w:r>
      <w:r>
        <w:rPr>
          <w:rFonts w:asciiTheme="minorEastAsia" w:hAnsiTheme="minorEastAsia" w:eastAsiaTheme="minorEastAsia"/>
          <w:bCs/>
          <w:sz w:val="21"/>
          <w:szCs w:val="21"/>
        </w:rPr>
        <w:t>/</w:t>
      </w:r>
      <w:r>
        <w:rPr>
          <w:rFonts w:hint="eastAsia" w:asciiTheme="minorEastAsia" w:hAnsiTheme="minorEastAsia" w:eastAsiaTheme="minorEastAsia"/>
          <w:bCs/>
          <w:sz w:val="21"/>
          <w:szCs w:val="21"/>
        </w:rPr>
        <w:t>T 51161）、《公共建筑能耗标准》（DBJ/T15-126）、《公共机构能源资源消耗限额》（DB44</w:t>
      </w:r>
      <w:r>
        <w:rPr>
          <w:rFonts w:asciiTheme="minorEastAsia" w:hAnsiTheme="minorEastAsia" w:eastAsiaTheme="minorEastAsia"/>
          <w:bCs/>
          <w:sz w:val="21"/>
          <w:szCs w:val="21"/>
        </w:rPr>
        <w:t>/</w:t>
      </w:r>
      <w:r>
        <w:rPr>
          <w:rFonts w:hint="eastAsia" w:asciiTheme="minorEastAsia" w:hAnsiTheme="minorEastAsia" w:eastAsiaTheme="minorEastAsia"/>
          <w:bCs/>
          <w:sz w:val="21"/>
          <w:szCs w:val="21"/>
        </w:rPr>
        <w:t>T 2267）。</w:t>
      </w:r>
    </w:p>
    <w:p>
      <w:pPr>
        <w:ind w:left="0" w:leftChars="0" w:right="0" w:rightChars="0" w:firstLine="480"/>
        <w:rPr>
          <w:szCs w:val="24"/>
        </w:rPr>
      </w:pPr>
    </w:p>
    <w:p>
      <w:pPr>
        <w:pStyle w:val="3"/>
        <w:numPr>
          <w:ilvl w:val="1"/>
          <w:numId w:val="35"/>
        </w:numPr>
        <w:spacing w:line="360" w:lineRule="auto"/>
        <w:ind w:leftChars="0" w:right="-84" w:rightChars="-35" w:firstLineChars="0"/>
        <w:rPr>
          <w:rFonts w:ascii="黑体" w:hAnsi="黑体"/>
          <w:szCs w:val="30"/>
        </w:rPr>
      </w:pPr>
      <w:bookmarkStart w:id="51" w:name="_Toc117875463"/>
      <w:r>
        <w:rPr>
          <w:rFonts w:hint="eastAsia" w:ascii="黑体" w:hAnsi="黑体"/>
          <w:szCs w:val="30"/>
        </w:rPr>
        <w:t>重点发展区域</w:t>
      </w:r>
      <w:bookmarkEnd w:id="51"/>
    </w:p>
    <w:p>
      <w:pPr>
        <w:ind w:left="0" w:leftChars="0" w:right="0" w:rightChars="0" w:firstLine="480"/>
      </w:pPr>
      <w:r>
        <w:rPr>
          <w:rFonts w:hint="eastAsia"/>
        </w:rPr>
        <w:t>根据</w:t>
      </w:r>
      <w:r>
        <w:rPr>
          <w:rFonts w:hint="eastAsia"/>
          <w:szCs w:val="24"/>
        </w:rPr>
        <w:t>《汕尾市国土空间总体规划（2020—2035年）》（公示草案），中心城区、陆丰市、海丰县、陆河县的发展定位分别是现代服务核心、能源海工装备和精细化工、先进制造和双区产业承接、新能源新材料和绿色经济；中心城区要优先集中连片开发，通过“精准增量、优化存量”思路，引导资源集聚高效配置。结合汕尾市中心城区的现状建设情况，市城区</w:t>
      </w:r>
      <w:r>
        <w:rPr>
          <w:rFonts w:hint="eastAsia"/>
        </w:rPr>
        <w:t>处于增量发展阶段，因此本规划选取目标单位七和目标单元八作为绿色建筑重点发展区域，创建高星级绿色建筑发展聚集区。</w:t>
      </w:r>
    </w:p>
    <w:p>
      <w:pPr>
        <w:ind w:left="0" w:leftChars="0" w:right="0" w:rightChars="0" w:firstLine="480"/>
      </w:pPr>
      <w:r>
        <w:rPr>
          <w:rFonts w:hint="eastAsia"/>
        </w:rPr>
        <w:t>重点发展区域内新建民用建筑项目，应按照高于目标单元指标要求中的绿色建筑标准一级进行建设。</w:t>
      </w:r>
    </w:p>
    <w:p>
      <w:pPr>
        <w:pStyle w:val="2"/>
        <w:keepLines w:val="0"/>
        <w:pageBreakBefore/>
        <w:numPr>
          <w:ilvl w:val="0"/>
          <w:numId w:val="12"/>
        </w:numPr>
        <w:spacing w:line="360" w:lineRule="auto"/>
        <w:ind w:left="0" w:leftChars="0" w:right="0" w:rightChars="0" w:firstLine="0" w:firstLineChars="0"/>
        <w:jc w:val="center"/>
        <w:rPr>
          <w:rFonts w:ascii="黑体" w:hAnsi="黑体" w:eastAsia="黑体"/>
          <w:sz w:val="36"/>
          <w:szCs w:val="32"/>
        </w:rPr>
      </w:pPr>
      <w:bookmarkStart w:id="52" w:name="_Toc117875464"/>
      <w:r>
        <w:rPr>
          <w:rFonts w:hint="eastAsia" w:ascii="黑体" w:hAnsi="黑体" w:eastAsia="黑体"/>
          <w:sz w:val="36"/>
          <w:szCs w:val="32"/>
        </w:rPr>
        <w:t>重点任务</w:t>
      </w:r>
      <w:bookmarkEnd w:id="52"/>
    </w:p>
    <w:p>
      <w:pPr>
        <w:pStyle w:val="3"/>
        <w:numPr>
          <w:ilvl w:val="1"/>
          <w:numId w:val="39"/>
        </w:numPr>
        <w:spacing w:line="360" w:lineRule="auto"/>
        <w:ind w:leftChars="0" w:right="-84" w:rightChars="-35" w:firstLineChars="0"/>
        <w:rPr>
          <w:rFonts w:ascii="黑体" w:hAnsi="黑体"/>
          <w:szCs w:val="30"/>
        </w:rPr>
      </w:pPr>
      <w:bookmarkStart w:id="53" w:name="_Toc117875465"/>
      <w:r>
        <w:rPr>
          <w:rFonts w:hint="eastAsia" w:ascii="黑体" w:hAnsi="黑体"/>
          <w:szCs w:val="30"/>
        </w:rPr>
        <w:t>推动绿色建筑高质量发展</w:t>
      </w:r>
      <w:bookmarkEnd w:id="53"/>
    </w:p>
    <w:p>
      <w:pPr>
        <w:pStyle w:val="4"/>
        <w:numPr>
          <w:ilvl w:val="2"/>
          <w:numId w:val="40"/>
        </w:numPr>
        <w:spacing w:line="360" w:lineRule="auto"/>
        <w:ind w:left="0" w:right="-84" w:rightChars="-35" w:firstLine="482"/>
        <w:rPr>
          <w:rFonts w:ascii="黑体" w:hAnsi="黑体" w:eastAsia="黑体"/>
          <w:sz w:val="28"/>
          <w:szCs w:val="28"/>
        </w:rPr>
      </w:pPr>
      <w:r>
        <w:rPr>
          <w:rFonts w:ascii="黑体" w:hAnsi="黑体" w:eastAsia="黑体"/>
          <w:sz w:val="28"/>
          <w:szCs w:val="28"/>
        </w:rPr>
        <w:t>大力提升建筑绿色健康品质</w:t>
      </w:r>
    </w:p>
    <w:p>
      <w:pPr>
        <w:ind w:left="0" w:leftChars="0" w:right="0" w:rightChars="0" w:firstLine="480"/>
      </w:pPr>
      <w:r>
        <w:t>结合高星级绿色建筑创建，形成适宜本地条件的多层次、经济性绿色技术实施路线，大力推动绿色建筑技术与智能技术深度融合发展，推动5G、物联网、人工智能等新技术在工程建筑领域的应用，提倡在绿色建筑中优先采用被动式建筑节能技术，积极创建高性能绿色建筑示范项目。</w:t>
      </w:r>
    </w:p>
    <w:p>
      <w:pPr>
        <w:ind w:left="0" w:leftChars="0" w:right="0" w:rightChars="0" w:firstLine="480"/>
      </w:pPr>
      <w:r>
        <w:t>兼顾平疫结合，提高建筑室内空气品质、水质、隔声性能等方面的健康性能指标，提升建筑视觉和心理舒适性。强化住宅健康性能设计要求，关注全龄化需求、倡导气候适应性、突出</w:t>
      </w:r>
      <w:r>
        <w:rPr>
          <w:rFonts w:hint="eastAsia"/>
          <w:szCs w:val="24"/>
        </w:rPr>
        <w:t>岭南</w:t>
      </w:r>
      <w:r>
        <w:t>特色，引导建设建筑健康性能提升示范项目。</w:t>
      </w:r>
    </w:p>
    <w:p>
      <w:pPr>
        <w:pStyle w:val="4"/>
        <w:numPr>
          <w:ilvl w:val="2"/>
          <w:numId w:val="40"/>
        </w:numPr>
        <w:spacing w:line="360" w:lineRule="auto"/>
        <w:ind w:left="0" w:right="-84" w:rightChars="-35" w:firstLine="482"/>
        <w:rPr>
          <w:rFonts w:ascii="黑体" w:hAnsi="黑体" w:eastAsia="黑体"/>
          <w:sz w:val="28"/>
          <w:szCs w:val="28"/>
        </w:rPr>
      </w:pPr>
      <w:r>
        <w:rPr>
          <w:rFonts w:ascii="黑体" w:hAnsi="黑体" w:eastAsia="黑体"/>
          <w:sz w:val="28"/>
          <w:szCs w:val="28"/>
        </w:rPr>
        <w:t>加强绿色建筑全流程管控</w:t>
      </w:r>
    </w:p>
    <w:p>
      <w:pPr>
        <w:ind w:left="0" w:leftChars="0" w:right="0" w:rightChars="0" w:firstLine="482"/>
      </w:pPr>
      <w:r>
        <w:rPr>
          <w:rFonts w:hint="eastAsia"/>
          <w:b/>
        </w:rPr>
        <w:t>（1）筹建阶段。</w:t>
      </w:r>
      <w:r>
        <w:rPr>
          <w:rFonts w:hint="eastAsia"/>
        </w:rPr>
        <w:t>建设单位要严格按照建设工程规划许可证注明的绿色建筑等级要求进行建设。一是建设单位应加强对绿色建筑建设全过程的质量管理，承担建设单位的工程质量管理责任。新建民用建筑项目的可行性研究报告或者项目申请报告应当包含绿色建筑专篇，明确绿色建筑等级、技术以及节能减排等内容，并将绿色建筑的相关费用纳入工程投资概预算。二是建设单位在开展咨询、设计、施工、监理、材料设备购置以及相关招标活动时，应向相关单位明示建设工程的绿色建筑等级要求并组织实施。在新建民用建筑项目委托设计、施工、监理时，应当在合同中载明绿色建筑等级要求。建设单位不得明示或者暗示其委托的单位违反绿色建筑标准进行项目设计、施工、监理。三是新建民用建筑项目依法应当进行设计招标的，招标人应当在设计招标文件中载明该项目的绿色建筑等级要求。</w:t>
      </w:r>
    </w:p>
    <w:p>
      <w:pPr>
        <w:ind w:left="0" w:leftChars="0" w:right="0" w:rightChars="0" w:firstLine="482"/>
      </w:pPr>
      <w:r>
        <w:rPr>
          <w:rFonts w:hint="eastAsia"/>
          <w:b/>
        </w:rPr>
        <w:t>（</w:t>
      </w:r>
      <w:r>
        <w:rPr>
          <w:b/>
        </w:rPr>
        <w:t>2</w:t>
      </w:r>
      <w:r>
        <w:rPr>
          <w:rFonts w:hint="eastAsia"/>
          <w:b/>
        </w:rPr>
        <w:t>）设计阶段。</w:t>
      </w:r>
      <w:r>
        <w:rPr>
          <w:rFonts w:hint="eastAsia"/>
        </w:rPr>
        <w:t>设计单位要严格按照绿色建筑等级要求进行设计，编制绿色建筑设计说明或者专篇。</w:t>
      </w:r>
    </w:p>
    <w:p>
      <w:pPr>
        <w:ind w:left="0" w:leftChars="0" w:right="0" w:rightChars="0" w:firstLine="482"/>
      </w:pPr>
      <w:r>
        <w:rPr>
          <w:rFonts w:hint="eastAsia"/>
          <w:b/>
        </w:rPr>
        <w:t>（</w:t>
      </w:r>
      <w:r>
        <w:rPr>
          <w:b/>
        </w:rPr>
        <w:t>3</w:t>
      </w:r>
      <w:r>
        <w:rPr>
          <w:rFonts w:hint="eastAsia"/>
          <w:b/>
        </w:rPr>
        <w:t>）审图阶段。</w:t>
      </w:r>
      <w:r>
        <w:rPr>
          <w:rFonts w:hint="eastAsia"/>
        </w:rPr>
        <w:t>负责施工图设计文件审查的机构要严格按照绿色建筑等级要求进行施工图审查，在审查报告中应有按绿色建筑等级要求提出的审查意见，不符合绿色建筑等级要求的施工图设计文件不得交付使用，涉及变更绿色建筑等级的，应重新审查施工图设计文件。</w:t>
      </w:r>
    </w:p>
    <w:p>
      <w:pPr>
        <w:ind w:left="0" w:leftChars="0" w:right="0" w:rightChars="0" w:firstLine="482"/>
      </w:pPr>
      <w:r>
        <w:rPr>
          <w:rFonts w:hint="eastAsia"/>
          <w:b/>
        </w:rPr>
        <w:t>（</w:t>
      </w:r>
      <w:r>
        <w:rPr>
          <w:b/>
        </w:rPr>
        <w:t>4</w:t>
      </w:r>
      <w:r>
        <w:rPr>
          <w:rFonts w:hint="eastAsia"/>
          <w:b/>
        </w:rPr>
        <w:t>）报备阶段。</w:t>
      </w:r>
      <w:r>
        <w:rPr>
          <w:rFonts w:hint="eastAsia"/>
        </w:rPr>
        <w:t>建设单位要将建设项目的审图合格书和绿色建筑标准等相关信息进行信息报备。施工图设计文件审查机构在对每个项目的施工图审查完成后，要及时将审查结果报送市住房城乡建设主管部门。</w:t>
      </w:r>
    </w:p>
    <w:p>
      <w:pPr>
        <w:ind w:left="0" w:leftChars="0" w:right="0" w:rightChars="0" w:firstLine="482"/>
      </w:pPr>
      <w:r>
        <w:rPr>
          <w:rFonts w:hint="eastAsia"/>
          <w:b/>
        </w:rPr>
        <w:t>（</w:t>
      </w:r>
      <w:r>
        <w:rPr>
          <w:b/>
        </w:rPr>
        <w:t>5</w:t>
      </w:r>
      <w:r>
        <w:rPr>
          <w:rFonts w:hint="eastAsia"/>
          <w:b/>
        </w:rPr>
        <w:t>）施工阶段。</w:t>
      </w:r>
      <w:r>
        <w:rPr>
          <w:rFonts w:hint="eastAsia"/>
        </w:rPr>
        <w:t>施工单位要严格根据施工图设计文件和绿色建筑标准，将绿色建筑技术措施和绿色施工等内容纳入施工方案并组织实施，在施工现场公示项目绿色建筑等级以及绿色建筑主要技术措施。监理单位要严格根据施工图设计文件和绿色建筑标准，编制绿色建筑监理方案并实施监理，对绿色建筑施工过程进行严格监理。工程质量监督管理机构要在日常的绿色建筑质量监督过程中和绿色建筑分部工程质量验收过程中，对绿色建筑隐蔽工程进行抽检，对外墙保温，屋面隔热、楼板隔音等绿色建筑隐蔽工程的落实情况进行现场抽查，形成抽查抽检记录及意见，发现绿色建筑工程质量及责任主体质量行为存在问题的，勒令改正，并根据规定对责任主体给予扣分，对涉及违法的企业和个人按规定进行行政处罚或移交有关部门处理。</w:t>
      </w:r>
    </w:p>
    <w:p>
      <w:pPr>
        <w:ind w:left="0" w:leftChars="0" w:right="0" w:rightChars="0" w:firstLine="482"/>
      </w:pPr>
      <w:r>
        <w:rPr>
          <w:rFonts w:hint="eastAsia"/>
          <w:b/>
        </w:rPr>
        <w:t>（</w:t>
      </w:r>
      <w:r>
        <w:rPr>
          <w:b/>
        </w:rPr>
        <w:t>6</w:t>
      </w:r>
      <w:r>
        <w:rPr>
          <w:rFonts w:hint="eastAsia"/>
          <w:b/>
        </w:rPr>
        <w:t>）检测阶段。</w:t>
      </w:r>
      <w:r>
        <w:rPr>
          <w:rFonts w:hint="eastAsia"/>
        </w:rPr>
        <w:t>工程质量检测机构要严格按照建设工程质量管理要求和相关标准，对绿色建筑工程质量进行检测，对检测中发现的不符合设计或技术标准要求的项目，应及时上报市、县住房城乡建设主管部门。</w:t>
      </w:r>
    </w:p>
    <w:p>
      <w:pPr>
        <w:ind w:left="0" w:leftChars="0" w:right="0" w:rightChars="0" w:firstLine="482"/>
      </w:pPr>
      <w:r>
        <w:rPr>
          <w:rFonts w:hint="eastAsia"/>
          <w:b/>
        </w:rPr>
        <w:t>（</w:t>
      </w:r>
      <w:r>
        <w:rPr>
          <w:b/>
        </w:rPr>
        <w:t>7</w:t>
      </w:r>
      <w:r>
        <w:rPr>
          <w:rFonts w:hint="eastAsia"/>
          <w:b/>
        </w:rPr>
        <w:t>）竣工验收阶段。</w:t>
      </w:r>
      <w:r>
        <w:rPr>
          <w:rFonts w:hint="eastAsia"/>
        </w:rPr>
        <w:t>建设单位在组织设计、施工、监理等相关责任主体单位开展竣工验收时，应认真查验工程项目是否符合施工图设计文件和绿色建筑标准，对不符合施工图设计文件要求和绿色建筑标准要求的不得通过竣工验收。</w:t>
      </w:r>
    </w:p>
    <w:p>
      <w:pPr>
        <w:pStyle w:val="4"/>
        <w:numPr>
          <w:ilvl w:val="2"/>
          <w:numId w:val="40"/>
        </w:numPr>
        <w:spacing w:line="360" w:lineRule="auto"/>
        <w:ind w:left="0" w:right="-84" w:rightChars="-35" w:firstLine="482"/>
        <w:rPr>
          <w:rFonts w:ascii="黑体" w:hAnsi="黑体" w:eastAsia="黑体"/>
          <w:sz w:val="28"/>
          <w:szCs w:val="28"/>
        </w:rPr>
      </w:pPr>
      <w:r>
        <w:rPr>
          <w:rFonts w:ascii="黑体" w:hAnsi="黑体" w:eastAsia="黑体"/>
          <w:sz w:val="28"/>
          <w:szCs w:val="28"/>
        </w:rPr>
        <w:t>完善绿色建筑监管机制体制</w:t>
      </w:r>
    </w:p>
    <w:p>
      <w:pPr>
        <w:ind w:left="0" w:leftChars="0" w:right="0" w:rightChars="0" w:firstLine="480"/>
      </w:pPr>
      <w:r>
        <w:t>制定相关配套政策文件，完善绿色建筑规划、设计、施工图审查、施工、质量检测、验收、认定、运行、后评估等全过程监管措施，将绿色建筑监管制度融入各监管环节。</w:t>
      </w:r>
    </w:p>
    <w:p>
      <w:pPr>
        <w:ind w:left="0" w:leftChars="0" w:right="0" w:rightChars="0" w:firstLine="480"/>
      </w:pPr>
      <w:r>
        <w:t>根据广东省绿色建筑设计、验收、评价等相关技术标准规范，制定</w:t>
      </w:r>
      <w:r>
        <w:rPr>
          <w:rFonts w:hint="eastAsia"/>
        </w:rPr>
        <w:t>汕尾</w:t>
      </w:r>
      <w:r>
        <w:t>市绿色建筑设计审查要点，制定绿色建筑验收管理办法，编制绿色建筑竣工验收导则，加强绿色建筑施工督导检查，制定绿色建筑施工方案，研究建筑固体废弃物减量化、资源化管理处理的策略，以及建筑生产过程的污水、扬尘、运输车辆废气、施工噪声、光污染等污染防治措施。开展典型绿色建筑项目后评估，研究推动绿色建筑实际运行效果考核评价。</w:t>
      </w:r>
      <w:r>
        <w:rPr>
          <w:rFonts w:hint="eastAsia"/>
        </w:rPr>
        <w:t>贯彻落实国家、省对绿色建筑的财税扶持政策，</w:t>
      </w:r>
      <w:r>
        <w:t>为</w:t>
      </w:r>
      <w:r>
        <w:rPr>
          <w:rFonts w:hint="eastAsia"/>
        </w:rPr>
        <w:t>绿色建筑推广应用工作提供必要的经费保障。</w:t>
      </w:r>
    </w:p>
    <w:p>
      <w:pPr>
        <w:ind w:left="0" w:leftChars="0" w:right="0" w:rightChars="0" w:firstLine="480"/>
      </w:pPr>
      <w:r>
        <w:t>按照国家和广东省规定继续开展星级绿色建筑认定工作，依托</w:t>
      </w:r>
      <w:r>
        <w:rPr>
          <w:rFonts w:hint="eastAsia"/>
        </w:rPr>
        <w:t>“</w:t>
      </w:r>
      <w:r>
        <w:t>广东省绿色建筑信息平台</w:t>
      </w:r>
      <w:r>
        <w:rPr>
          <w:rFonts w:hint="eastAsia"/>
        </w:rPr>
        <w:t>”</w:t>
      </w:r>
      <w:r>
        <w:t xml:space="preserve">，实施绿色建筑标识认定全流程统一管理。对星级绿色建筑实行动态管理，对不符合绿色建筑等级要求的标识项目，给予限期整改或直接撤销标识。 </w:t>
      </w:r>
    </w:p>
    <w:p>
      <w:pPr>
        <w:ind w:left="0" w:leftChars="0" w:right="0" w:rightChars="0" w:firstLine="480"/>
      </w:pPr>
      <w:r>
        <w:t>建立绿色住宅使用者监督机制。新建住宅项目须进行绿色建筑公示，将住宅的绿色建筑等级、绿色性能和全装修质量相关指标纳入商品房买卖合同、住宅质量保证书和住宅使用说明书，引导购房人做好验房工作，告知绿色建筑用户评价和反馈机制。</w:t>
      </w:r>
    </w:p>
    <w:p>
      <w:pPr>
        <w:pStyle w:val="3"/>
        <w:numPr>
          <w:ilvl w:val="1"/>
          <w:numId w:val="39"/>
        </w:numPr>
        <w:spacing w:line="360" w:lineRule="auto"/>
        <w:ind w:leftChars="0" w:right="-84" w:rightChars="-35" w:firstLineChars="0"/>
        <w:rPr>
          <w:rFonts w:ascii="黑体" w:hAnsi="黑体"/>
          <w:szCs w:val="30"/>
        </w:rPr>
      </w:pPr>
      <w:bookmarkStart w:id="54" w:name="_Toc117875466"/>
      <w:r>
        <w:rPr>
          <w:rFonts w:hint="eastAsia" w:ascii="黑体" w:hAnsi="黑体"/>
          <w:szCs w:val="30"/>
        </w:rPr>
        <w:t>实施既有建筑节能绿色化改造</w:t>
      </w:r>
      <w:bookmarkEnd w:id="54"/>
    </w:p>
    <w:p>
      <w:pPr>
        <w:pStyle w:val="4"/>
        <w:numPr>
          <w:ilvl w:val="2"/>
          <w:numId w:val="41"/>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拓宽建筑节能改造渠道</w:t>
      </w:r>
    </w:p>
    <w:p>
      <w:pPr>
        <w:ind w:left="0" w:leftChars="0" w:right="0" w:rightChars="0" w:firstLine="480"/>
      </w:pPr>
      <w:r>
        <w:rPr>
          <w:rFonts w:hint="eastAsia"/>
        </w:rPr>
        <w:t>根据建筑能耗基础数据，会同能源、电网等相关部门研究制定汕尾市公共建筑能耗限额标准，根据标准对既有公共建筑进行评估，将评估不合格的国家机关办公建筑、大型公共建筑和以政府投资为主的其他公共建筑优先纳入改造计划。推动既有居住建筑节能绿色化改造，鼓励老旧小区按照绿色建筑评价标准进行改造。</w:t>
      </w:r>
    </w:p>
    <w:p>
      <w:pPr>
        <w:ind w:left="0" w:leftChars="0" w:right="0" w:rightChars="0" w:firstLine="480"/>
      </w:pPr>
      <w:r>
        <w:rPr>
          <w:rFonts w:hint="eastAsia"/>
        </w:rPr>
        <w:t>完善既有建筑节能改造政策，认真贯彻《广东省绿色建筑条例》，推动民用建筑绿色化改造。会同财政、银行等部门制定相关激励政策，加快完善建筑节能改造市场机制，推动建筑节能服务机构为建筑运行和既有民用建筑节能改造提供合同能源管理服务。</w:t>
      </w:r>
    </w:p>
    <w:p>
      <w:pPr>
        <w:pStyle w:val="4"/>
        <w:numPr>
          <w:ilvl w:val="2"/>
          <w:numId w:val="41"/>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实施节能绿色化改造</w:t>
      </w:r>
    </w:p>
    <w:p>
      <w:pPr>
        <w:ind w:left="0" w:leftChars="0" w:right="0" w:rightChars="0" w:firstLine="480"/>
      </w:pPr>
      <w:r>
        <w:rPr>
          <w:rFonts w:hint="eastAsia"/>
        </w:rPr>
        <w:t>结合汕尾城市更新、城镇老旧小区改造等项目，统筹开展住宅小区节能绿色化改造、绿色社区、海绵城市建设、小区公共环境治理、适老设施改造、基础设施和建筑使用功能提升改造。依据《汕尾市人民政府关于推进城市有机更新工作的实施意见》、《汕尾市区“三旧”改造专项规划》等相关文件，对2000年前建成且需改造的老旧小区，实施节能宜居综合改造。划定重点改造区域先行示范建设，探索形成汕尾市老旧小区节能宜居综合改造模式。到2</w:t>
      </w:r>
      <w:r>
        <w:t>035</w:t>
      </w:r>
      <w:r>
        <w:rPr>
          <w:rFonts w:hint="eastAsia"/>
        </w:rPr>
        <w:t>年前，汕尾市既有建筑绿色化改造面积要达到15万m</w:t>
      </w:r>
      <w:r>
        <w:rPr>
          <w:rFonts w:hint="eastAsia"/>
          <w:vertAlign w:val="superscript"/>
        </w:rPr>
        <w:t>2</w:t>
      </w:r>
      <w:r>
        <w:rPr>
          <w:rFonts w:hint="eastAsia"/>
        </w:rPr>
        <w:t>，打造绿色社区改造典范。</w:t>
      </w:r>
    </w:p>
    <w:p>
      <w:pPr>
        <w:pStyle w:val="4"/>
        <w:numPr>
          <w:ilvl w:val="2"/>
          <w:numId w:val="41"/>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加强既有建筑节能改造配套体系建设</w:t>
      </w:r>
    </w:p>
    <w:p>
      <w:pPr>
        <w:ind w:left="0" w:leftChars="0" w:right="0" w:rightChars="0" w:firstLine="480"/>
      </w:pPr>
      <w:r>
        <w:rPr>
          <w:rFonts w:hint="eastAsia"/>
        </w:rPr>
        <w:t>积极探索完善既有建筑节能改造前期诊断与评估机制，推行“共同缔造”理念，顺应群众期盼，按照群众需求迫切程度统筹改造内容，形成共谋共建共享的改造模式。探索智慧建筑技术在老旧小区、既有大型公共建筑的应用路径，提高建筑智慧化水平，提升建筑用能精细化程度。加强既有建筑环境品质、建筑能耗等关键绿色性能指标的监测和公示披露。鼓励建设既有建筑绿色节能智能化运行管理平台，充分利用物联网、云计算、信息智能终端等新一代信息技术，实现水电气能耗等指标的实时监测与统计分析。</w:t>
      </w:r>
    </w:p>
    <w:p>
      <w:pPr>
        <w:pStyle w:val="4"/>
        <w:numPr>
          <w:ilvl w:val="2"/>
          <w:numId w:val="41"/>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探索既有建筑节能绿色化改造的市场服务模式</w:t>
      </w:r>
    </w:p>
    <w:p>
      <w:pPr>
        <w:ind w:left="0" w:leftChars="0" w:right="0" w:rightChars="0" w:firstLine="480"/>
      </w:pPr>
      <w:r>
        <w:rPr>
          <w:rFonts w:hint="eastAsia"/>
        </w:rPr>
        <w:t>建立政府引导、市场主导的市场运作机制，一方面促进节能绿色化改造市场的形成，另一方面规范既有建筑节能绿色化改造市场行为，形成有序、良性运作的市场机制。推动既有建筑节能量认定，确保绿色化改造预期效果的实现。加强既有建筑节能绿色化改造效果全流程跟踪管理，积累、总结经验，探索有利于推进汕尾市既有建筑节能绿色化改造规模化发展的实施模式。</w:t>
      </w:r>
    </w:p>
    <w:p>
      <w:pPr>
        <w:pStyle w:val="3"/>
        <w:numPr>
          <w:ilvl w:val="1"/>
          <w:numId w:val="39"/>
        </w:numPr>
        <w:spacing w:line="360" w:lineRule="auto"/>
        <w:ind w:leftChars="0" w:right="-84" w:rightChars="-35" w:firstLineChars="0"/>
        <w:rPr>
          <w:rFonts w:ascii="黑体" w:hAnsi="黑体"/>
          <w:szCs w:val="30"/>
        </w:rPr>
      </w:pPr>
      <w:bookmarkStart w:id="55" w:name="_Toc117875467"/>
      <w:r>
        <w:rPr>
          <w:rFonts w:hint="eastAsia" w:ascii="黑体" w:hAnsi="黑体"/>
          <w:szCs w:val="30"/>
        </w:rPr>
        <w:t>推广新型绿色建造方式</w:t>
      </w:r>
      <w:bookmarkEnd w:id="55"/>
    </w:p>
    <w:p>
      <w:pPr>
        <w:pStyle w:val="4"/>
        <w:numPr>
          <w:ilvl w:val="2"/>
          <w:numId w:val="42"/>
        </w:numPr>
        <w:spacing w:line="360" w:lineRule="auto"/>
        <w:ind w:left="0" w:right="-84" w:rightChars="-35" w:firstLine="482"/>
        <w:rPr>
          <w:rFonts w:ascii="黑体" w:hAnsi="黑体" w:eastAsia="黑体"/>
          <w:sz w:val="28"/>
          <w:szCs w:val="28"/>
        </w:rPr>
      </w:pPr>
      <w:r>
        <w:rPr>
          <w:rFonts w:ascii="黑体" w:hAnsi="黑体" w:eastAsia="黑体"/>
          <w:sz w:val="28"/>
          <w:szCs w:val="28"/>
        </w:rPr>
        <w:t>加快建立建筑能耗双控路径</w:t>
      </w:r>
    </w:p>
    <w:p>
      <w:pPr>
        <w:ind w:left="0" w:leftChars="0" w:right="0" w:rightChars="0" w:firstLine="480"/>
      </w:pPr>
      <w:r>
        <w:t>贯彻落实国家应对气候变化策略，按照国家及省</w:t>
      </w:r>
      <w:r>
        <w:rPr>
          <w:rFonts w:hint="eastAsia"/>
        </w:rPr>
        <w:t>“</w:t>
      </w:r>
      <w:r>
        <w:t>双碳</w:t>
      </w:r>
      <w:r>
        <w:rPr>
          <w:rFonts w:hint="eastAsia"/>
        </w:rPr>
        <w:t>”</w:t>
      </w:r>
      <w:r>
        <w:t>工作要求，落实</w:t>
      </w:r>
      <w:r>
        <w:rPr>
          <w:rFonts w:hint="eastAsia"/>
        </w:rPr>
        <w:t>汕尾</w:t>
      </w:r>
      <w:r>
        <w:t>市碳达峰行动中建筑碳排放控制任务，会同能源管理部门开展区域能源评估与数据共享，研究基于建筑行业碳排放总量和强度双控的目标引导和分解落实机制。</w:t>
      </w:r>
    </w:p>
    <w:p>
      <w:pPr>
        <w:ind w:left="0" w:leftChars="0" w:right="0" w:rightChars="0" w:firstLine="480"/>
      </w:pPr>
      <w:r>
        <w:t>加强新建建筑节能监管，新建民用建筑全面按照绿色建筑标准进行建设，严格执行国家、省建筑节能标准，提升新建建筑节能水平。对超高超大公共建筑项目，实行建筑节能设计方案专项评估制度。探索</w:t>
      </w:r>
      <w:r>
        <w:rPr>
          <w:rFonts w:hint="eastAsia"/>
          <w:szCs w:val="24"/>
        </w:rPr>
        <w:t>岭南</w:t>
      </w:r>
      <w:r>
        <w:t>特色超低能耗建筑建设，</w:t>
      </w:r>
      <w:r>
        <w:rPr>
          <w:rFonts w:hint="eastAsia"/>
        </w:rPr>
        <w:t>到2</w:t>
      </w:r>
      <w:r>
        <w:t>035</w:t>
      </w:r>
      <w:r>
        <w:rPr>
          <w:rFonts w:hint="eastAsia"/>
        </w:rPr>
        <w:t>年，</w:t>
      </w:r>
      <w:r>
        <w:t>力争建成2</w:t>
      </w:r>
      <w:r>
        <w:rPr>
          <w:rFonts w:hint="eastAsia"/>
        </w:rPr>
        <w:t>个</w:t>
      </w:r>
      <w:r>
        <w:t>超低能耗、2</w:t>
      </w:r>
      <w:r>
        <w:rPr>
          <w:rFonts w:hint="eastAsia"/>
        </w:rPr>
        <w:t>个</w:t>
      </w:r>
      <w:r>
        <w:t>近零能耗建筑项目</w:t>
      </w:r>
    </w:p>
    <w:p>
      <w:pPr>
        <w:ind w:left="0" w:leftChars="0" w:right="0" w:rightChars="0" w:firstLine="480"/>
      </w:pPr>
      <w:r>
        <w:t>推进可再生能源建筑应用</w:t>
      </w:r>
      <w:r>
        <w:rPr>
          <w:rFonts w:hint="eastAsia"/>
        </w:rPr>
        <w:t>，</w:t>
      </w:r>
      <w:r>
        <w:t>大力发展建筑分布式光伏，</w:t>
      </w:r>
      <w:r>
        <w:rPr>
          <w:rFonts w:hint="eastAsia"/>
        </w:rPr>
        <w:t>到2</w:t>
      </w:r>
      <w:r>
        <w:t>035</w:t>
      </w:r>
      <w:r>
        <w:rPr>
          <w:rFonts w:hint="eastAsia"/>
        </w:rPr>
        <w:t>年，</w:t>
      </w:r>
      <w:r>
        <w:t>新建大型工业厂房</w:t>
      </w:r>
      <w:r>
        <w:rPr>
          <w:rFonts w:hint="eastAsia"/>
        </w:rPr>
        <w:t>、</w:t>
      </w:r>
      <w:r>
        <w:t>公共建筑屋面太阳能光伏应用比例达到50%以上，进一步加大太阳能光热系统在中低层住宅、酒店、学校建筑中的应用。开展各类可再生能源建筑应用技术研究，制定适合</w:t>
      </w:r>
      <w:r>
        <w:rPr>
          <w:rFonts w:hint="eastAsia"/>
        </w:rPr>
        <w:t>汕尾</w:t>
      </w:r>
      <w:r>
        <w:t>市本地情况的应用项目运行策略。研究在高性能绿色建筑、超低能耗建筑等各类示范项目中，将可再生能源建筑应用比例作为约束性指标。鼓励建设新型建筑电力系统，发展柔性用电建筑。同时，按照广东省相关要求，积极推进区域建筑能源协同发展，鼓励建设区域建筑虚拟电厂建设</w:t>
      </w:r>
      <w:r>
        <w:rPr>
          <w:rFonts w:hint="eastAsia"/>
        </w:rPr>
        <w:t>试点。</w:t>
      </w:r>
    </w:p>
    <w:p>
      <w:pPr>
        <w:pStyle w:val="4"/>
        <w:numPr>
          <w:ilvl w:val="2"/>
          <w:numId w:val="42"/>
        </w:numPr>
        <w:spacing w:line="360" w:lineRule="auto"/>
        <w:ind w:left="0" w:right="-84" w:rightChars="-35" w:firstLine="482"/>
        <w:rPr>
          <w:rFonts w:ascii="黑体" w:hAnsi="黑体" w:eastAsia="黑体"/>
          <w:sz w:val="28"/>
          <w:szCs w:val="28"/>
        </w:rPr>
      </w:pPr>
      <w:r>
        <w:rPr>
          <w:rFonts w:ascii="黑体" w:hAnsi="黑体" w:eastAsia="黑体"/>
          <w:sz w:val="28"/>
          <w:szCs w:val="28"/>
        </w:rPr>
        <w:t>完善装配式建筑发展体系</w:t>
      </w:r>
    </w:p>
    <w:p>
      <w:pPr>
        <w:ind w:left="0" w:leftChars="0" w:right="0" w:rightChars="0" w:firstLine="480"/>
      </w:pPr>
      <w:r>
        <w:t>健全多部门参与的发展装配式建筑工作联系机制或联席会议制度，出台与新型建筑工业化相适应的招投标、EPC总承包、质量安全监督等管理机制。将装配式建筑列入建设施工管理工作监督考核指标体系，定期通报考核结果。</w:t>
      </w:r>
    </w:p>
    <w:p>
      <w:pPr>
        <w:ind w:left="0" w:leftChars="0" w:right="0" w:rightChars="0" w:firstLine="480"/>
      </w:pPr>
      <w:r>
        <w:rPr>
          <w:rFonts w:hint="eastAsia"/>
        </w:rPr>
        <w:t>根据《汕尾市装配式建筑专项规划（2019-2025年）》，</w:t>
      </w:r>
      <w:r>
        <w:t>逐年制订工作计划，明确年度目标、重点任务，细化用地保障、财税支持、容积率奖励等支持政策。政府投资工程带头发展装配式建筑，保障性住房、回迁安置房、大型公共建筑项目原则上应实施装配式建筑，各县（市、区）根据装配式建筑发展专项规划明确一定比例的房地产项目实施装配式建筑。研究编制适合</w:t>
      </w:r>
      <w:r>
        <w:rPr>
          <w:rFonts w:hint="eastAsia"/>
        </w:rPr>
        <w:t>汕尾</w:t>
      </w:r>
      <w:r>
        <w:t>的装配式建筑计算和认定细则，支持行业协会和企业编制装配式建筑相关配套标准，促进关键技术和成套技术研究成果转化为标准规范。</w:t>
      </w:r>
    </w:p>
    <w:p>
      <w:pPr>
        <w:ind w:left="0" w:leftChars="0" w:right="0" w:rightChars="0" w:firstLine="480"/>
      </w:pPr>
      <w:r>
        <w:t>推行装配式建筑一体化集成设计，强化装配式建筑设计对部品部件生产、安装施工、装饰装修等环节的统筹，提高标准化部品部件的应用比例。建立适合建筑信息模型（BIM）技术应用的装配式建筑工程管理模式，推进BIM技术在装配式建筑规划、勘察、设计、生产、施工、装修、运行维护全过程的集成应用。推行标准化施工，建设内容明确、技术方案成熟的项目，适宜采用工程总承包方式，实行装配式建筑装饰装修与主体结构、机电设备协同施工，发挥结构与装修穿插施工优势，提高施工现场管理水平。推进建筑全装修和装配化装修，装配式建筑工程项目推广全装修，推进装配化装修方式在商品住房项目中的应用，推广管线分离、一体 装修技术，提高装修品质。</w:t>
      </w:r>
    </w:p>
    <w:p>
      <w:pPr>
        <w:ind w:left="0" w:leftChars="0" w:right="0" w:rightChars="0" w:firstLine="480"/>
      </w:pPr>
      <w:r>
        <w:t>加强装配式建筑预制构件质量管理，鼓励企业建立装配式建筑部品部件生产和施工安装全过程质量控制体系。明确施工各方主体责任，加强构件和部品部件进场、施工安装、节点连接灌浆、密封防水等关键部位和工序质量安全管控，强化对施工管理人员和一线作业人员的质量安全技术交底。加强工程质量安全监管人员业务培训，提升适应装配式建筑的质量安全监管能力。积极探索适合</w:t>
      </w:r>
      <w:r>
        <w:rPr>
          <w:rFonts w:hint="eastAsia"/>
        </w:rPr>
        <w:t>汕尾</w:t>
      </w:r>
      <w:r>
        <w:t>的装配式建筑监管机制和全过程质量追溯制度，构建政府监督机制，提升装配式建筑施工质量。</w:t>
      </w:r>
    </w:p>
    <w:p>
      <w:pPr>
        <w:pStyle w:val="4"/>
        <w:numPr>
          <w:ilvl w:val="2"/>
          <w:numId w:val="42"/>
        </w:numPr>
        <w:spacing w:line="360" w:lineRule="auto"/>
        <w:ind w:left="0" w:right="-84" w:rightChars="-35" w:firstLine="482"/>
        <w:rPr>
          <w:rFonts w:ascii="黑体" w:hAnsi="黑体" w:eastAsia="黑体"/>
          <w:sz w:val="28"/>
          <w:szCs w:val="28"/>
        </w:rPr>
      </w:pPr>
      <w:r>
        <w:rPr>
          <w:rFonts w:ascii="黑体" w:hAnsi="黑体" w:eastAsia="黑体"/>
          <w:sz w:val="28"/>
          <w:szCs w:val="28"/>
        </w:rPr>
        <w:t>提升装配式建筑全过程</w:t>
      </w:r>
      <w:r>
        <w:rPr>
          <w:rFonts w:hint="eastAsia" w:ascii="黑体" w:hAnsi="黑体" w:eastAsia="黑体"/>
          <w:sz w:val="28"/>
          <w:szCs w:val="28"/>
        </w:rPr>
        <w:t>建造</w:t>
      </w:r>
      <w:r>
        <w:rPr>
          <w:rFonts w:ascii="黑体" w:hAnsi="黑体" w:eastAsia="黑体"/>
          <w:sz w:val="28"/>
          <w:szCs w:val="28"/>
        </w:rPr>
        <w:t>水平</w:t>
      </w:r>
    </w:p>
    <w:p>
      <w:pPr>
        <w:ind w:left="0" w:leftChars="0" w:right="0" w:rightChars="0" w:firstLine="480"/>
      </w:pPr>
      <w:r>
        <w:t>装配式建筑以</w:t>
      </w:r>
      <w:r>
        <w:rPr>
          <w:rFonts w:hint="eastAsia"/>
        </w:rPr>
        <w:t>“</w:t>
      </w:r>
      <w:r>
        <w:t>六化一体</w:t>
      </w:r>
      <w:r>
        <w:rPr>
          <w:rFonts w:hint="eastAsia"/>
        </w:rPr>
        <w:t>”</w:t>
      </w:r>
      <w:r>
        <w:t>的建造方式为典型特征，即设计标准化、生产工厂化、施工装配化、装修一体化、管理信息化和应用智能化。推行装配式建筑一体化集成设计，强化装配式建筑设计对部品部件生产、安装施工、装饰装修等环节的统筹，提高标准化部品部件的应用比例。利用建筑</w:t>
      </w:r>
      <w:r>
        <w:rPr>
          <w:rFonts w:hint="eastAsia"/>
        </w:rPr>
        <w:t>信</w:t>
      </w:r>
      <w:r>
        <w:t>息模型（BIM）技术提升装配式建筑工程管理水平，推进BIM技术在装配式建筑规划、勘察、设计、生产、施工、装修、运行维护全过程的集成应用。推行标准化施工，装配式建筑原则上采用工程总承包模式，实行装配式建筑装饰装修与主体结构、机电设备协同施工，发挥结构与装修穿插施工优势，提高施工现场管理水平。推进建筑全装修和装配化装修，装配式建筑工程项目推广全装修，倡导菜单式全装修，推进装配化装修技术在公共住房以及酒店、医院等公共建筑项目中的应用，推广管线分离、一体化装修技术，提高装修品质。</w:t>
      </w:r>
    </w:p>
    <w:p>
      <w:pPr>
        <w:pStyle w:val="4"/>
        <w:numPr>
          <w:ilvl w:val="2"/>
          <w:numId w:val="42"/>
        </w:numPr>
        <w:spacing w:line="360" w:lineRule="auto"/>
        <w:ind w:left="0" w:right="-84" w:rightChars="-35" w:firstLine="482"/>
        <w:rPr>
          <w:rFonts w:ascii="黑体" w:hAnsi="黑体" w:eastAsia="黑体"/>
          <w:sz w:val="28"/>
          <w:szCs w:val="28"/>
        </w:rPr>
      </w:pPr>
      <w:r>
        <w:rPr>
          <w:rFonts w:ascii="黑体" w:hAnsi="黑体" w:eastAsia="黑体"/>
          <w:sz w:val="28"/>
          <w:szCs w:val="28"/>
        </w:rPr>
        <w:t>大力推动新型材料绿色建材应用</w:t>
      </w:r>
    </w:p>
    <w:p>
      <w:pPr>
        <w:ind w:left="0" w:leftChars="0" w:right="0" w:rightChars="0" w:firstLine="480"/>
      </w:pPr>
      <w:r>
        <w:t>开展建筑工地新型墙体材料抽查，核查设计图纸及施工现场砌体工程是否使用国家和</w:t>
      </w:r>
      <w:r>
        <w:rPr>
          <w:rFonts w:hint="eastAsia"/>
        </w:rPr>
        <w:t>广东</w:t>
      </w:r>
      <w:r>
        <w:t>省颁布的新型墙体材料。加强信息公开，实施企业诚信激励，制定严格落实《关于进一步加强建设工程商品（预拌）混凝土使用行为管理工作的通知》，进一步提升散装水泥使用率，建设工程禁止现场搅拌混凝土和砂浆及临时搅拌站，积极督促管辖范围内的在建工程使用有资质的商品（预拌）混凝土企业生产的混凝土，取缔无资质搅拌站，加大对产品质量低劣的搅拌站、现场违规使用袋装水泥和现场搅拌混凝土行为的处罚力度，按照《广东省促进散装水泥发展和应用规定》，对相关责任单位及责任人实施行政处罚。</w:t>
      </w:r>
    </w:p>
    <w:p>
      <w:pPr>
        <w:ind w:left="0" w:leftChars="0" w:right="0" w:rightChars="0" w:firstLine="480"/>
      </w:pPr>
      <w:r>
        <w:t>不断发展节能环保、轻质高强的墙体和屋面材料，推进利用可再生资源制备新型墙体材料。以建筑垃圾综合资源化利用为重点，加强再生建材生产技术和工艺研发及推广应用，建立城市更新项目建筑废弃物处理全过程监管的长效管理机制。大力推广混凝土及水泥制品生产过程的三废零排放技术应用、废弃物综合再生利用技术和节能减排生产技术，促进资源循环利用。大力推广机制砂，加强机制砂相关技术的宣贯和培训，发布并严格落实《关于进一步加强机制砂使用质量监管的通知》，研究机制砂混凝土施工方法，培育产学研中心。扶持蒸压加气混凝土砌块（墙板）、高性能精密轻集料混凝土砌块等墙板、砌块类新型墙体材料。进一步推广应用高性能混凝土和特殊材料新型混凝土，发展生态修复混凝土制品。</w:t>
      </w:r>
    </w:p>
    <w:p>
      <w:pPr>
        <w:ind w:left="0" w:leftChars="0" w:right="0" w:rightChars="0" w:firstLine="480"/>
      </w:pPr>
      <w:r>
        <w:t>开展提升建筑使用功能、健康性能的绿色建材产品关键技术研发，参考省绿色建材产品指标，因地制宜，制定适用于本市的产品指标，推动技术创新，提升性能要求，研究建立不同类型建筑内部空间适宜的建材产品数据库。开展绿色建材应用试点示范，加强示范引领，逐步建立绿色建材发展长效机制，管理本地绿色建材</w:t>
      </w:r>
      <w:r>
        <w:rPr>
          <w:rFonts w:hint="eastAsia"/>
        </w:rPr>
        <w:t>。</w:t>
      </w:r>
    </w:p>
    <w:p>
      <w:pPr>
        <w:pStyle w:val="3"/>
        <w:numPr>
          <w:ilvl w:val="1"/>
          <w:numId w:val="39"/>
        </w:numPr>
        <w:spacing w:line="360" w:lineRule="auto"/>
        <w:ind w:leftChars="0" w:right="-84" w:rightChars="-35" w:firstLineChars="0"/>
        <w:rPr>
          <w:rFonts w:ascii="黑体" w:hAnsi="黑体"/>
          <w:szCs w:val="30"/>
        </w:rPr>
      </w:pPr>
      <w:bookmarkStart w:id="56" w:name="_Toc117875468"/>
      <w:r>
        <w:rPr>
          <w:rFonts w:hint="eastAsia" w:ascii="黑体" w:hAnsi="黑体"/>
          <w:szCs w:val="30"/>
        </w:rPr>
        <w:t>培育壮大新型建筑工业化产业链</w:t>
      </w:r>
      <w:bookmarkEnd w:id="56"/>
    </w:p>
    <w:p>
      <w:pPr>
        <w:pStyle w:val="4"/>
        <w:numPr>
          <w:ilvl w:val="2"/>
          <w:numId w:val="43"/>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促进产业集群高质量发展</w:t>
      </w:r>
    </w:p>
    <w:p>
      <w:pPr>
        <w:ind w:left="0" w:leftChars="0" w:right="0" w:rightChars="0" w:firstLine="480"/>
      </w:pPr>
      <w:r>
        <w:rPr>
          <w:rFonts w:hint="eastAsia"/>
        </w:rPr>
        <w:t>综合考虑部品部件运输和服务半径，统筹产业基地布局，到2</w:t>
      </w:r>
      <w:r>
        <w:t>035年内</w:t>
      </w:r>
      <w:r>
        <w:rPr>
          <w:rFonts w:hint="eastAsia"/>
        </w:rPr>
        <w:t>，配套建设</w:t>
      </w:r>
      <w:r>
        <w:t>3</w:t>
      </w:r>
      <w:r>
        <w:rPr>
          <w:rFonts w:hint="eastAsia"/>
        </w:rPr>
        <w:t>个部品部件产业基地，促进产能供需平衡。继续开展装配式建筑示范区域、产业基地和示范项目认定，发挥示范引领作用。支持智能建造与建筑工业化协同发展示范项目落地实施，发挥大型国有企业智能建造与建筑工业化协同发展示范作用，大力支持以装配式建筑产业基地等为核心基础、集聚发展的建筑工业化智能科技园项目落地实施。推动装配式建筑设计、生产、施工、检测、监理等各环节实施主体提升装配式建筑实施水平，形成具有核心竞争力和行业带动力的装配式建筑全产业集群。</w:t>
      </w:r>
    </w:p>
    <w:p>
      <w:pPr>
        <w:ind w:left="0" w:leftChars="0" w:right="0" w:rightChars="0" w:firstLine="480"/>
      </w:pPr>
      <w:r>
        <w:rPr>
          <w:rFonts w:hint="eastAsia"/>
        </w:rPr>
        <w:t>开展行业发展人才需求调研，加强与教育部门联动，开设绿色建筑、装配式建筑相关专业，在建筑行业专业技术人员继续教育中增加绿色建筑、装配式建筑相关内容，培养绿色建筑、装配式建筑设计、生产、施工、管理等专业人才。坚持产教融合、校企合作。创建绿色建筑专业技术学习平台，向学员发放课程认证资格证。加强对在职建筑工人的培训。完善绿色建筑职业技能鉴定体系与人才培养体系。</w:t>
      </w:r>
    </w:p>
    <w:p>
      <w:pPr>
        <w:pStyle w:val="4"/>
        <w:numPr>
          <w:ilvl w:val="2"/>
          <w:numId w:val="43"/>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完善绿色建筑监管机制体制</w:t>
      </w:r>
    </w:p>
    <w:p>
      <w:pPr>
        <w:ind w:left="0" w:leftChars="0" w:right="0" w:rightChars="0" w:firstLine="480"/>
      </w:pPr>
      <w:r>
        <w:rPr>
          <w:rFonts w:hint="eastAsia"/>
        </w:rPr>
        <w:t>制定相关配套政策文件，完善绿色建筑规划、设计、施工图审查、施工、质量检测、验收、认定、运行、后评估等全过程监管措施，将绿色建筑监管制度融入各监管环节。</w:t>
      </w:r>
    </w:p>
    <w:p>
      <w:pPr>
        <w:ind w:left="0" w:leftChars="0" w:right="0" w:rightChars="0" w:firstLine="480"/>
      </w:pPr>
      <w:r>
        <w:rPr>
          <w:rFonts w:hint="eastAsia"/>
        </w:rPr>
        <w:t>根据广东省绿色建筑设计、验收、评价等相关技术标准规范，制定汕尾市绿色建筑设计审查要点，制定绿色建筑验收管理办法，编制绿色建筑竣工验收导则，加强绿色建筑施工督导检查，制定绿色建筑施工方案，研究建筑固体废弃物减量化、资源化管理处理的策略，以及建筑生产过程的污水、扬尘、运输车辆废气、施工噪声、光污染等污染防治措施。开展典型绿色建筑项目后评估，研究推动绿色建筑实际运行效果考核评价。</w:t>
      </w:r>
    </w:p>
    <w:p>
      <w:pPr>
        <w:ind w:left="0" w:leftChars="0" w:right="0" w:rightChars="0" w:firstLine="480"/>
      </w:pPr>
      <w:r>
        <w:rPr>
          <w:rFonts w:hint="eastAsia"/>
        </w:rPr>
        <w:t>按照国家和广东省规定继续开展星级绿色建筑认定工作，依托“广东省绿色建筑信息平台”，实施绿色建筑标识认定全流程统一管理。对星级绿色建筑实行动态管理，对不符合绿色建筑等级要求的标识项目，给予限期整改或直接撤销标识。</w:t>
      </w:r>
    </w:p>
    <w:p>
      <w:pPr>
        <w:ind w:left="0" w:leftChars="0" w:right="0" w:rightChars="0" w:firstLine="480"/>
      </w:pPr>
      <w:r>
        <w:rPr>
          <w:rFonts w:hint="eastAsia"/>
        </w:rPr>
        <w:t>建立绿色住宅使用者监督机制。新建住宅项目须进行绿色建筑公示，将住宅的绿色建筑等级、绿色性能和全装修质量相关指标纳入商品房买卖合同、住宅质量保证书和住宅使用说明书，引导购房人做好验房工作，告知绿色建筑用户评价和反馈机制。</w:t>
      </w:r>
    </w:p>
    <w:p>
      <w:pPr>
        <w:pStyle w:val="4"/>
        <w:numPr>
          <w:ilvl w:val="2"/>
          <w:numId w:val="43"/>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调动行业各方参与主动性</w:t>
      </w:r>
    </w:p>
    <w:p>
      <w:pPr>
        <w:ind w:left="0" w:leftChars="0" w:right="0" w:rightChars="0" w:firstLine="480"/>
      </w:pPr>
      <w:r>
        <w:rPr>
          <w:rFonts w:hint="eastAsia"/>
        </w:rPr>
        <w:t>加强公共建筑用能管理，统筹分析应用能耗统计、能源审计、能耗监测等数据信息，开展能耗信息公示及披露，依据广东省公共建筑能耗限额结合汕尾实际情况制定公共建筑能耗限额标准，根据标准对既有公共建筑进行评估，将评估不合格的国家机关办公建筑、大型公共建筑和以政府投资为主的其他公共建筑优先纳入改造计划。</w:t>
      </w:r>
    </w:p>
    <w:p>
      <w:pPr>
        <w:ind w:left="0" w:leftChars="0" w:right="0" w:rightChars="0" w:firstLine="480"/>
      </w:pPr>
      <w:r>
        <w:rPr>
          <w:rFonts w:hint="eastAsia"/>
        </w:rPr>
        <w:t>推动既有居住建筑节能绿色化改造。结合海绵城市建设、老旧小区改造等工作，鼓励老旧小区按照绿色建筑评价标准进行改造，改造内容包括：户内空间改造、适老化设施改造、设备改造、加装电梯等。重点发展区域中连片综合更新改造中推动既有居住建筑绿色化改造，严管大拆大建，保持城市记忆。改造实施要注意前期诊断与评估，推行“共同缔造”理念，顺应群众期盼，按照群众需求迫切程度统筹改造内容，形成共谋共建共享的改造模式。</w:t>
      </w:r>
    </w:p>
    <w:p>
      <w:pPr>
        <w:ind w:left="0" w:leftChars="0" w:right="0" w:rightChars="0" w:firstLine="480"/>
      </w:pPr>
    </w:p>
    <w:p>
      <w:pPr>
        <w:pStyle w:val="2"/>
        <w:keepLines w:val="0"/>
        <w:pageBreakBefore/>
        <w:numPr>
          <w:ilvl w:val="0"/>
          <w:numId w:val="12"/>
        </w:numPr>
        <w:spacing w:line="360" w:lineRule="auto"/>
        <w:ind w:left="0" w:leftChars="0" w:right="0" w:rightChars="0" w:firstLine="0" w:firstLineChars="0"/>
        <w:jc w:val="center"/>
        <w:rPr>
          <w:rFonts w:ascii="黑体" w:hAnsi="黑体" w:eastAsia="黑体"/>
          <w:sz w:val="36"/>
          <w:szCs w:val="32"/>
        </w:rPr>
      </w:pPr>
      <w:bookmarkStart w:id="57" w:name="_Toc117875469"/>
      <w:r>
        <w:rPr>
          <w:rFonts w:hint="eastAsia" w:ascii="黑体" w:hAnsi="黑体" w:eastAsia="黑体"/>
          <w:sz w:val="36"/>
          <w:szCs w:val="32"/>
        </w:rPr>
        <w:t>规划衔接与项目管控</w:t>
      </w:r>
      <w:bookmarkEnd w:id="57"/>
    </w:p>
    <w:p>
      <w:pPr>
        <w:ind w:left="0" w:leftChars="0" w:right="0" w:rightChars="0" w:firstLine="480"/>
      </w:pPr>
      <w:r>
        <w:rPr>
          <w:rFonts w:hint="eastAsia"/>
        </w:rPr>
        <w:t>结合汕尾市规划建设现行机制，在规划建设领域率先转型，从规划衔接和项目管控两条主线建立规划建设管控制度。</w:t>
      </w:r>
    </w:p>
    <w:p>
      <w:pPr>
        <w:pStyle w:val="3"/>
        <w:numPr>
          <w:ilvl w:val="1"/>
          <w:numId w:val="44"/>
        </w:numPr>
        <w:spacing w:line="360" w:lineRule="auto"/>
        <w:ind w:leftChars="0" w:right="-84" w:rightChars="-35" w:firstLineChars="0"/>
        <w:rPr>
          <w:rFonts w:ascii="黑体" w:hAnsi="黑体"/>
          <w:szCs w:val="30"/>
        </w:rPr>
      </w:pPr>
      <w:bookmarkStart w:id="58" w:name="_Toc117875470"/>
      <w:r>
        <w:rPr>
          <w:rFonts w:hint="eastAsia" w:ascii="黑体" w:hAnsi="黑体"/>
          <w:szCs w:val="30"/>
        </w:rPr>
        <w:t>规划衔接</w:t>
      </w:r>
      <w:bookmarkEnd w:id="58"/>
    </w:p>
    <w:p>
      <w:pPr>
        <w:pStyle w:val="4"/>
        <w:numPr>
          <w:ilvl w:val="2"/>
          <w:numId w:val="45"/>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与国土空间总体规划的衔接</w:t>
      </w:r>
    </w:p>
    <w:p>
      <w:pPr>
        <w:ind w:left="0" w:leftChars="0" w:right="0" w:rightChars="0" w:firstLine="480"/>
      </w:pPr>
      <w:r>
        <w:rPr>
          <w:rFonts w:hint="eastAsia"/>
        </w:rPr>
        <w:t>将《汕尾市绿色建筑发展专项规划（2022-2035年）》纳入汕尾市国土空间规划“一张图”，实现精准管控和指引。</w:t>
      </w:r>
    </w:p>
    <w:p>
      <w:pPr>
        <w:pStyle w:val="4"/>
        <w:numPr>
          <w:ilvl w:val="2"/>
          <w:numId w:val="45"/>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与控制性详细规划的衔接</w:t>
      </w:r>
    </w:p>
    <w:p>
      <w:pPr>
        <w:ind w:left="0" w:leftChars="0" w:right="0" w:rightChars="0" w:firstLine="480"/>
      </w:pPr>
      <w:r>
        <w:rPr>
          <w:rFonts w:hint="eastAsia"/>
        </w:rPr>
        <w:t>本规划对绿色建筑的分区分类管控要求，在片区控制性详细规划编制阶段时应在相关章节予以落实和说明，将汕尾市绿色建筑专项规划的相应要求纳入控制性详细规划中。</w:t>
      </w:r>
    </w:p>
    <w:p>
      <w:pPr>
        <w:pStyle w:val="4"/>
        <w:numPr>
          <w:ilvl w:val="2"/>
          <w:numId w:val="45"/>
        </w:numPr>
        <w:spacing w:line="360" w:lineRule="auto"/>
        <w:ind w:left="0" w:right="-84" w:rightChars="-35" w:firstLine="482"/>
        <w:rPr>
          <w:rFonts w:ascii="黑体" w:hAnsi="黑体" w:eastAsia="黑体"/>
          <w:sz w:val="28"/>
          <w:szCs w:val="28"/>
        </w:rPr>
      </w:pPr>
      <w:r>
        <w:rPr>
          <w:rFonts w:hint="eastAsia" w:ascii="黑体" w:hAnsi="黑体" w:eastAsia="黑体"/>
          <w:sz w:val="28"/>
          <w:szCs w:val="28"/>
        </w:rPr>
        <w:t>与其他专项规划的协调</w:t>
      </w:r>
    </w:p>
    <w:p>
      <w:pPr>
        <w:ind w:left="0" w:leftChars="0" w:right="0" w:rightChars="0" w:firstLine="480"/>
      </w:pPr>
      <w:r>
        <w:rPr>
          <w:rFonts w:hint="eastAsia"/>
        </w:rPr>
        <w:t>在其他专项规划涉及绿色建筑内容时，应在符合本规划提出的总体目标、总体格局与指引、重点任务等内容的要求基础上，合理进行规划编制</w:t>
      </w:r>
    </w:p>
    <w:p>
      <w:pPr>
        <w:pStyle w:val="3"/>
        <w:numPr>
          <w:ilvl w:val="1"/>
          <w:numId w:val="44"/>
        </w:numPr>
        <w:spacing w:line="360" w:lineRule="auto"/>
        <w:ind w:leftChars="0" w:right="-84" w:rightChars="-35" w:firstLineChars="0"/>
        <w:rPr>
          <w:rFonts w:ascii="黑体" w:hAnsi="黑体"/>
          <w:szCs w:val="30"/>
        </w:rPr>
      </w:pPr>
      <w:bookmarkStart w:id="59" w:name="_Toc117875471"/>
      <w:r>
        <w:rPr>
          <w:rFonts w:hint="eastAsia" w:ascii="黑体" w:hAnsi="黑体"/>
          <w:szCs w:val="30"/>
        </w:rPr>
        <w:t>项目管控</w:t>
      </w:r>
      <w:bookmarkEnd w:id="59"/>
    </w:p>
    <w:p>
      <w:pPr>
        <w:ind w:left="0" w:leftChars="0" w:right="0" w:rightChars="0" w:firstLine="480"/>
      </w:pPr>
      <w:r>
        <w:rPr>
          <w:rFonts w:hint="eastAsia"/>
        </w:rPr>
        <w:t>自然资源主管部门与住房城乡建设主管部门应结合建设项目规划审批程序，将绿色建筑面积比例等指标作为行政许可的管控条件，住房城乡建设行政主管部门负责绿色建筑的日常监管工作，引导和鼓励建设项目根据自身实际情况采用绿色建筑建造方式。</w:t>
      </w:r>
    </w:p>
    <w:p>
      <w:pPr>
        <w:ind w:left="0" w:leftChars="0" w:right="0" w:rightChars="0" w:firstLine="480"/>
      </w:pPr>
      <w:r>
        <w:rPr>
          <w:rFonts w:hint="eastAsia"/>
        </w:rPr>
        <w:t>（1）住房城乡建设行政主管部门对划拨或计划出让的土地建设绿色建筑项目提出意见，自然资源主管部门在办理建设用地划拨或土地使用权出让手续时，应结合住房城乡建设行政主管部门的意见将项目的绿色建筑面积比例等指标明确写入规划设计条件，作为划拨决定书或土地出让合同的附件。</w:t>
      </w:r>
    </w:p>
    <w:p>
      <w:pPr>
        <w:ind w:left="0" w:leftChars="0" w:right="0" w:rightChars="0" w:firstLine="480"/>
      </w:pPr>
      <w:r>
        <w:rPr>
          <w:rFonts w:hint="eastAsia"/>
        </w:rPr>
        <w:t>（2）自然资源主管部门在核发建设工程规划许可证时，由建设单位提供绿色建筑设计说明（绿色建筑设计说明应符合土地出让合同中有关绿色建筑要求），在规划报建图标注绿色建筑的位置；根据规划设计条件、出让合同等对方案做形式审查，在建设工程规划许可备注中明确绿色建筑相关信息。</w:t>
      </w:r>
    </w:p>
    <w:p>
      <w:pPr>
        <w:ind w:left="0" w:leftChars="0" w:right="0" w:rightChars="0" w:firstLine="480"/>
      </w:pPr>
      <w:r>
        <w:rPr>
          <w:rFonts w:hint="eastAsia"/>
        </w:rPr>
        <w:t>（3）住房城乡建设主管部门对审图机构审查绿色建筑施工图专项设计进行指导、管理和监督，审图机构根据建设单位报审的文件，核对自然资源主管部门许可附图，明确绿色建筑面积是否符合规划许可要求。</w:t>
      </w:r>
    </w:p>
    <w:p>
      <w:pPr>
        <w:ind w:left="0" w:leftChars="0" w:right="0" w:rightChars="0" w:firstLine="480"/>
      </w:pPr>
      <w:r>
        <w:rPr>
          <w:rFonts w:hint="eastAsia"/>
        </w:rPr>
        <w:t>（4）住房城乡建设主管部门在核发建设工程施工许可时，应将审图机构的绿色建筑专项审查意见作为重点参考依据之一。</w:t>
      </w:r>
    </w:p>
    <w:p>
      <w:pPr>
        <w:ind w:left="0" w:leftChars="0" w:right="0" w:rightChars="0" w:firstLine="480"/>
      </w:pPr>
      <w:r>
        <w:rPr>
          <w:rFonts w:hint="eastAsia"/>
        </w:rPr>
        <w:t>（5）住房城乡建设主管部门对监理企业审查绿色建筑施工专项方案进行指导、管理和监督，对绿色建筑竣工验收进行监督管理，对承诺实施绿色建筑的建设项目进行监督管理。</w:t>
      </w:r>
    </w:p>
    <w:p>
      <w:pPr>
        <w:pStyle w:val="2"/>
        <w:keepLines w:val="0"/>
        <w:pageBreakBefore/>
        <w:numPr>
          <w:ilvl w:val="0"/>
          <w:numId w:val="12"/>
        </w:numPr>
        <w:spacing w:line="360" w:lineRule="auto"/>
        <w:ind w:left="0" w:leftChars="0" w:right="0" w:rightChars="0" w:firstLine="0" w:firstLineChars="0"/>
        <w:jc w:val="center"/>
        <w:rPr>
          <w:rFonts w:ascii="黑体" w:hAnsi="黑体" w:eastAsia="黑体"/>
          <w:sz w:val="36"/>
          <w:szCs w:val="32"/>
        </w:rPr>
      </w:pPr>
      <w:bookmarkStart w:id="60" w:name="_Toc117875472"/>
      <w:r>
        <w:rPr>
          <w:rFonts w:hint="eastAsia" w:ascii="黑体" w:hAnsi="黑体" w:eastAsia="黑体"/>
          <w:sz w:val="36"/>
          <w:szCs w:val="32"/>
        </w:rPr>
        <w:t>近期建设规划</w:t>
      </w:r>
      <w:bookmarkEnd w:id="60"/>
    </w:p>
    <w:p>
      <w:pPr>
        <w:ind w:left="0" w:leftChars="0" w:right="0" w:rightChars="0" w:firstLine="480"/>
      </w:pPr>
      <w:r>
        <w:rPr>
          <w:rFonts w:hint="eastAsia"/>
        </w:rPr>
        <w:t>本规划近期建设时序为2</w:t>
      </w:r>
      <w:r>
        <w:t>022</w:t>
      </w:r>
      <w:r>
        <w:rPr>
          <w:rFonts w:hint="eastAsia"/>
        </w:rPr>
        <w:t>-</w:t>
      </w:r>
      <w:r>
        <w:t>2025</w:t>
      </w:r>
      <w:r>
        <w:rPr>
          <w:rFonts w:hint="eastAsia"/>
        </w:rPr>
        <w:t>年，近期主要</w:t>
      </w:r>
      <w:r>
        <w:rPr>
          <w:szCs w:val="24"/>
        </w:rPr>
        <w:t>从</w:t>
      </w:r>
      <w:r>
        <w:rPr>
          <w:rFonts w:hint="eastAsia" w:cs="宋体" w:asciiTheme="minorEastAsia" w:hAnsiTheme="minorEastAsia" w:eastAsiaTheme="minorEastAsia"/>
          <w:bCs/>
          <w:color w:val="000000"/>
          <w:kern w:val="0"/>
          <w:szCs w:val="24"/>
        </w:rPr>
        <w:t>绿色建筑高质量发展、既有建筑绿色化改造、绿色技术推广应用</w:t>
      </w:r>
      <w:r>
        <w:rPr>
          <w:rFonts w:hint="eastAsia" w:cs="宋体" w:asciiTheme="minorEastAsia" w:hAnsiTheme="minorEastAsia" w:eastAsiaTheme="minorEastAsia"/>
          <w:bCs/>
          <w:color w:val="000000"/>
          <w:kern w:val="0"/>
          <w:szCs w:val="24"/>
          <w:lang w:val="en-US" w:eastAsia="zh-CN"/>
        </w:rPr>
        <w:t>等三</w:t>
      </w:r>
      <w:r>
        <w:rPr>
          <w:szCs w:val="24"/>
        </w:rPr>
        <w:t>个方面制定</w:t>
      </w:r>
      <w:r>
        <w:rPr>
          <w:rFonts w:hint="eastAsia"/>
          <w:szCs w:val="24"/>
          <w:lang w:val="en-US" w:eastAsia="zh-CN"/>
        </w:rPr>
        <w:t>13</w:t>
      </w:r>
      <w:r>
        <w:rPr>
          <w:rFonts w:hint="eastAsia"/>
          <w:szCs w:val="24"/>
        </w:rPr>
        <w:t>项主要工作</w:t>
      </w:r>
      <w:r>
        <w:rPr>
          <w:szCs w:val="24"/>
        </w:rPr>
        <w:t>（见</w:t>
      </w:r>
      <w:r>
        <w:rPr>
          <w:rFonts w:hint="eastAsia"/>
          <w:szCs w:val="24"/>
        </w:rPr>
        <w:t>下表</w:t>
      </w:r>
      <w:r>
        <w:rPr>
          <w:szCs w:val="24"/>
        </w:rPr>
        <w:t>）。</w:t>
      </w:r>
    </w:p>
    <w:p>
      <w:pPr>
        <w:numPr>
          <w:ilvl w:val="0"/>
          <w:numId w:val="46"/>
        </w:numPr>
        <w:ind w:leftChars="0" w:right="0" w:rightChars="0" w:firstLineChars="0"/>
        <w:jc w:val="center"/>
        <w:rPr>
          <w:b/>
          <w:szCs w:val="24"/>
        </w:rPr>
      </w:pPr>
      <w:r>
        <w:rPr>
          <w:rFonts w:hint="eastAsia"/>
          <w:b/>
          <w:szCs w:val="24"/>
        </w:rPr>
        <w:t>汕尾市近期主要工作</w:t>
      </w:r>
    </w:p>
    <w:tbl>
      <w:tblPr>
        <w:tblStyle w:val="39"/>
        <w:tblW w:w="49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1774"/>
        <w:gridCol w:w="2166"/>
        <w:gridCol w:w="3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blHeader/>
        </w:trPr>
        <w:tc>
          <w:tcPr>
            <w:tcW w:w="1930" w:type="pct"/>
            <w:gridSpan w:val="2"/>
            <w:shd w:val="clear" w:color="auto" w:fill="auto"/>
            <w:vAlign w:val="center"/>
          </w:tcPr>
          <w:p>
            <w:pPr>
              <w:widowControl/>
              <w:spacing w:line="240" w:lineRule="auto"/>
              <w:ind w:left="0" w:leftChars="0" w:right="0" w:rightChars="0" w:firstLine="0" w:firstLineChars="0"/>
              <w:jc w:val="center"/>
              <w:rPr>
                <w:rFonts w:asciiTheme="minorEastAsia" w:hAnsiTheme="minorEastAsia" w:eastAsiaTheme="minorEastAsia"/>
                <w:b/>
                <w:color w:val="000000"/>
                <w:kern w:val="0"/>
                <w:szCs w:val="24"/>
              </w:rPr>
            </w:pPr>
            <w:r>
              <w:rPr>
                <w:rFonts w:hint="eastAsia" w:asciiTheme="minorEastAsia" w:hAnsiTheme="minorEastAsia" w:eastAsiaTheme="minorEastAsia"/>
                <w:b/>
                <w:color w:val="000000"/>
                <w:kern w:val="0"/>
                <w:szCs w:val="24"/>
              </w:rPr>
              <w:t>工作内容</w:t>
            </w:r>
          </w:p>
        </w:tc>
        <w:tc>
          <w:tcPr>
            <w:tcW w:w="1248"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b/>
                <w:bCs/>
                <w:color w:val="000000"/>
                <w:kern w:val="0"/>
                <w:szCs w:val="24"/>
              </w:rPr>
            </w:pPr>
            <w:r>
              <w:rPr>
                <w:rFonts w:hint="eastAsia" w:cs="宋体" w:asciiTheme="minorEastAsia" w:hAnsiTheme="minorEastAsia" w:eastAsiaTheme="minorEastAsia"/>
                <w:b/>
                <w:bCs/>
                <w:color w:val="000000"/>
                <w:kern w:val="0"/>
                <w:szCs w:val="24"/>
              </w:rPr>
              <w:t>完成时间</w:t>
            </w:r>
          </w:p>
        </w:tc>
        <w:tc>
          <w:tcPr>
            <w:tcW w:w="1821"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b/>
                <w:bCs/>
                <w:color w:val="000000"/>
                <w:kern w:val="0"/>
                <w:szCs w:val="24"/>
              </w:rPr>
            </w:pPr>
            <w:r>
              <w:rPr>
                <w:rFonts w:hint="eastAsia" w:cs="宋体" w:asciiTheme="minorEastAsia" w:hAnsiTheme="minorEastAsia" w:eastAsiaTheme="minorEastAsia"/>
                <w:b/>
                <w:bCs/>
                <w:color w:val="000000"/>
                <w:kern w:val="0"/>
                <w:szCs w:val="24"/>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908" w:type="pct"/>
            <w:vMerge w:val="restar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bCs/>
                <w:color w:val="000000"/>
                <w:kern w:val="0"/>
                <w:szCs w:val="24"/>
              </w:rPr>
            </w:pPr>
            <w:r>
              <w:rPr>
                <w:rFonts w:hint="eastAsia" w:cs="宋体" w:asciiTheme="minorEastAsia" w:hAnsiTheme="minorEastAsia" w:eastAsiaTheme="minorEastAsia"/>
                <w:bCs/>
                <w:color w:val="000000"/>
                <w:kern w:val="0"/>
                <w:szCs w:val="24"/>
              </w:rPr>
              <w:t>绿色建筑高质量发展</w:t>
            </w:r>
          </w:p>
        </w:tc>
        <w:tc>
          <w:tcPr>
            <w:tcW w:w="1022" w:type="pct"/>
            <w:vMerge w:val="restar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中心城区带动、多点支撑发展格局</w:t>
            </w:r>
          </w:p>
        </w:tc>
        <w:tc>
          <w:tcPr>
            <w:tcW w:w="1248" w:type="pct"/>
            <w:shd w:val="clear" w:color="auto" w:fill="auto"/>
            <w:vAlign w:val="center"/>
          </w:tcPr>
          <w:p>
            <w:pPr>
              <w:widowControl/>
              <w:spacing w:line="240" w:lineRule="auto"/>
              <w:ind w:left="0" w:leftChars="0" w:right="0" w:rightChars="0" w:firstLine="0" w:firstLineChars="0"/>
              <w:jc w:val="center"/>
              <w:rPr>
                <w:rFonts w:asciiTheme="minorEastAsia" w:hAnsiTheme="minorEastAsia" w:eastAsiaTheme="minorEastAsia"/>
                <w:color w:val="000000"/>
                <w:kern w:val="0"/>
                <w:szCs w:val="24"/>
              </w:rPr>
            </w:pPr>
            <w:r>
              <w:rPr>
                <w:rFonts w:asciiTheme="minorEastAsia" w:hAnsiTheme="minorEastAsia" w:eastAsiaTheme="minorEastAsia"/>
                <w:color w:val="000000"/>
                <w:kern w:val="0"/>
                <w:szCs w:val="24"/>
              </w:rPr>
              <w:t>2022</w:t>
            </w:r>
            <w:r>
              <w:rPr>
                <w:rFonts w:hint="eastAsia" w:asciiTheme="minorEastAsia" w:hAnsiTheme="minorEastAsia" w:eastAsiaTheme="minorEastAsia"/>
                <w:color w:val="000000"/>
                <w:kern w:val="0"/>
                <w:szCs w:val="24"/>
              </w:rPr>
              <w:t>年</w:t>
            </w:r>
          </w:p>
        </w:tc>
        <w:tc>
          <w:tcPr>
            <w:tcW w:w="1821" w:type="pct"/>
            <w:shd w:val="clear" w:color="auto" w:fill="auto"/>
            <w:vAlign w:val="center"/>
          </w:tcPr>
          <w:p>
            <w:pPr>
              <w:widowControl/>
              <w:spacing w:line="240" w:lineRule="auto"/>
              <w:ind w:left="0" w:leftChars="0" w:right="0" w:rightChars="0" w:firstLine="0" w:firstLineChars="0"/>
              <w:jc w:val="center"/>
              <w:rPr>
                <w:rFonts w:hint="eastAsia" w:cs="宋体" w:asciiTheme="minorEastAsia" w:hAnsiTheme="minorEastAsia" w:eastAsiaTheme="minorEastAsia"/>
                <w:color w:val="000000"/>
                <w:kern w:val="0"/>
                <w:szCs w:val="24"/>
                <w:lang w:eastAsia="zh-CN"/>
              </w:rPr>
            </w:pPr>
            <w:r>
              <w:rPr>
                <w:rFonts w:hint="eastAsia" w:cs="宋体" w:asciiTheme="minorEastAsia" w:hAnsiTheme="minorEastAsia" w:eastAsiaTheme="minorEastAsia"/>
                <w:color w:val="000000"/>
                <w:kern w:val="0"/>
                <w:szCs w:val="24"/>
              </w:rPr>
              <w:t>发布</w:t>
            </w:r>
            <w:r>
              <w:rPr>
                <w:rFonts w:hint="eastAsia" w:cs="宋体" w:asciiTheme="minorEastAsia" w:hAnsiTheme="minorEastAsia" w:eastAsiaTheme="minorEastAsia"/>
                <w:color w:val="000000"/>
                <w:kern w:val="0"/>
                <w:szCs w:val="24"/>
                <w:lang w:eastAsia="zh-CN"/>
              </w:rPr>
              <w:t>《汕尾市绿色建筑发展专项规划（</w:t>
            </w:r>
            <w:r>
              <w:rPr>
                <w:rFonts w:hint="eastAsia" w:cs="宋体" w:asciiTheme="minorEastAsia" w:hAnsiTheme="minorEastAsia" w:eastAsiaTheme="minorEastAsia"/>
                <w:color w:val="000000"/>
                <w:kern w:val="0"/>
                <w:szCs w:val="24"/>
                <w:lang w:val="en-US" w:eastAsia="zh-CN"/>
              </w:rPr>
              <w:t>2022-2035年</w:t>
            </w:r>
            <w:r>
              <w:rPr>
                <w:rFonts w:hint="eastAsia" w:cs="宋体" w:asciiTheme="minorEastAsia" w:hAnsiTheme="minorEastAsia" w:eastAsiaTheme="minorEastAsia"/>
                <w:color w:val="000000"/>
                <w:kern w:val="0"/>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08" w:type="pct"/>
            <w:vMerge w:val="continue"/>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bCs/>
                <w:color w:val="000000"/>
                <w:kern w:val="0"/>
                <w:szCs w:val="24"/>
              </w:rPr>
            </w:pPr>
          </w:p>
        </w:tc>
        <w:tc>
          <w:tcPr>
            <w:tcW w:w="1022" w:type="pct"/>
            <w:vMerge w:val="continue"/>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p>
        </w:tc>
        <w:tc>
          <w:tcPr>
            <w:tcW w:w="1248" w:type="pct"/>
            <w:shd w:val="clear" w:color="auto" w:fill="auto"/>
            <w:vAlign w:val="center"/>
          </w:tcPr>
          <w:p>
            <w:pPr>
              <w:widowControl/>
              <w:spacing w:line="240" w:lineRule="auto"/>
              <w:ind w:left="0" w:leftChars="0" w:right="0" w:rightChars="0" w:firstLine="0" w:firstLineChars="0"/>
              <w:jc w:val="center"/>
              <w:rPr>
                <w:rFonts w:asciiTheme="minorEastAsia" w:hAnsiTheme="minorEastAsia" w:eastAsiaTheme="minorEastAsia"/>
                <w:color w:val="000000"/>
                <w:kern w:val="0"/>
                <w:szCs w:val="24"/>
              </w:rPr>
            </w:pPr>
            <w:r>
              <w:rPr>
                <w:rFonts w:asciiTheme="minorEastAsia" w:hAnsiTheme="minorEastAsia" w:eastAsiaTheme="minorEastAsia"/>
                <w:color w:val="000000"/>
                <w:kern w:val="0"/>
                <w:szCs w:val="24"/>
              </w:rPr>
              <w:t>2023</w:t>
            </w:r>
            <w:r>
              <w:rPr>
                <w:rFonts w:hint="eastAsia" w:asciiTheme="minorEastAsia" w:hAnsiTheme="minorEastAsia" w:eastAsiaTheme="minorEastAsia"/>
                <w:color w:val="000000"/>
                <w:kern w:val="0"/>
                <w:szCs w:val="24"/>
              </w:rPr>
              <w:t>年</w:t>
            </w:r>
          </w:p>
        </w:tc>
        <w:tc>
          <w:tcPr>
            <w:tcW w:w="1821"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lang w:val="en-US" w:eastAsia="zh-CN"/>
              </w:rPr>
              <w:t>制定</w:t>
            </w:r>
            <w:r>
              <w:rPr>
                <w:rFonts w:hint="eastAsia" w:cs="宋体" w:asciiTheme="minorEastAsia" w:hAnsiTheme="minorEastAsia" w:eastAsiaTheme="minorEastAsia"/>
                <w:color w:val="000000"/>
                <w:kern w:val="0"/>
                <w:szCs w:val="24"/>
              </w:rPr>
              <w:t>并落实绿色建筑</w:t>
            </w:r>
            <w:r>
              <w:rPr>
                <w:rFonts w:hint="eastAsia" w:cs="宋体" w:asciiTheme="minorEastAsia" w:hAnsiTheme="minorEastAsia" w:eastAsiaTheme="minorEastAsia"/>
                <w:color w:val="000000"/>
                <w:kern w:val="0"/>
                <w:szCs w:val="24"/>
                <w:lang w:val="en-US" w:eastAsia="zh-CN"/>
              </w:rPr>
              <w:t>发展配套</w:t>
            </w:r>
            <w:r>
              <w:rPr>
                <w:rFonts w:hint="eastAsia" w:cs="宋体" w:asciiTheme="minorEastAsia" w:hAnsiTheme="minorEastAsia" w:eastAsiaTheme="minorEastAsia"/>
                <w:color w:val="000000"/>
                <w:kern w:val="0"/>
                <w:szCs w:val="24"/>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trPr>
        <w:tc>
          <w:tcPr>
            <w:tcW w:w="908" w:type="pct"/>
            <w:vMerge w:val="continue"/>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bCs/>
                <w:color w:val="000000"/>
                <w:kern w:val="0"/>
                <w:szCs w:val="24"/>
              </w:rPr>
            </w:pPr>
          </w:p>
        </w:tc>
        <w:tc>
          <w:tcPr>
            <w:tcW w:w="1022" w:type="pct"/>
            <w:vMerge w:val="restar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全过程管控</w:t>
            </w:r>
          </w:p>
        </w:tc>
        <w:tc>
          <w:tcPr>
            <w:tcW w:w="1248" w:type="pct"/>
            <w:shd w:val="clear" w:color="auto" w:fill="auto"/>
            <w:vAlign w:val="center"/>
          </w:tcPr>
          <w:p>
            <w:pPr>
              <w:widowControl/>
              <w:spacing w:line="240" w:lineRule="auto"/>
              <w:ind w:left="0" w:leftChars="0" w:right="0" w:rightChars="0" w:firstLine="0" w:firstLineChars="0"/>
              <w:jc w:val="center"/>
              <w:rPr>
                <w:rFonts w:asciiTheme="minorEastAsia" w:hAnsiTheme="minorEastAsia" w:eastAsiaTheme="minorEastAsia"/>
                <w:color w:val="000000"/>
                <w:kern w:val="0"/>
                <w:szCs w:val="24"/>
              </w:rPr>
            </w:pPr>
            <w:r>
              <w:rPr>
                <w:rFonts w:asciiTheme="minorEastAsia" w:hAnsiTheme="minorEastAsia" w:eastAsiaTheme="minorEastAsia"/>
                <w:color w:val="000000"/>
                <w:kern w:val="0"/>
                <w:szCs w:val="24"/>
              </w:rPr>
              <w:t>2022</w:t>
            </w:r>
            <w:r>
              <w:rPr>
                <w:rFonts w:hint="eastAsia" w:asciiTheme="minorEastAsia" w:hAnsiTheme="minorEastAsia" w:eastAsiaTheme="minorEastAsia"/>
                <w:color w:val="000000"/>
                <w:kern w:val="0"/>
                <w:szCs w:val="24"/>
              </w:rPr>
              <w:t>年</w:t>
            </w:r>
          </w:p>
        </w:tc>
        <w:tc>
          <w:tcPr>
            <w:tcW w:w="1821" w:type="pct"/>
            <w:shd w:val="clear" w:color="auto" w:fill="auto"/>
            <w:vAlign w:val="center"/>
          </w:tcPr>
          <w:p>
            <w:pPr>
              <w:widowControl/>
              <w:spacing w:line="240" w:lineRule="auto"/>
              <w:ind w:left="0" w:leftChars="0" w:right="0" w:rightChars="0" w:firstLine="0" w:firstLineChars="0"/>
              <w:jc w:val="center"/>
              <w:rPr>
                <w:rFonts w:hint="eastAsia" w:cs="宋体" w:asciiTheme="minorEastAsia" w:hAnsiTheme="minorEastAsia" w:eastAsiaTheme="minorEastAsia"/>
                <w:color w:val="000000"/>
                <w:kern w:val="0"/>
                <w:szCs w:val="24"/>
                <w:lang w:val="en-US" w:eastAsia="zh-CN"/>
              </w:rPr>
            </w:pPr>
            <w:r>
              <w:rPr>
                <w:rFonts w:hint="eastAsia" w:cs="宋体" w:asciiTheme="minorEastAsia" w:hAnsiTheme="minorEastAsia" w:eastAsiaTheme="minorEastAsia"/>
                <w:color w:val="000000"/>
                <w:kern w:val="0"/>
                <w:szCs w:val="24"/>
              </w:rPr>
              <w:t>建立规划衔接机制，落实绿色建筑</w:t>
            </w:r>
            <w:r>
              <w:rPr>
                <w:rFonts w:hint="eastAsia" w:cs="宋体" w:asciiTheme="minorEastAsia" w:hAnsiTheme="minorEastAsia" w:eastAsiaTheme="minorEastAsia"/>
                <w:color w:val="000000"/>
                <w:kern w:val="0"/>
                <w:szCs w:val="24"/>
                <w:lang w:val="en-US" w:eastAsia="zh-CN"/>
              </w:rPr>
              <w:t>要求</w:t>
            </w:r>
            <w:r>
              <w:rPr>
                <w:rFonts w:hint="eastAsia" w:cs="宋体" w:asciiTheme="minorEastAsia" w:hAnsiTheme="minorEastAsia" w:eastAsiaTheme="minorEastAsia"/>
                <w:color w:val="000000"/>
                <w:kern w:val="0"/>
                <w:szCs w:val="24"/>
              </w:rPr>
              <w:t>纳入规划用地条件</w:t>
            </w:r>
            <w:r>
              <w:rPr>
                <w:rFonts w:hint="eastAsia" w:cs="宋体" w:asciiTheme="minorEastAsia" w:hAnsiTheme="minorEastAsia" w:eastAsiaTheme="minorEastAsia"/>
                <w:color w:val="000000"/>
                <w:kern w:val="0"/>
                <w:szCs w:val="24"/>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908" w:type="pct"/>
            <w:vMerge w:val="continue"/>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bCs/>
                <w:color w:val="000000"/>
                <w:kern w:val="0"/>
                <w:szCs w:val="24"/>
              </w:rPr>
            </w:pPr>
          </w:p>
        </w:tc>
        <w:tc>
          <w:tcPr>
            <w:tcW w:w="1022" w:type="pct"/>
            <w:vMerge w:val="continue"/>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p>
        </w:tc>
        <w:tc>
          <w:tcPr>
            <w:tcW w:w="1248" w:type="pct"/>
            <w:shd w:val="clear" w:color="auto" w:fill="auto"/>
            <w:vAlign w:val="center"/>
          </w:tcPr>
          <w:p>
            <w:pPr>
              <w:widowControl/>
              <w:spacing w:line="240" w:lineRule="auto"/>
              <w:ind w:left="0" w:leftChars="0" w:right="0" w:rightChars="0" w:firstLine="0" w:firstLineChars="0"/>
              <w:jc w:val="center"/>
              <w:rPr>
                <w:rFonts w:asciiTheme="minorEastAsia" w:hAnsiTheme="minorEastAsia" w:eastAsiaTheme="minorEastAsia"/>
                <w:color w:val="000000"/>
                <w:kern w:val="0"/>
                <w:szCs w:val="24"/>
              </w:rPr>
            </w:pPr>
            <w:r>
              <w:rPr>
                <w:rFonts w:asciiTheme="minorEastAsia" w:hAnsiTheme="minorEastAsia" w:eastAsiaTheme="minorEastAsia"/>
                <w:color w:val="000000"/>
                <w:kern w:val="0"/>
                <w:szCs w:val="24"/>
              </w:rPr>
              <w:t>2023</w:t>
            </w:r>
            <w:r>
              <w:rPr>
                <w:rFonts w:hint="eastAsia" w:asciiTheme="minorEastAsia" w:hAnsiTheme="minorEastAsia" w:eastAsiaTheme="minorEastAsia"/>
                <w:color w:val="000000"/>
                <w:kern w:val="0"/>
                <w:szCs w:val="24"/>
              </w:rPr>
              <w:t>年</w:t>
            </w:r>
          </w:p>
        </w:tc>
        <w:tc>
          <w:tcPr>
            <w:tcW w:w="1821"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组织编写绿色建筑验收技术文件，</w:t>
            </w:r>
            <w:r>
              <w:rPr>
                <w:rFonts w:hint="eastAsia" w:cs="宋体" w:asciiTheme="minorEastAsia" w:hAnsiTheme="minorEastAsia" w:eastAsiaTheme="minorEastAsia"/>
                <w:color w:val="000000"/>
                <w:kern w:val="0"/>
                <w:szCs w:val="24"/>
                <w:lang w:val="en-US" w:eastAsia="zh-CN"/>
              </w:rPr>
              <w:t>规范</w:t>
            </w:r>
            <w:r>
              <w:rPr>
                <w:rFonts w:hint="eastAsia" w:cs="宋体" w:asciiTheme="minorEastAsia" w:hAnsiTheme="minorEastAsia" w:eastAsiaTheme="minorEastAsia"/>
                <w:color w:val="000000"/>
                <w:kern w:val="0"/>
                <w:szCs w:val="24"/>
              </w:rPr>
              <w:t>绿色建筑验收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908" w:type="pct"/>
            <w:vMerge w:val="continue"/>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bCs/>
                <w:color w:val="000000"/>
                <w:kern w:val="0"/>
                <w:szCs w:val="24"/>
              </w:rPr>
            </w:pPr>
          </w:p>
        </w:tc>
        <w:tc>
          <w:tcPr>
            <w:tcW w:w="1022" w:type="pct"/>
            <w:vMerge w:val="continue"/>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p>
        </w:tc>
        <w:tc>
          <w:tcPr>
            <w:tcW w:w="1248" w:type="pct"/>
            <w:shd w:val="clear" w:color="auto" w:fill="auto"/>
            <w:vAlign w:val="center"/>
          </w:tcPr>
          <w:p>
            <w:pPr>
              <w:widowControl/>
              <w:spacing w:line="240" w:lineRule="auto"/>
              <w:ind w:left="0" w:leftChars="0" w:right="0" w:rightChars="0" w:firstLine="0" w:firstLineChars="0"/>
              <w:jc w:val="center"/>
              <w:rPr>
                <w:rFonts w:asciiTheme="minorEastAsia" w:hAnsiTheme="minorEastAsia" w:eastAsiaTheme="minorEastAsia"/>
                <w:color w:val="000000"/>
                <w:kern w:val="0"/>
                <w:szCs w:val="24"/>
              </w:rPr>
            </w:pPr>
            <w:r>
              <w:rPr>
                <w:rFonts w:asciiTheme="minorEastAsia" w:hAnsiTheme="minorEastAsia" w:eastAsiaTheme="minorEastAsia"/>
                <w:color w:val="000000"/>
                <w:kern w:val="0"/>
                <w:szCs w:val="24"/>
              </w:rPr>
              <w:t>202</w:t>
            </w:r>
            <w:r>
              <w:rPr>
                <w:rFonts w:hint="eastAsia" w:asciiTheme="minorEastAsia" w:hAnsiTheme="minorEastAsia" w:eastAsiaTheme="minorEastAsia"/>
                <w:color w:val="000000"/>
                <w:kern w:val="0"/>
                <w:szCs w:val="24"/>
                <w:lang w:val="en-US" w:eastAsia="zh-CN"/>
              </w:rPr>
              <w:t>4</w:t>
            </w:r>
            <w:r>
              <w:rPr>
                <w:rFonts w:hint="eastAsia" w:asciiTheme="minorEastAsia" w:hAnsiTheme="minorEastAsia" w:eastAsiaTheme="minorEastAsia"/>
                <w:color w:val="000000"/>
                <w:kern w:val="0"/>
                <w:szCs w:val="24"/>
              </w:rPr>
              <w:t>年</w:t>
            </w:r>
          </w:p>
        </w:tc>
        <w:tc>
          <w:tcPr>
            <w:tcW w:w="1821"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绿色建筑使用后评估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908" w:type="pct"/>
            <w:vMerge w:val="restar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bCs/>
                <w:color w:val="000000"/>
                <w:kern w:val="0"/>
                <w:szCs w:val="24"/>
              </w:rPr>
            </w:pPr>
            <w:r>
              <w:rPr>
                <w:rFonts w:hint="eastAsia" w:cs="宋体" w:asciiTheme="minorEastAsia" w:hAnsiTheme="minorEastAsia" w:eastAsiaTheme="minorEastAsia"/>
                <w:bCs/>
                <w:color w:val="000000"/>
                <w:kern w:val="0"/>
                <w:szCs w:val="24"/>
              </w:rPr>
              <w:t>既有建筑绿色化改造</w:t>
            </w:r>
          </w:p>
        </w:tc>
        <w:tc>
          <w:tcPr>
            <w:tcW w:w="1022" w:type="pct"/>
            <w:vMerge w:val="restar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工作机制</w:t>
            </w:r>
          </w:p>
        </w:tc>
        <w:tc>
          <w:tcPr>
            <w:tcW w:w="1248" w:type="pct"/>
            <w:shd w:val="clear" w:color="auto" w:fill="auto"/>
            <w:vAlign w:val="center"/>
          </w:tcPr>
          <w:p>
            <w:pPr>
              <w:widowControl/>
              <w:spacing w:line="240" w:lineRule="auto"/>
              <w:ind w:left="0" w:leftChars="0" w:right="0" w:rightChars="0" w:firstLine="0" w:firstLineChars="0"/>
              <w:jc w:val="center"/>
              <w:rPr>
                <w:rFonts w:asciiTheme="minorEastAsia" w:hAnsiTheme="minorEastAsia" w:eastAsiaTheme="minorEastAsia"/>
                <w:color w:val="000000"/>
                <w:kern w:val="0"/>
                <w:szCs w:val="24"/>
              </w:rPr>
            </w:pPr>
            <w:r>
              <w:rPr>
                <w:rFonts w:asciiTheme="minorEastAsia" w:hAnsiTheme="minorEastAsia" w:eastAsiaTheme="minorEastAsia"/>
                <w:color w:val="000000"/>
                <w:kern w:val="0"/>
                <w:szCs w:val="24"/>
              </w:rPr>
              <w:t>202</w:t>
            </w:r>
            <w:r>
              <w:rPr>
                <w:rFonts w:hint="eastAsia" w:asciiTheme="minorEastAsia" w:hAnsiTheme="minorEastAsia" w:eastAsiaTheme="minorEastAsia"/>
                <w:color w:val="000000"/>
                <w:kern w:val="0"/>
                <w:szCs w:val="24"/>
                <w:lang w:val="en-US" w:eastAsia="zh-CN"/>
              </w:rPr>
              <w:t>3</w:t>
            </w:r>
            <w:r>
              <w:rPr>
                <w:rFonts w:hint="eastAsia" w:asciiTheme="minorEastAsia" w:hAnsiTheme="minorEastAsia" w:eastAsiaTheme="minorEastAsia"/>
                <w:color w:val="000000"/>
                <w:kern w:val="0"/>
                <w:szCs w:val="24"/>
              </w:rPr>
              <w:t>年</w:t>
            </w:r>
          </w:p>
        </w:tc>
        <w:tc>
          <w:tcPr>
            <w:tcW w:w="1821"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既有建筑摸底调查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908" w:type="pct"/>
            <w:vMerge w:val="continue"/>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bCs/>
                <w:color w:val="000000"/>
                <w:kern w:val="0"/>
                <w:szCs w:val="24"/>
              </w:rPr>
            </w:pPr>
          </w:p>
        </w:tc>
        <w:tc>
          <w:tcPr>
            <w:tcW w:w="1022" w:type="pct"/>
            <w:vMerge w:val="continue"/>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p>
        </w:tc>
        <w:tc>
          <w:tcPr>
            <w:tcW w:w="1248" w:type="pct"/>
            <w:shd w:val="clear" w:color="auto" w:fill="auto"/>
            <w:vAlign w:val="center"/>
          </w:tcPr>
          <w:p>
            <w:pPr>
              <w:widowControl/>
              <w:spacing w:line="240" w:lineRule="auto"/>
              <w:ind w:left="0" w:leftChars="0" w:right="0" w:rightChars="0" w:firstLine="0" w:firstLineChars="0"/>
              <w:jc w:val="center"/>
              <w:rPr>
                <w:rFonts w:asciiTheme="minorEastAsia" w:hAnsiTheme="minorEastAsia" w:eastAsiaTheme="minorEastAsia"/>
                <w:color w:val="000000"/>
                <w:kern w:val="0"/>
                <w:szCs w:val="24"/>
              </w:rPr>
            </w:pPr>
            <w:r>
              <w:rPr>
                <w:rFonts w:asciiTheme="minorEastAsia" w:hAnsiTheme="minorEastAsia" w:eastAsiaTheme="minorEastAsia"/>
                <w:color w:val="000000"/>
                <w:kern w:val="0"/>
                <w:szCs w:val="24"/>
              </w:rPr>
              <w:t>2023</w:t>
            </w:r>
            <w:r>
              <w:rPr>
                <w:rFonts w:hint="eastAsia" w:asciiTheme="minorEastAsia" w:hAnsiTheme="minorEastAsia" w:eastAsiaTheme="minorEastAsia"/>
                <w:color w:val="000000"/>
                <w:kern w:val="0"/>
                <w:szCs w:val="24"/>
              </w:rPr>
              <w:t>年</w:t>
            </w:r>
          </w:p>
        </w:tc>
        <w:tc>
          <w:tcPr>
            <w:tcW w:w="1821"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lang w:val="en-US" w:eastAsia="zh-CN"/>
              </w:rPr>
              <w:t>制定既有建筑</w:t>
            </w:r>
            <w:r>
              <w:rPr>
                <w:rFonts w:hint="eastAsia" w:cs="宋体" w:asciiTheme="minorEastAsia" w:hAnsiTheme="minorEastAsia" w:eastAsiaTheme="minorEastAsia"/>
                <w:color w:val="000000"/>
                <w:kern w:val="0"/>
                <w:szCs w:val="24"/>
              </w:rPr>
              <w:t>绿色化改造方案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908" w:type="pct"/>
            <w:vMerge w:val="continue"/>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bCs/>
                <w:color w:val="000000"/>
                <w:kern w:val="0"/>
                <w:szCs w:val="24"/>
              </w:rPr>
            </w:pPr>
          </w:p>
        </w:tc>
        <w:tc>
          <w:tcPr>
            <w:tcW w:w="1022"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居住建筑</w:t>
            </w:r>
          </w:p>
        </w:tc>
        <w:tc>
          <w:tcPr>
            <w:tcW w:w="1248" w:type="pct"/>
            <w:shd w:val="clear" w:color="auto" w:fill="auto"/>
            <w:vAlign w:val="center"/>
          </w:tcPr>
          <w:p>
            <w:pPr>
              <w:widowControl/>
              <w:spacing w:line="240" w:lineRule="auto"/>
              <w:ind w:left="0" w:leftChars="0" w:right="0" w:rightChars="0" w:firstLine="0" w:firstLineChars="0"/>
              <w:jc w:val="center"/>
              <w:rPr>
                <w:rFonts w:asciiTheme="minorEastAsia" w:hAnsiTheme="minorEastAsia" w:eastAsiaTheme="minorEastAsia"/>
                <w:color w:val="000000"/>
                <w:kern w:val="0"/>
                <w:szCs w:val="24"/>
              </w:rPr>
            </w:pPr>
            <w:r>
              <w:rPr>
                <w:rFonts w:asciiTheme="minorEastAsia" w:hAnsiTheme="minorEastAsia" w:eastAsiaTheme="minorEastAsia"/>
                <w:color w:val="000000"/>
                <w:kern w:val="0"/>
                <w:szCs w:val="24"/>
              </w:rPr>
              <w:t>2023</w:t>
            </w:r>
            <w:r>
              <w:rPr>
                <w:rFonts w:hint="eastAsia" w:asciiTheme="minorEastAsia" w:hAnsiTheme="minorEastAsia" w:eastAsiaTheme="minorEastAsia"/>
                <w:color w:val="000000"/>
                <w:kern w:val="0"/>
                <w:szCs w:val="24"/>
              </w:rPr>
              <w:t>年</w:t>
            </w:r>
          </w:p>
        </w:tc>
        <w:tc>
          <w:tcPr>
            <w:tcW w:w="1821" w:type="pct"/>
            <w:shd w:val="clear" w:color="auto" w:fill="auto"/>
            <w:vAlign w:val="center"/>
          </w:tcPr>
          <w:p>
            <w:pPr>
              <w:widowControl/>
              <w:spacing w:line="240" w:lineRule="auto"/>
              <w:ind w:left="0" w:leftChars="0" w:right="0" w:rightChars="0" w:firstLine="0" w:firstLineChars="0"/>
              <w:jc w:val="center"/>
              <w:rPr>
                <w:rFonts w:hint="eastAsia" w:cs="宋体" w:asciiTheme="minorEastAsia" w:hAnsiTheme="minorEastAsia" w:eastAsiaTheme="minorEastAsia"/>
                <w:color w:val="000000"/>
                <w:kern w:val="0"/>
                <w:szCs w:val="24"/>
                <w:lang w:eastAsia="zh-CN"/>
              </w:rPr>
            </w:pPr>
            <w:r>
              <w:rPr>
                <w:rFonts w:hint="eastAsia" w:cs="宋体" w:asciiTheme="minorEastAsia" w:hAnsiTheme="minorEastAsia" w:eastAsiaTheme="minorEastAsia"/>
                <w:color w:val="000000"/>
                <w:kern w:val="0"/>
                <w:szCs w:val="24"/>
                <w:lang w:val="en-US" w:eastAsia="zh-CN"/>
              </w:rPr>
              <w:t>既有居住建筑</w:t>
            </w:r>
            <w:r>
              <w:rPr>
                <w:rFonts w:hint="eastAsia" w:cs="宋体" w:asciiTheme="minorEastAsia" w:hAnsiTheme="minorEastAsia" w:eastAsiaTheme="minorEastAsia"/>
                <w:color w:val="000000"/>
                <w:kern w:val="0"/>
                <w:szCs w:val="24"/>
              </w:rPr>
              <w:t>绿色化改造</w:t>
            </w:r>
            <w:r>
              <w:rPr>
                <w:rFonts w:hint="eastAsia" w:cs="宋体" w:asciiTheme="minorEastAsia" w:hAnsiTheme="minorEastAsia" w:eastAsiaTheme="minorEastAsia"/>
                <w:color w:val="000000"/>
                <w:kern w:val="0"/>
                <w:szCs w:val="24"/>
                <w:lang w:val="en-US" w:eastAsia="zh-CN"/>
              </w:rPr>
              <w:t>试点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trPr>
        <w:tc>
          <w:tcPr>
            <w:tcW w:w="908" w:type="pct"/>
            <w:vMerge w:val="continue"/>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bCs/>
                <w:color w:val="000000"/>
                <w:kern w:val="0"/>
                <w:szCs w:val="24"/>
              </w:rPr>
            </w:pPr>
          </w:p>
        </w:tc>
        <w:tc>
          <w:tcPr>
            <w:tcW w:w="1022"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公共建筑</w:t>
            </w:r>
          </w:p>
        </w:tc>
        <w:tc>
          <w:tcPr>
            <w:tcW w:w="1248" w:type="pct"/>
            <w:shd w:val="clear" w:color="auto" w:fill="auto"/>
            <w:vAlign w:val="center"/>
          </w:tcPr>
          <w:p>
            <w:pPr>
              <w:widowControl/>
              <w:spacing w:line="240" w:lineRule="auto"/>
              <w:ind w:left="0" w:leftChars="0" w:right="0" w:rightChars="0" w:firstLine="0" w:firstLineChars="0"/>
              <w:jc w:val="center"/>
              <w:rPr>
                <w:rFonts w:asciiTheme="minorEastAsia" w:hAnsiTheme="minorEastAsia" w:eastAsiaTheme="minorEastAsia"/>
                <w:color w:val="000000"/>
                <w:kern w:val="0"/>
                <w:szCs w:val="24"/>
              </w:rPr>
            </w:pPr>
            <w:r>
              <w:rPr>
                <w:rFonts w:asciiTheme="minorEastAsia" w:hAnsiTheme="minorEastAsia" w:eastAsiaTheme="minorEastAsia"/>
                <w:color w:val="000000"/>
                <w:kern w:val="0"/>
                <w:szCs w:val="24"/>
              </w:rPr>
              <w:t>2023</w:t>
            </w:r>
            <w:r>
              <w:rPr>
                <w:rFonts w:hint="eastAsia" w:asciiTheme="minorEastAsia" w:hAnsiTheme="minorEastAsia" w:eastAsiaTheme="minorEastAsia"/>
                <w:color w:val="000000"/>
                <w:kern w:val="0"/>
                <w:szCs w:val="24"/>
              </w:rPr>
              <w:t>年</w:t>
            </w:r>
          </w:p>
        </w:tc>
        <w:tc>
          <w:tcPr>
            <w:tcW w:w="1821"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lang w:val="en-US" w:eastAsia="zh-CN"/>
              </w:rPr>
              <w:t>既有</w:t>
            </w:r>
            <w:r>
              <w:rPr>
                <w:rFonts w:hint="eastAsia" w:cs="宋体" w:asciiTheme="minorEastAsia" w:hAnsiTheme="minorEastAsia" w:eastAsiaTheme="minorEastAsia"/>
                <w:color w:val="000000"/>
                <w:kern w:val="0"/>
                <w:szCs w:val="24"/>
              </w:rPr>
              <w:t>公共建筑绿色化改造</w:t>
            </w:r>
            <w:r>
              <w:rPr>
                <w:rFonts w:hint="eastAsia" w:cs="宋体" w:asciiTheme="minorEastAsia" w:hAnsiTheme="minorEastAsia" w:eastAsiaTheme="minorEastAsia"/>
                <w:color w:val="000000"/>
                <w:kern w:val="0"/>
                <w:szCs w:val="24"/>
                <w:lang w:val="en-US" w:eastAsia="zh-CN"/>
              </w:rPr>
              <w:t>试点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908" w:type="pct"/>
            <w:vMerge w:val="restar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bCs/>
                <w:color w:val="000000"/>
                <w:kern w:val="0"/>
                <w:szCs w:val="24"/>
              </w:rPr>
            </w:pPr>
            <w:r>
              <w:rPr>
                <w:rFonts w:hint="eastAsia" w:cs="宋体" w:asciiTheme="minorEastAsia" w:hAnsiTheme="minorEastAsia" w:eastAsiaTheme="minorEastAsia"/>
                <w:bCs/>
                <w:color w:val="000000"/>
                <w:kern w:val="0"/>
                <w:szCs w:val="24"/>
              </w:rPr>
              <w:t>绿色技术推广应用</w:t>
            </w:r>
          </w:p>
        </w:tc>
        <w:tc>
          <w:tcPr>
            <w:tcW w:w="1022"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建筑节能</w:t>
            </w:r>
          </w:p>
        </w:tc>
        <w:tc>
          <w:tcPr>
            <w:tcW w:w="1248" w:type="pct"/>
            <w:shd w:val="clear" w:color="auto" w:fill="auto"/>
            <w:vAlign w:val="center"/>
          </w:tcPr>
          <w:p>
            <w:pPr>
              <w:widowControl/>
              <w:spacing w:line="240" w:lineRule="auto"/>
              <w:ind w:left="0" w:leftChars="0" w:right="0" w:rightChars="0" w:firstLine="0" w:firstLineChars="0"/>
              <w:jc w:val="center"/>
              <w:rPr>
                <w:rFonts w:asciiTheme="minorEastAsia" w:hAnsiTheme="minorEastAsia" w:eastAsiaTheme="minorEastAsia"/>
                <w:color w:val="000000"/>
                <w:kern w:val="0"/>
                <w:szCs w:val="24"/>
              </w:rPr>
            </w:pPr>
            <w:r>
              <w:rPr>
                <w:rFonts w:asciiTheme="minorEastAsia" w:hAnsiTheme="minorEastAsia" w:eastAsiaTheme="minorEastAsia"/>
                <w:color w:val="000000"/>
                <w:kern w:val="0"/>
                <w:szCs w:val="24"/>
              </w:rPr>
              <w:t>2024</w:t>
            </w:r>
            <w:r>
              <w:rPr>
                <w:rFonts w:hint="eastAsia" w:asciiTheme="minorEastAsia" w:hAnsiTheme="minorEastAsia" w:eastAsiaTheme="minorEastAsia"/>
                <w:color w:val="000000"/>
                <w:kern w:val="0"/>
                <w:szCs w:val="24"/>
              </w:rPr>
              <w:t>年</w:t>
            </w:r>
          </w:p>
        </w:tc>
        <w:tc>
          <w:tcPr>
            <w:tcW w:w="1821"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研究推广超低能耗建筑、近零能耗建筑应用实施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trPr>
        <w:tc>
          <w:tcPr>
            <w:tcW w:w="908" w:type="pct"/>
            <w:vMerge w:val="continue"/>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bCs/>
                <w:color w:val="000000"/>
                <w:kern w:val="0"/>
                <w:szCs w:val="24"/>
              </w:rPr>
            </w:pPr>
          </w:p>
        </w:tc>
        <w:tc>
          <w:tcPr>
            <w:tcW w:w="1022" w:type="pct"/>
            <w:vMerge w:val="restar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可再生能源</w:t>
            </w:r>
            <w:r>
              <w:rPr>
                <w:rFonts w:hint="eastAsia" w:asciiTheme="minorEastAsia" w:hAnsiTheme="minorEastAsia" w:eastAsiaTheme="minorEastAsia" w:cstheme="minorEastAsia"/>
              </w:rPr>
              <w:t>利用</w:t>
            </w:r>
          </w:p>
        </w:tc>
        <w:tc>
          <w:tcPr>
            <w:tcW w:w="1248" w:type="pct"/>
            <w:shd w:val="clear" w:color="auto" w:fill="auto"/>
            <w:vAlign w:val="center"/>
          </w:tcPr>
          <w:p>
            <w:pPr>
              <w:widowControl/>
              <w:spacing w:line="240" w:lineRule="auto"/>
              <w:ind w:left="0" w:leftChars="0" w:right="0" w:rightChars="0" w:firstLine="0" w:firstLineChars="0"/>
              <w:jc w:val="center"/>
              <w:rPr>
                <w:rFonts w:asciiTheme="minorEastAsia" w:hAnsiTheme="minorEastAsia" w:eastAsiaTheme="minorEastAsia"/>
                <w:color w:val="000000"/>
                <w:kern w:val="0"/>
                <w:szCs w:val="24"/>
              </w:rPr>
            </w:pPr>
            <w:r>
              <w:rPr>
                <w:rFonts w:asciiTheme="minorEastAsia" w:hAnsiTheme="minorEastAsia" w:eastAsiaTheme="minorEastAsia"/>
                <w:color w:val="000000"/>
                <w:kern w:val="0"/>
                <w:szCs w:val="24"/>
              </w:rPr>
              <w:t>202</w:t>
            </w:r>
            <w:r>
              <w:rPr>
                <w:rFonts w:hint="eastAsia" w:asciiTheme="minorEastAsia" w:hAnsiTheme="minorEastAsia" w:eastAsiaTheme="minorEastAsia"/>
                <w:color w:val="000000"/>
                <w:kern w:val="0"/>
                <w:szCs w:val="24"/>
                <w:lang w:val="en-US" w:eastAsia="zh-CN"/>
              </w:rPr>
              <w:t>5</w:t>
            </w:r>
            <w:r>
              <w:rPr>
                <w:rFonts w:hint="eastAsia" w:asciiTheme="minorEastAsia" w:hAnsiTheme="minorEastAsia" w:eastAsiaTheme="minorEastAsia"/>
                <w:color w:val="000000"/>
                <w:kern w:val="0"/>
                <w:szCs w:val="24"/>
              </w:rPr>
              <w:t>年</w:t>
            </w:r>
          </w:p>
        </w:tc>
        <w:tc>
          <w:tcPr>
            <w:tcW w:w="1821" w:type="pct"/>
            <w:shd w:val="clear" w:color="auto" w:fill="auto"/>
            <w:vAlign w:val="center"/>
          </w:tcPr>
          <w:p>
            <w:pPr>
              <w:widowControl/>
              <w:spacing w:line="240" w:lineRule="auto"/>
              <w:ind w:left="0" w:leftChars="0" w:right="0" w:rightChars="0" w:firstLine="0" w:firstLineChars="0"/>
              <w:jc w:val="center"/>
              <w:rPr>
                <w:rFonts w:hint="eastAsia" w:ascii="Times New Roman" w:hAnsi="Times New Roman" w:eastAsia="宋体" w:cs="Times New Roman"/>
                <w:kern w:val="2"/>
                <w:sz w:val="24"/>
                <w:lang w:val="en-US" w:eastAsia="zh-CN" w:bidi="ar-SA"/>
              </w:rPr>
            </w:pPr>
            <w:r>
              <w:rPr>
                <w:rFonts w:hint="eastAsia" w:asciiTheme="minorEastAsia" w:hAnsiTheme="minorEastAsia" w:eastAsiaTheme="minorEastAsia"/>
                <w:color w:val="000000"/>
                <w:kern w:val="0"/>
                <w:szCs w:val="24"/>
              </w:rPr>
              <w:t>既有光伏、光热建筑应用项目性能后评估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908" w:type="pct"/>
            <w:vMerge w:val="continue"/>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bCs/>
                <w:color w:val="000000"/>
                <w:kern w:val="0"/>
                <w:szCs w:val="24"/>
              </w:rPr>
            </w:pPr>
          </w:p>
        </w:tc>
        <w:tc>
          <w:tcPr>
            <w:tcW w:w="1022" w:type="pct"/>
            <w:vMerge w:val="continue"/>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p>
        </w:tc>
        <w:tc>
          <w:tcPr>
            <w:tcW w:w="1248" w:type="pct"/>
            <w:shd w:val="clear" w:color="auto" w:fill="auto"/>
            <w:vAlign w:val="center"/>
          </w:tcPr>
          <w:p>
            <w:pPr>
              <w:widowControl/>
              <w:spacing w:line="240" w:lineRule="auto"/>
              <w:ind w:left="0" w:leftChars="0" w:right="0" w:rightChars="0" w:firstLine="0" w:firstLineChars="0"/>
              <w:jc w:val="center"/>
              <w:rPr>
                <w:rFonts w:asciiTheme="minorEastAsia" w:hAnsiTheme="minorEastAsia" w:eastAsiaTheme="minorEastAsia"/>
                <w:color w:val="000000"/>
                <w:kern w:val="0"/>
                <w:szCs w:val="24"/>
              </w:rPr>
            </w:pPr>
            <w:r>
              <w:rPr>
                <w:rFonts w:asciiTheme="minorEastAsia" w:hAnsiTheme="minorEastAsia" w:eastAsiaTheme="minorEastAsia"/>
                <w:color w:val="000000"/>
                <w:kern w:val="0"/>
                <w:szCs w:val="24"/>
              </w:rPr>
              <w:t>2023</w:t>
            </w:r>
            <w:r>
              <w:rPr>
                <w:rFonts w:hint="eastAsia" w:asciiTheme="minorEastAsia" w:hAnsiTheme="minorEastAsia" w:eastAsiaTheme="minorEastAsia"/>
                <w:color w:val="000000"/>
                <w:kern w:val="0"/>
                <w:szCs w:val="24"/>
              </w:rPr>
              <w:t>年</w:t>
            </w:r>
          </w:p>
        </w:tc>
        <w:tc>
          <w:tcPr>
            <w:tcW w:w="1821" w:type="pct"/>
            <w:shd w:val="clear" w:color="auto" w:fill="auto"/>
            <w:vAlign w:val="center"/>
          </w:tcPr>
          <w:p>
            <w:pPr>
              <w:widowControl/>
              <w:spacing w:line="240" w:lineRule="auto"/>
              <w:ind w:left="0" w:leftChars="0" w:right="0" w:rightChars="0" w:firstLine="0" w:firstLineChars="0"/>
              <w:jc w:val="center"/>
              <w:rPr>
                <w:rFonts w:asciiTheme="minorEastAsia" w:hAnsiTheme="minorEastAsia" w:eastAsiaTheme="minorEastAsia"/>
                <w:color w:val="000000"/>
                <w:kern w:val="0"/>
                <w:szCs w:val="24"/>
              </w:rPr>
            </w:pPr>
            <w:r>
              <w:rPr>
                <w:rFonts w:hint="eastAsia" w:asciiTheme="minorEastAsia" w:hAnsiTheme="minorEastAsia" w:eastAsiaTheme="minorEastAsia"/>
                <w:color w:val="000000"/>
                <w:kern w:val="0"/>
                <w:szCs w:val="24"/>
              </w:rPr>
              <w:t>结合双碳工作与汕尾市实际，研究推进建筑领域可再生能源应用实施方案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08" w:type="pct"/>
            <w:vMerge w:val="continue"/>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bCs/>
                <w:color w:val="000000"/>
                <w:kern w:val="0"/>
                <w:szCs w:val="24"/>
              </w:rPr>
            </w:pPr>
          </w:p>
        </w:tc>
        <w:tc>
          <w:tcPr>
            <w:tcW w:w="1022"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绿色建材</w:t>
            </w:r>
          </w:p>
        </w:tc>
        <w:tc>
          <w:tcPr>
            <w:tcW w:w="1248" w:type="pct"/>
            <w:shd w:val="clear" w:color="auto" w:fill="auto"/>
            <w:vAlign w:val="center"/>
          </w:tcPr>
          <w:p>
            <w:pPr>
              <w:widowControl/>
              <w:spacing w:line="240" w:lineRule="auto"/>
              <w:ind w:left="0" w:leftChars="0" w:right="0" w:rightChars="0" w:firstLine="0" w:firstLineChars="0"/>
              <w:jc w:val="center"/>
              <w:rPr>
                <w:rFonts w:asciiTheme="minorEastAsia" w:hAnsiTheme="minorEastAsia" w:eastAsiaTheme="minorEastAsia"/>
                <w:color w:val="000000"/>
                <w:kern w:val="0"/>
                <w:szCs w:val="24"/>
              </w:rPr>
            </w:pPr>
            <w:r>
              <w:rPr>
                <w:rFonts w:asciiTheme="minorEastAsia" w:hAnsiTheme="minorEastAsia" w:eastAsiaTheme="minorEastAsia"/>
                <w:color w:val="000000"/>
                <w:kern w:val="0"/>
                <w:szCs w:val="24"/>
              </w:rPr>
              <w:t>2023</w:t>
            </w:r>
            <w:r>
              <w:rPr>
                <w:rFonts w:hint="eastAsia" w:asciiTheme="minorEastAsia" w:hAnsiTheme="minorEastAsia" w:eastAsiaTheme="minorEastAsia"/>
                <w:color w:val="000000"/>
                <w:kern w:val="0"/>
                <w:szCs w:val="24"/>
              </w:rPr>
              <w:t>年</w:t>
            </w:r>
          </w:p>
        </w:tc>
        <w:tc>
          <w:tcPr>
            <w:tcW w:w="1821" w:type="pct"/>
            <w:shd w:val="clear" w:color="auto" w:fill="auto"/>
            <w:vAlign w:val="center"/>
          </w:tcPr>
          <w:p>
            <w:pPr>
              <w:widowControl/>
              <w:spacing w:line="240" w:lineRule="auto"/>
              <w:ind w:left="0" w:leftChars="0" w:right="0" w:rightChars="0" w:firstLine="0" w:firstLineChars="0"/>
              <w:jc w:val="center"/>
              <w:rPr>
                <w:rFonts w:cs="宋体" w:asciiTheme="minorEastAsia" w:hAnsiTheme="minorEastAsia" w:eastAsiaTheme="minorEastAsia"/>
                <w:color w:val="000000"/>
                <w:kern w:val="0"/>
                <w:szCs w:val="24"/>
              </w:rPr>
            </w:pPr>
            <w:r>
              <w:rPr>
                <w:rFonts w:hint="eastAsia" w:cs="宋体" w:asciiTheme="minorEastAsia" w:hAnsiTheme="minorEastAsia" w:eastAsiaTheme="minorEastAsia"/>
                <w:color w:val="000000"/>
                <w:kern w:val="0"/>
                <w:szCs w:val="24"/>
              </w:rPr>
              <w:t>推动本地建材</w:t>
            </w:r>
            <w:r>
              <w:rPr>
                <w:rFonts w:hint="eastAsia" w:cs="宋体" w:asciiTheme="minorEastAsia" w:hAnsiTheme="minorEastAsia" w:eastAsiaTheme="minorEastAsia"/>
                <w:color w:val="000000"/>
                <w:kern w:val="0"/>
                <w:szCs w:val="24"/>
                <w:lang w:val="en-US" w:eastAsia="zh-CN"/>
              </w:rPr>
              <w:t>企业</w:t>
            </w:r>
            <w:r>
              <w:rPr>
                <w:rFonts w:hint="eastAsia" w:cs="宋体" w:asciiTheme="minorEastAsia" w:hAnsiTheme="minorEastAsia" w:eastAsiaTheme="minorEastAsia"/>
                <w:color w:val="000000"/>
                <w:kern w:val="0"/>
                <w:szCs w:val="24"/>
              </w:rPr>
              <w:t>申报绿色建材</w:t>
            </w:r>
          </w:p>
        </w:tc>
      </w:tr>
    </w:tbl>
    <w:p>
      <w:pPr>
        <w:pStyle w:val="2"/>
        <w:keepLines w:val="0"/>
        <w:pageBreakBefore/>
        <w:numPr>
          <w:ilvl w:val="0"/>
          <w:numId w:val="12"/>
        </w:numPr>
        <w:spacing w:line="360" w:lineRule="auto"/>
        <w:ind w:left="0" w:leftChars="0" w:right="0" w:rightChars="0" w:firstLine="0" w:firstLineChars="0"/>
        <w:jc w:val="center"/>
        <w:rPr>
          <w:rFonts w:ascii="黑体" w:hAnsi="黑体" w:eastAsia="黑体"/>
          <w:sz w:val="36"/>
          <w:szCs w:val="32"/>
        </w:rPr>
      </w:pPr>
      <w:bookmarkStart w:id="61" w:name="_Toc117875473"/>
      <w:r>
        <w:rPr>
          <w:rFonts w:hint="eastAsia" w:ascii="黑体" w:hAnsi="黑体" w:eastAsia="黑体"/>
          <w:sz w:val="36"/>
          <w:szCs w:val="32"/>
        </w:rPr>
        <w:t>规划保障措施</w:t>
      </w:r>
      <w:bookmarkEnd w:id="61"/>
    </w:p>
    <w:p>
      <w:pPr>
        <w:pStyle w:val="3"/>
        <w:numPr>
          <w:ilvl w:val="1"/>
          <w:numId w:val="47"/>
        </w:numPr>
        <w:spacing w:line="360" w:lineRule="auto"/>
        <w:ind w:leftChars="0" w:right="-84" w:rightChars="-35" w:firstLineChars="0"/>
        <w:rPr>
          <w:rFonts w:ascii="黑体" w:hAnsi="黑体"/>
          <w:szCs w:val="30"/>
        </w:rPr>
      </w:pPr>
      <w:bookmarkStart w:id="62" w:name="_Toc117875474"/>
      <w:r>
        <w:rPr>
          <w:rFonts w:ascii="黑体" w:hAnsi="黑体"/>
          <w:szCs w:val="30"/>
        </w:rPr>
        <w:t>加强组织领导，完善评价考核体系</w:t>
      </w:r>
      <w:bookmarkEnd w:id="62"/>
    </w:p>
    <w:p>
      <w:pPr>
        <w:ind w:left="0" w:leftChars="0" w:right="0" w:rightChars="0" w:firstLine="480"/>
        <w:rPr>
          <w:szCs w:val="24"/>
        </w:rPr>
      </w:pPr>
      <w:r>
        <w:rPr>
          <w:szCs w:val="24"/>
        </w:rPr>
        <w:t>建立组织领导体系。成立</w:t>
      </w:r>
      <w:r>
        <w:rPr>
          <w:rFonts w:hint="eastAsia"/>
          <w:szCs w:val="24"/>
        </w:rPr>
        <w:t>汕尾</w:t>
      </w:r>
      <w:r>
        <w:rPr>
          <w:szCs w:val="24"/>
        </w:rPr>
        <w:t>市推进绿色建筑发展工作领导小组，由市政府分管领导担任组长，住建、发改、科技、工信、财政、人社、自然资源、生态环境、交通运输、市场监督、市税务局、市人民银行中心支行以及银保监等部门负责人为成员</w:t>
      </w:r>
      <w:r>
        <w:rPr>
          <w:rFonts w:hint="eastAsia"/>
          <w:szCs w:val="24"/>
        </w:rPr>
        <w:t>，</w:t>
      </w:r>
      <w:r>
        <w:rPr>
          <w:szCs w:val="24"/>
        </w:rPr>
        <w:t>成员单位要各司其职，密切协作、形成合力</w:t>
      </w:r>
      <w:r>
        <w:rPr>
          <w:rFonts w:hint="eastAsia"/>
          <w:szCs w:val="24"/>
        </w:rPr>
        <w:t>，</w:t>
      </w:r>
      <w:r>
        <w:rPr>
          <w:szCs w:val="24"/>
        </w:rPr>
        <w:t>共同推进全市绿色建筑工作。各成员单位要按照职责明确分工（具体职责分工参照表10</w:t>
      </w:r>
      <w:r>
        <w:rPr>
          <w:rFonts w:hint="eastAsia"/>
          <w:szCs w:val="24"/>
        </w:rPr>
        <w:t>-</w:t>
      </w:r>
      <w:r>
        <w:rPr>
          <w:szCs w:val="24"/>
        </w:rPr>
        <w:t>1各部门职责分工表）。</w:t>
      </w:r>
    </w:p>
    <w:p>
      <w:pPr>
        <w:ind w:left="0" w:leftChars="0" w:right="0" w:rightChars="0" w:firstLine="480"/>
        <w:rPr>
          <w:szCs w:val="24"/>
        </w:rPr>
      </w:pPr>
      <w:r>
        <w:rPr>
          <w:rFonts w:hint="eastAsia"/>
          <w:szCs w:val="24"/>
          <w:lang w:val="en-US" w:eastAsia="zh-CN"/>
        </w:rPr>
        <w:t>领导</w:t>
      </w:r>
      <w:r>
        <w:rPr>
          <w:szCs w:val="24"/>
        </w:rPr>
        <w:t>小组办公室设在</w:t>
      </w:r>
      <w:r>
        <w:rPr>
          <w:rFonts w:hint="eastAsia"/>
          <w:szCs w:val="24"/>
        </w:rPr>
        <w:t>汕尾</w:t>
      </w:r>
      <w:r>
        <w:rPr>
          <w:szCs w:val="24"/>
        </w:rPr>
        <w:t>市住房和城乡建设局，负责</w:t>
      </w:r>
      <w:r>
        <w:rPr>
          <w:rFonts w:hint="eastAsia"/>
          <w:szCs w:val="24"/>
          <w:lang w:val="en-US" w:eastAsia="zh-CN"/>
        </w:rPr>
        <w:t>全市绿色建筑发展的</w:t>
      </w:r>
      <w:r>
        <w:rPr>
          <w:szCs w:val="24"/>
        </w:rPr>
        <w:t>日常工作，办公室主任由市住房和城乡建设局局长兼任。各县</w:t>
      </w:r>
      <w:r>
        <w:rPr>
          <w:rFonts w:hint="eastAsia"/>
          <w:szCs w:val="24"/>
        </w:rPr>
        <w:t>（市、</w:t>
      </w:r>
      <w:r>
        <w:rPr>
          <w:szCs w:val="24"/>
        </w:rPr>
        <w:t>区</w:t>
      </w:r>
      <w:r>
        <w:rPr>
          <w:rFonts w:hint="eastAsia"/>
          <w:szCs w:val="24"/>
        </w:rPr>
        <w:t>）</w:t>
      </w:r>
      <w:r>
        <w:rPr>
          <w:szCs w:val="24"/>
        </w:rPr>
        <w:t>人民政府</w:t>
      </w:r>
      <w:r>
        <w:rPr>
          <w:rFonts w:hint="eastAsia"/>
          <w:szCs w:val="24"/>
          <w:lang w:val="en-US" w:eastAsia="zh-CN"/>
        </w:rPr>
        <w:t>应</w:t>
      </w:r>
      <w:r>
        <w:rPr>
          <w:szCs w:val="24"/>
        </w:rPr>
        <w:t>建立健全工作机制，完善配套政策，组织具体实施，确保各项任务落到实处。政府相关部门</w:t>
      </w:r>
      <w:r>
        <w:rPr>
          <w:rFonts w:hint="eastAsia"/>
          <w:szCs w:val="24"/>
          <w:lang w:val="en-US" w:eastAsia="zh-CN"/>
        </w:rPr>
        <w:t>应</w:t>
      </w:r>
      <w:r>
        <w:rPr>
          <w:szCs w:val="24"/>
        </w:rPr>
        <w:t>积极制定政策措施，引导和支持社会资本发展绿色建筑。</w:t>
      </w:r>
    </w:p>
    <w:p>
      <w:pPr>
        <w:numPr>
          <w:ilvl w:val="0"/>
          <w:numId w:val="48"/>
        </w:numPr>
        <w:ind w:leftChars="0" w:right="0" w:rightChars="0" w:firstLineChars="0"/>
        <w:jc w:val="center"/>
        <w:rPr>
          <w:b/>
          <w:szCs w:val="24"/>
        </w:rPr>
      </w:pPr>
      <w:r>
        <w:rPr>
          <w:b/>
          <w:szCs w:val="24"/>
        </w:rPr>
        <w:t>各部门职责分工表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4"/>
        <w:gridCol w:w="1276"/>
        <w:gridCol w:w="6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tblHeader/>
          <w:jc w:val="center"/>
        </w:trPr>
        <w:tc>
          <w:tcPr>
            <w:tcW w:w="704" w:type="dxa"/>
            <w:vAlign w:val="center"/>
          </w:tcPr>
          <w:p>
            <w:pPr>
              <w:spacing w:line="300" w:lineRule="exact"/>
              <w:ind w:left="0" w:leftChars="0" w:right="0" w:rightChars="0" w:firstLine="0" w:firstLineChars="0"/>
              <w:jc w:val="center"/>
              <w:rPr>
                <w:rFonts w:asciiTheme="minorEastAsia" w:hAnsiTheme="minorEastAsia" w:eastAsiaTheme="minorEastAsia"/>
                <w:b/>
                <w:szCs w:val="24"/>
              </w:rPr>
            </w:pPr>
            <w:r>
              <w:rPr>
                <w:rFonts w:hint="eastAsia" w:asciiTheme="minorEastAsia" w:hAnsiTheme="minorEastAsia" w:eastAsiaTheme="minorEastAsia"/>
                <w:b/>
                <w:szCs w:val="24"/>
              </w:rPr>
              <w:t>序号</w:t>
            </w:r>
          </w:p>
        </w:tc>
        <w:tc>
          <w:tcPr>
            <w:tcW w:w="1276" w:type="dxa"/>
            <w:vAlign w:val="center"/>
          </w:tcPr>
          <w:p>
            <w:pPr>
              <w:spacing w:line="300" w:lineRule="exact"/>
              <w:ind w:left="0" w:leftChars="0" w:right="0" w:rightChars="0" w:firstLine="0" w:firstLineChars="0"/>
              <w:jc w:val="center"/>
              <w:rPr>
                <w:rFonts w:asciiTheme="minorEastAsia" w:hAnsiTheme="minorEastAsia" w:eastAsiaTheme="minorEastAsia"/>
                <w:b/>
                <w:szCs w:val="24"/>
              </w:rPr>
            </w:pPr>
            <w:r>
              <w:rPr>
                <w:rFonts w:hint="eastAsia" w:asciiTheme="minorEastAsia" w:hAnsiTheme="minorEastAsia" w:eastAsiaTheme="minorEastAsia"/>
                <w:b/>
                <w:szCs w:val="24"/>
              </w:rPr>
              <w:t>部门名称</w:t>
            </w:r>
          </w:p>
        </w:tc>
        <w:tc>
          <w:tcPr>
            <w:tcW w:w="6515" w:type="dxa"/>
            <w:vAlign w:val="center"/>
          </w:tcPr>
          <w:p>
            <w:pPr>
              <w:spacing w:line="300" w:lineRule="exact"/>
              <w:ind w:left="0" w:leftChars="0" w:right="0" w:rightChars="0" w:firstLine="0" w:firstLineChars="0"/>
              <w:jc w:val="center"/>
              <w:rPr>
                <w:rFonts w:asciiTheme="minorEastAsia" w:hAnsiTheme="minorEastAsia" w:eastAsiaTheme="minorEastAsia"/>
                <w:b/>
                <w:szCs w:val="24"/>
              </w:rPr>
            </w:pPr>
            <w:r>
              <w:rPr>
                <w:rFonts w:hint="eastAsia" w:asciiTheme="minorEastAsia" w:hAnsiTheme="minorEastAsia" w:eastAsiaTheme="minorEastAsia"/>
                <w:b/>
                <w:szCs w:val="24"/>
              </w:rPr>
              <w:t>职责分工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4"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1</w:t>
            </w:r>
          </w:p>
        </w:tc>
        <w:tc>
          <w:tcPr>
            <w:tcW w:w="1276"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市住房城乡建设局</w:t>
            </w:r>
          </w:p>
        </w:tc>
        <w:tc>
          <w:tcPr>
            <w:tcW w:w="6515" w:type="dxa"/>
            <w:vAlign w:val="center"/>
          </w:tcPr>
          <w:p>
            <w:pPr>
              <w:spacing w:line="300" w:lineRule="exact"/>
              <w:ind w:left="0" w:leftChars="0" w:right="0" w:rightChars="0" w:firstLine="480"/>
              <w:jc w:val="left"/>
              <w:rPr>
                <w:rFonts w:asciiTheme="minorEastAsia" w:hAnsiTheme="minorEastAsia" w:eastAsiaTheme="minorEastAsia"/>
                <w:szCs w:val="24"/>
              </w:rPr>
            </w:pPr>
            <w:r>
              <w:rPr>
                <w:rFonts w:hint="eastAsia" w:asciiTheme="minorEastAsia" w:hAnsiTheme="minorEastAsia" w:eastAsiaTheme="minorEastAsia"/>
                <w:szCs w:val="24"/>
              </w:rPr>
              <w:t>负责全市推</w:t>
            </w:r>
            <w:r>
              <w:rPr>
                <w:rFonts w:hint="eastAsia" w:asciiTheme="minorEastAsia" w:hAnsiTheme="minorEastAsia" w:eastAsiaTheme="minorEastAsia"/>
                <w:szCs w:val="24"/>
                <w:lang w:val="en-US" w:eastAsia="zh-CN"/>
              </w:rPr>
              <w:t>进</w:t>
            </w:r>
            <w:r>
              <w:rPr>
                <w:rFonts w:hint="eastAsia" w:asciiTheme="minorEastAsia" w:hAnsiTheme="minorEastAsia" w:eastAsiaTheme="minorEastAsia"/>
                <w:szCs w:val="24"/>
              </w:rPr>
              <w:t>绿色建筑</w:t>
            </w:r>
            <w:r>
              <w:rPr>
                <w:rFonts w:hint="eastAsia" w:asciiTheme="minorEastAsia" w:hAnsiTheme="minorEastAsia" w:eastAsiaTheme="minorEastAsia"/>
                <w:szCs w:val="24"/>
                <w:lang w:val="en-US" w:eastAsia="zh-CN"/>
              </w:rPr>
              <w:t>发展</w:t>
            </w:r>
            <w:r>
              <w:rPr>
                <w:rFonts w:hint="eastAsia" w:asciiTheme="minorEastAsia" w:hAnsiTheme="minorEastAsia" w:eastAsiaTheme="minorEastAsia"/>
                <w:szCs w:val="24"/>
              </w:rPr>
              <w:t>工作领导小组办公室</w:t>
            </w:r>
            <w:r>
              <w:rPr>
                <w:rFonts w:hint="eastAsia" w:asciiTheme="minorEastAsia" w:hAnsiTheme="minorEastAsia" w:eastAsiaTheme="minorEastAsia"/>
                <w:szCs w:val="24"/>
                <w:lang w:val="en-US" w:eastAsia="zh-CN"/>
              </w:rPr>
              <w:t>日常工作</w:t>
            </w:r>
            <w:r>
              <w:rPr>
                <w:rFonts w:hint="eastAsia" w:asciiTheme="minorEastAsia" w:hAnsiTheme="minorEastAsia" w:eastAsiaTheme="minorEastAsia"/>
                <w:szCs w:val="24"/>
              </w:rPr>
              <w:t>，牵头负责全市绿色建筑</w:t>
            </w:r>
            <w:r>
              <w:t>发展</w:t>
            </w:r>
            <w:r>
              <w:rPr>
                <w:rFonts w:hint="eastAsia" w:asciiTheme="minorEastAsia" w:hAnsiTheme="minorEastAsia" w:eastAsiaTheme="minorEastAsia"/>
                <w:szCs w:val="24"/>
              </w:rPr>
              <w:t>专项规划编制以及绿色建筑实施方案的统筹实施与解释，统筹全市绿色建筑发展；加强绿色建筑项目设计审查、施工图审查、施工许可审查和施工质量安全管理，对不符合验收标准的项目依法不予进行竣工备案。同时，对不按规划许可、施工许可等相关的要求落实绿色施工的商品房项目不予核发商品房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4"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2</w:t>
            </w:r>
          </w:p>
        </w:tc>
        <w:tc>
          <w:tcPr>
            <w:tcW w:w="1276"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市发展改革局</w:t>
            </w:r>
          </w:p>
        </w:tc>
        <w:tc>
          <w:tcPr>
            <w:tcW w:w="6515" w:type="dxa"/>
            <w:vAlign w:val="center"/>
          </w:tcPr>
          <w:p>
            <w:pPr>
              <w:spacing w:line="300" w:lineRule="exact"/>
              <w:ind w:left="0" w:leftChars="0" w:right="0" w:rightChars="0" w:firstLine="480"/>
              <w:jc w:val="left"/>
              <w:rPr>
                <w:rFonts w:asciiTheme="minorEastAsia" w:hAnsiTheme="minorEastAsia" w:eastAsiaTheme="minorEastAsia"/>
                <w:szCs w:val="24"/>
              </w:rPr>
            </w:pPr>
            <w:r>
              <w:rPr>
                <w:rFonts w:hint="eastAsia" w:asciiTheme="minorEastAsia" w:hAnsiTheme="minorEastAsia" w:eastAsiaTheme="minorEastAsia"/>
                <w:szCs w:val="24"/>
              </w:rPr>
              <w:t>负责政府投资项目在立项阶段对项目申请报告或可行性研究报告落实绿色建筑要求的有关内容进行审查，将实施绿色建筑要求纳入政府投资项目立项审批内容；核定涉绿色建筑政府投资项目的投资规模，负责对项目的招标范围、招标组织形式和招标方式进行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4"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3</w:t>
            </w:r>
          </w:p>
        </w:tc>
        <w:tc>
          <w:tcPr>
            <w:tcW w:w="1276"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市科学技术局</w:t>
            </w:r>
          </w:p>
        </w:tc>
        <w:tc>
          <w:tcPr>
            <w:tcW w:w="6515" w:type="dxa"/>
            <w:vAlign w:val="center"/>
          </w:tcPr>
          <w:p>
            <w:pPr>
              <w:spacing w:line="300" w:lineRule="exact"/>
              <w:ind w:left="0" w:leftChars="0" w:right="0" w:rightChars="0" w:firstLine="480"/>
              <w:jc w:val="left"/>
              <w:rPr>
                <w:rFonts w:asciiTheme="minorEastAsia" w:hAnsiTheme="minorEastAsia" w:eastAsiaTheme="minorEastAsia"/>
                <w:szCs w:val="24"/>
              </w:rPr>
            </w:pPr>
            <w:r>
              <w:rPr>
                <w:rFonts w:hint="eastAsia" w:asciiTheme="minorEastAsia" w:hAnsiTheme="minorEastAsia" w:eastAsiaTheme="minorEastAsia"/>
                <w:szCs w:val="24"/>
              </w:rPr>
              <w:t>负责促进绿色建筑相关产品的创新科研成果转化，对绿色建筑相关产品生产企业中的“高新技术企业”给予奖励和补贴，支持绿色建筑相关产品科研和引进技术的消化、吸收等工作。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4"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4</w:t>
            </w:r>
          </w:p>
        </w:tc>
        <w:tc>
          <w:tcPr>
            <w:tcW w:w="1276"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市工业和信息化局</w:t>
            </w:r>
          </w:p>
        </w:tc>
        <w:tc>
          <w:tcPr>
            <w:tcW w:w="6515" w:type="dxa"/>
            <w:vAlign w:val="center"/>
          </w:tcPr>
          <w:p>
            <w:pPr>
              <w:spacing w:line="300" w:lineRule="exact"/>
              <w:ind w:left="0" w:leftChars="0" w:right="0" w:rightChars="0" w:firstLine="480"/>
              <w:jc w:val="left"/>
              <w:rPr>
                <w:rFonts w:asciiTheme="minorEastAsia" w:hAnsiTheme="minorEastAsia" w:eastAsiaTheme="minorEastAsia"/>
                <w:szCs w:val="24"/>
              </w:rPr>
            </w:pPr>
            <w:r>
              <w:rPr>
                <w:rFonts w:hint="eastAsia" w:asciiTheme="minorEastAsia" w:hAnsiTheme="minorEastAsia" w:eastAsiaTheme="minorEastAsia"/>
                <w:szCs w:val="24"/>
              </w:rPr>
              <w:t>负责建立绿色建材产品名录，培育绿色建材示范产品和示范企业。根据广东特色和市场需求，加强与下游用户的衔接，按照工信部具体要求组织项目申报。支持绿色建筑相关产品生产企业实施技术改造、技术创新，推进工业化和信息化融合，引导生产企业充分利用相关产业扶持政策。加大招商引资力度，引进有实力的企业进驻我市，推动绿色建筑的发展。配合市住房和城乡建设局与市市场监督管理局对绿色建材产品生产、认证、采信应用等进行监督管理，对获证企业、认证机构、检验检测机构在绿色建材产品认证活动中出现的问题及违法违规行为依法依规进行处罚，并及时将相应的建材产品从绿色建材采信应用数据库中移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4"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5</w:t>
            </w:r>
          </w:p>
        </w:tc>
        <w:tc>
          <w:tcPr>
            <w:tcW w:w="1276"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市财政局</w:t>
            </w:r>
          </w:p>
        </w:tc>
        <w:tc>
          <w:tcPr>
            <w:tcW w:w="6515" w:type="dxa"/>
            <w:vAlign w:val="center"/>
          </w:tcPr>
          <w:p>
            <w:pPr>
              <w:spacing w:line="300" w:lineRule="exact"/>
              <w:ind w:left="0" w:leftChars="0" w:right="0" w:rightChars="0" w:firstLine="480"/>
              <w:jc w:val="left"/>
              <w:rPr>
                <w:rFonts w:asciiTheme="minorEastAsia" w:hAnsiTheme="minorEastAsia" w:eastAsiaTheme="minorEastAsia"/>
                <w:szCs w:val="24"/>
              </w:rPr>
            </w:pPr>
            <w:r>
              <w:rPr>
                <w:rFonts w:hint="eastAsia" w:asciiTheme="minorEastAsia" w:hAnsiTheme="minorEastAsia" w:eastAsiaTheme="minorEastAsia"/>
                <w:szCs w:val="24"/>
              </w:rPr>
              <w:t>负责为全市绿色建筑推广应用工作提供必要的经费保障，并贯彻落实国家、省对绿色建筑的财税扶持政策。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4"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6</w:t>
            </w:r>
          </w:p>
        </w:tc>
        <w:tc>
          <w:tcPr>
            <w:tcW w:w="1276"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市人力资源和社会保障局</w:t>
            </w:r>
          </w:p>
        </w:tc>
        <w:tc>
          <w:tcPr>
            <w:tcW w:w="6515" w:type="dxa"/>
            <w:vAlign w:val="center"/>
          </w:tcPr>
          <w:p>
            <w:pPr>
              <w:spacing w:line="300" w:lineRule="exact"/>
              <w:ind w:left="0" w:leftChars="0" w:right="0" w:rightChars="0" w:firstLine="480"/>
              <w:jc w:val="left"/>
              <w:rPr>
                <w:rFonts w:asciiTheme="minorEastAsia" w:hAnsiTheme="minorEastAsia" w:eastAsiaTheme="minorEastAsia"/>
                <w:szCs w:val="24"/>
              </w:rPr>
            </w:pPr>
            <w:r>
              <w:rPr>
                <w:rFonts w:hint="eastAsia" w:asciiTheme="minorEastAsia" w:hAnsiTheme="minorEastAsia" w:eastAsiaTheme="minorEastAsia"/>
                <w:szCs w:val="24"/>
              </w:rPr>
              <w:t>负责配合住建部门组织开展“建筑工匠”等培训项目，负责将符合条件并考取相应证书的劳动者予以纳入补贴范畴。负责配合住建部门组织开展绿色建筑职业技能竞赛和表彰工作；协助行业内设计、施工、监理等专业技术人才进行评定；加强引进绿色建筑专业人才并落实相关的人才优惠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4"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7</w:t>
            </w:r>
          </w:p>
        </w:tc>
        <w:tc>
          <w:tcPr>
            <w:tcW w:w="1276"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市自然资源局</w:t>
            </w:r>
          </w:p>
        </w:tc>
        <w:tc>
          <w:tcPr>
            <w:tcW w:w="6515" w:type="dxa"/>
            <w:vAlign w:val="center"/>
          </w:tcPr>
          <w:p>
            <w:pPr>
              <w:spacing w:line="300" w:lineRule="exact"/>
              <w:ind w:left="0" w:leftChars="0" w:right="0" w:rightChars="0" w:firstLine="480"/>
              <w:jc w:val="left"/>
              <w:rPr>
                <w:rFonts w:asciiTheme="minorEastAsia" w:hAnsiTheme="minorEastAsia" w:eastAsiaTheme="minorEastAsia"/>
                <w:szCs w:val="24"/>
              </w:rPr>
            </w:pPr>
            <w:r>
              <w:rPr>
                <w:rFonts w:asciiTheme="minorEastAsia" w:hAnsiTheme="minorEastAsia" w:eastAsiaTheme="minorEastAsia"/>
                <w:szCs w:val="24"/>
              </w:rPr>
              <w:t>负责将绿色建筑</w:t>
            </w:r>
            <w:r>
              <w:t>发展</w:t>
            </w:r>
            <w:r>
              <w:rPr>
                <w:rFonts w:asciiTheme="minorEastAsia" w:hAnsiTheme="minorEastAsia" w:eastAsiaTheme="minorEastAsia"/>
                <w:szCs w:val="24"/>
              </w:rPr>
              <w:t>专项规划纳入相关规划或指导文件中，并将发展绿色建筑相关要求落实到用地规划条件、建设工程规划许可等各环节；协助住建部门制定绿色建筑年度计划和目标任务，提供区域规划意见；将绿色建筑相关要求纳入规划条件、供地方案，落实到土地出让合同或划拨决定书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4"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8</w:t>
            </w:r>
          </w:p>
        </w:tc>
        <w:tc>
          <w:tcPr>
            <w:tcW w:w="1276"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t>市生态环境局</w:t>
            </w:r>
          </w:p>
        </w:tc>
        <w:tc>
          <w:tcPr>
            <w:tcW w:w="6515" w:type="dxa"/>
            <w:vAlign w:val="center"/>
          </w:tcPr>
          <w:p>
            <w:pPr>
              <w:spacing w:line="300" w:lineRule="exact"/>
              <w:ind w:left="0" w:leftChars="0" w:right="0" w:rightChars="0" w:firstLine="480"/>
              <w:jc w:val="left"/>
              <w:rPr>
                <w:rFonts w:asciiTheme="minorEastAsia" w:hAnsiTheme="minorEastAsia" w:eastAsiaTheme="minorEastAsia"/>
                <w:szCs w:val="24"/>
              </w:rPr>
            </w:pPr>
            <w:r>
              <w:t>负责协同推进绿色建筑发展，指导绿色建筑相关产品的生产企业落实相关环保制度和污染防治措施，协助办理绿色建筑项目的环评工作，会同市政府指定的相关部门，按照国家、省的有关规定，执行相应的环保责任追究和环境损害赔偿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4"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9</w:t>
            </w:r>
          </w:p>
        </w:tc>
        <w:tc>
          <w:tcPr>
            <w:tcW w:w="1276"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t>市交通运输局</w:t>
            </w:r>
          </w:p>
        </w:tc>
        <w:tc>
          <w:tcPr>
            <w:tcW w:w="6515" w:type="dxa"/>
            <w:vAlign w:val="center"/>
          </w:tcPr>
          <w:p>
            <w:pPr>
              <w:spacing w:line="300" w:lineRule="exact"/>
              <w:ind w:left="0" w:leftChars="0" w:right="0" w:rightChars="0" w:firstLine="480"/>
              <w:jc w:val="left"/>
              <w:rPr>
                <w:rFonts w:asciiTheme="minorEastAsia" w:hAnsiTheme="minorEastAsia" w:eastAsiaTheme="minorEastAsia"/>
                <w:szCs w:val="24"/>
              </w:rPr>
            </w:pPr>
            <w:r>
              <w:t>负责为绿色建筑相关产品的运输提供便利，在符合路桥限载、限高等要求的情况下，协调制定大（重）型运输车辆通行的相关指引，协调对大型预制构件运输计划进行审批。统筹协调涉及公路通行的不可解体的装配式建筑大型预制构件的跨区运输，指导各</w:t>
            </w:r>
            <w:r>
              <w:rPr>
                <w:rFonts w:hint="eastAsia"/>
              </w:rPr>
              <w:t>县（市、区）</w:t>
            </w:r>
            <w:r>
              <w:t>交通运输管理部门落实相关工作。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4"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1</w:t>
            </w:r>
            <w:r>
              <w:rPr>
                <w:rFonts w:asciiTheme="minorEastAsia" w:hAnsiTheme="minorEastAsia" w:eastAsiaTheme="minorEastAsia"/>
                <w:szCs w:val="24"/>
              </w:rPr>
              <w:t>0</w:t>
            </w:r>
          </w:p>
        </w:tc>
        <w:tc>
          <w:tcPr>
            <w:tcW w:w="1276"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t>市市场监督管理局</w:t>
            </w:r>
          </w:p>
        </w:tc>
        <w:tc>
          <w:tcPr>
            <w:tcW w:w="6515" w:type="dxa"/>
            <w:vAlign w:val="center"/>
          </w:tcPr>
          <w:p>
            <w:pPr>
              <w:spacing w:line="300" w:lineRule="exact"/>
              <w:ind w:left="0" w:leftChars="0" w:right="0" w:rightChars="0" w:firstLine="480"/>
              <w:jc w:val="left"/>
              <w:rPr>
                <w:rFonts w:asciiTheme="minorEastAsia" w:hAnsiTheme="minorEastAsia" w:eastAsiaTheme="minorEastAsia"/>
                <w:szCs w:val="24"/>
              </w:rPr>
            </w:pPr>
            <w:r>
              <w:t>负责做好绿色建筑相关企业的注册登记工作，对申请材料齐全并符合法定形式的绿色建筑企业，建立审批绿色通道；支持绿色建筑相关生产企业申报和获取专利，加强对绿色建筑相关知识产权的保护工作，落实知识产权优惠；配合做好对绿色建筑相关产品质量监督以及绿色建筑关键技术标准的引进、贯彻和执行等工作；应开展多种形式的绿色建材产品宣传活动，加强对绿色建材产品标准、认证、标识相关政策的解读，提高全社会对绿色建材产品认证的认知度。加强协调，积极引导建材生产企业参与绿色建材产品认证，促进建材工业提质升级。引导消费者科学选材，强化公众绿色生产和消费理念，推动消费者选用获得认证的绿色建材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4"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1</w:t>
            </w:r>
            <w:r>
              <w:rPr>
                <w:rFonts w:asciiTheme="minorEastAsia" w:hAnsiTheme="minorEastAsia" w:eastAsiaTheme="minorEastAsia"/>
                <w:szCs w:val="24"/>
              </w:rPr>
              <w:t>1</w:t>
            </w:r>
          </w:p>
        </w:tc>
        <w:tc>
          <w:tcPr>
            <w:tcW w:w="1276"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国家税务总局汕尾市税务局</w:t>
            </w:r>
          </w:p>
        </w:tc>
        <w:tc>
          <w:tcPr>
            <w:tcW w:w="6515" w:type="dxa"/>
            <w:vAlign w:val="center"/>
          </w:tcPr>
          <w:p>
            <w:pPr>
              <w:spacing w:line="300" w:lineRule="exact"/>
              <w:ind w:left="0" w:leftChars="0" w:right="0" w:rightChars="0" w:firstLine="480"/>
              <w:jc w:val="left"/>
              <w:rPr>
                <w:rFonts w:asciiTheme="minorEastAsia" w:hAnsiTheme="minorEastAsia" w:eastAsiaTheme="minorEastAsia"/>
                <w:szCs w:val="24"/>
              </w:rPr>
            </w:pPr>
            <w:r>
              <w:t>负责支持绿色建筑发展，对通过认定为高新技术的企业并符合优惠条件的绿色建筑相关产品生产企业落实相关高新技术企业税收减免优惠。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4"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1</w:t>
            </w:r>
            <w:r>
              <w:rPr>
                <w:rFonts w:asciiTheme="minorEastAsia" w:hAnsiTheme="minorEastAsia" w:eastAsiaTheme="minorEastAsia"/>
                <w:szCs w:val="24"/>
              </w:rPr>
              <w:t>2</w:t>
            </w:r>
          </w:p>
        </w:tc>
        <w:tc>
          <w:tcPr>
            <w:tcW w:w="1276"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t>中国人民银行</w:t>
            </w:r>
            <w:r>
              <w:rPr>
                <w:rFonts w:hint="eastAsia"/>
              </w:rPr>
              <w:t>汕尾市</w:t>
            </w:r>
            <w:r>
              <w:t>中心支行</w:t>
            </w:r>
          </w:p>
        </w:tc>
        <w:tc>
          <w:tcPr>
            <w:tcW w:w="6515" w:type="dxa"/>
            <w:vAlign w:val="center"/>
          </w:tcPr>
          <w:p>
            <w:pPr>
              <w:spacing w:line="300" w:lineRule="exact"/>
              <w:ind w:left="0" w:leftChars="0" w:right="0" w:rightChars="0" w:firstLine="480"/>
              <w:jc w:val="left"/>
              <w:rPr>
                <w:rFonts w:asciiTheme="minorEastAsia" w:hAnsiTheme="minorEastAsia" w:eastAsiaTheme="minorEastAsia"/>
                <w:szCs w:val="24"/>
              </w:rPr>
            </w:pPr>
            <w:r>
              <w:t>负责引导金融机构按照依法合规、风险可控、商业可持续的原则，为绿色建筑项目、生产基地建设、绿色建筑相关产品的生产以及绿色建筑商品房购买等环节提供多元化的资金支持。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4" w:hRule="atLeast"/>
          <w:jc w:val="center"/>
        </w:trPr>
        <w:tc>
          <w:tcPr>
            <w:tcW w:w="704"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1</w:t>
            </w:r>
            <w:r>
              <w:rPr>
                <w:rFonts w:asciiTheme="minorEastAsia" w:hAnsiTheme="minorEastAsia" w:eastAsiaTheme="minorEastAsia"/>
                <w:szCs w:val="24"/>
              </w:rPr>
              <w:t>3</w:t>
            </w:r>
          </w:p>
        </w:tc>
        <w:tc>
          <w:tcPr>
            <w:tcW w:w="1276"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t>市住房公积金管理中心</w:t>
            </w:r>
          </w:p>
        </w:tc>
        <w:tc>
          <w:tcPr>
            <w:tcW w:w="6515" w:type="dxa"/>
            <w:vAlign w:val="center"/>
          </w:tcPr>
          <w:p>
            <w:pPr>
              <w:spacing w:line="300" w:lineRule="exact"/>
              <w:ind w:left="0" w:leftChars="0" w:right="0" w:rightChars="0" w:firstLine="480"/>
              <w:jc w:val="left"/>
              <w:rPr>
                <w:rFonts w:asciiTheme="minorEastAsia" w:hAnsiTheme="minorEastAsia" w:eastAsiaTheme="minorEastAsia"/>
                <w:szCs w:val="24"/>
              </w:rPr>
            </w:pPr>
            <w:r>
              <w:t>负责在公积金个人住房贷款</w:t>
            </w:r>
            <w:r>
              <w:rPr>
                <w:rFonts w:hint="eastAsia"/>
                <w:lang w:val="en-US" w:eastAsia="zh-CN"/>
              </w:rPr>
              <w:t>额度、</w:t>
            </w:r>
            <w:r>
              <w:t>优先发放等方面给予</w:t>
            </w:r>
            <w:r>
              <w:rPr>
                <w:rFonts w:hint="eastAsia"/>
                <w:lang w:val="en-US" w:eastAsia="zh-CN"/>
              </w:rPr>
              <w:t>支持</w:t>
            </w:r>
            <w:r>
              <w:t>，</w:t>
            </w:r>
            <w:r>
              <w:rPr>
                <w:rFonts w:hint="eastAsia"/>
                <w:lang w:val="en-US" w:eastAsia="zh-CN"/>
              </w:rPr>
              <w:t>依法制定相关激励措施，</w:t>
            </w:r>
            <w:r>
              <w:t>引导</w:t>
            </w:r>
            <w:r>
              <w:rPr>
                <w:rFonts w:hint="eastAsia"/>
                <w:lang w:val="en-US" w:eastAsia="zh-CN"/>
              </w:rPr>
              <w:t>和</w:t>
            </w:r>
            <w:r>
              <w:t>激励消费者购买绿色</w:t>
            </w:r>
            <w:r>
              <w:rPr>
                <w:rFonts w:hint="eastAsia"/>
                <w:lang w:val="en-US" w:eastAsia="zh-CN"/>
              </w:rPr>
              <w:t>建筑</w:t>
            </w:r>
            <w: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4" w:hRule="atLeast"/>
          <w:jc w:val="center"/>
        </w:trPr>
        <w:tc>
          <w:tcPr>
            <w:tcW w:w="704" w:type="dxa"/>
            <w:vAlign w:val="center"/>
          </w:tcPr>
          <w:p>
            <w:pPr>
              <w:spacing w:line="300" w:lineRule="exact"/>
              <w:ind w:left="0" w:leftChars="0" w:right="0" w:rightChars="0"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1</w:t>
            </w:r>
            <w:r>
              <w:rPr>
                <w:rFonts w:asciiTheme="minorEastAsia" w:hAnsiTheme="minorEastAsia" w:eastAsiaTheme="minorEastAsia"/>
                <w:szCs w:val="24"/>
              </w:rPr>
              <w:t>4</w:t>
            </w:r>
          </w:p>
        </w:tc>
        <w:tc>
          <w:tcPr>
            <w:tcW w:w="1276" w:type="dxa"/>
            <w:vAlign w:val="center"/>
          </w:tcPr>
          <w:p>
            <w:pPr>
              <w:spacing w:line="300" w:lineRule="exact"/>
              <w:ind w:left="0" w:leftChars="0" w:right="0" w:rightChars="0" w:firstLine="0" w:firstLineChars="0"/>
              <w:jc w:val="center"/>
            </w:pPr>
            <w:r>
              <w:rPr>
                <w:rFonts w:hint="eastAsia"/>
              </w:rPr>
              <w:t>中国银行保险监督管理委员会</w:t>
            </w:r>
          </w:p>
        </w:tc>
        <w:tc>
          <w:tcPr>
            <w:tcW w:w="6515" w:type="dxa"/>
            <w:vAlign w:val="center"/>
          </w:tcPr>
          <w:p>
            <w:pPr>
              <w:spacing w:line="300" w:lineRule="exact"/>
              <w:ind w:left="0" w:leftChars="0" w:right="0" w:rightChars="0" w:firstLine="480"/>
              <w:jc w:val="left"/>
            </w:pPr>
            <w:r>
              <w:rPr>
                <w:rFonts w:hint="eastAsia"/>
              </w:rPr>
              <w:t>积极推动金融机构丰富和优化绿色金融产品,提升服务水平，鼓励金融机构在风险可控、商业可持续以及符合相关政策的前提下，按照市场化原则，通过完善绿色建筑投融资体制机制，创新绿色金融产品和服务，加大对绿色建筑的信贷支持，推动绿色建筑和绿色金融协同发展。</w:t>
            </w:r>
          </w:p>
        </w:tc>
      </w:tr>
    </w:tbl>
    <w:p>
      <w:pPr>
        <w:ind w:left="0" w:leftChars="0" w:right="0" w:rightChars="0" w:firstLine="480"/>
        <w:rPr>
          <w:szCs w:val="24"/>
        </w:rPr>
      </w:pPr>
    </w:p>
    <w:p>
      <w:pPr>
        <w:pStyle w:val="3"/>
        <w:numPr>
          <w:ilvl w:val="1"/>
          <w:numId w:val="47"/>
        </w:numPr>
        <w:spacing w:line="360" w:lineRule="auto"/>
        <w:ind w:left="799" w:leftChars="0" w:right="-84" w:rightChars="-35" w:firstLineChars="0"/>
        <w:rPr>
          <w:rFonts w:ascii="黑体" w:hAnsi="黑体"/>
          <w:szCs w:val="30"/>
        </w:rPr>
      </w:pPr>
      <w:bookmarkStart w:id="63" w:name="_Toc117875475"/>
      <w:r>
        <w:rPr>
          <w:rFonts w:hint="eastAsia" w:ascii="黑体" w:hAnsi="黑体"/>
          <w:szCs w:val="30"/>
        </w:rPr>
        <w:t>强化政策支持，实施全过程激励措施</w:t>
      </w:r>
      <w:bookmarkEnd w:id="63"/>
    </w:p>
    <w:p>
      <w:pPr>
        <w:ind w:left="0" w:leftChars="0" w:right="0" w:rightChars="0" w:firstLine="480"/>
        <w:rPr>
          <w:szCs w:val="24"/>
        </w:rPr>
      </w:pPr>
      <w:r>
        <w:rPr>
          <w:rFonts w:hint="eastAsia"/>
          <w:szCs w:val="24"/>
        </w:rPr>
        <w:t>从建筑建设的全过程出发，落实政府财政支持、银行优惠策略、绿色建筑保险、容积率奖励等激励政策，激发建设高星级绿色建筑、超低能耗建筑、既有建筑绿色化改造等项目的市场积极性，提高建筑绿色发展的市场需求，发挥政府和市场双轮驱动作用，促进建筑高质量发展。</w:t>
      </w:r>
    </w:p>
    <w:p>
      <w:pPr>
        <w:ind w:left="0" w:leftChars="0" w:right="0" w:rightChars="0" w:firstLine="482"/>
        <w:rPr>
          <w:b/>
          <w:szCs w:val="24"/>
        </w:rPr>
      </w:pPr>
      <w:r>
        <w:rPr>
          <w:rFonts w:hint="eastAsia"/>
          <w:b/>
          <w:szCs w:val="24"/>
        </w:rPr>
        <w:t>（1）</w:t>
      </w:r>
      <w:r>
        <w:rPr>
          <w:b/>
          <w:szCs w:val="24"/>
        </w:rPr>
        <w:t>政府财政支持</w:t>
      </w:r>
    </w:p>
    <w:p>
      <w:pPr>
        <w:ind w:left="0" w:leftChars="0" w:right="0" w:rightChars="0" w:firstLine="480"/>
        <w:rPr>
          <w:szCs w:val="24"/>
        </w:rPr>
      </w:pPr>
      <w:r>
        <w:rPr>
          <w:rFonts w:hint="eastAsia" w:ascii="宋体" w:hAnsi="宋体" w:cs="宋体"/>
          <w:szCs w:val="24"/>
        </w:rPr>
        <w:t>①</w:t>
      </w:r>
      <w:r>
        <w:rPr>
          <w:szCs w:val="24"/>
        </w:rPr>
        <w:t xml:space="preserve"> 绿色建筑标识项目奖励</w:t>
      </w:r>
    </w:p>
    <w:p>
      <w:pPr>
        <w:ind w:left="0" w:leftChars="0" w:right="0" w:rightChars="0" w:firstLine="480"/>
        <w:rPr>
          <w:szCs w:val="24"/>
        </w:rPr>
      </w:pPr>
      <w:r>
        <w:rPr>
          <w:szCs w:val="24"/>
        </w:rPr>
        <w:t>在国家、省奖励资金的基础上，对取得绿色建筑标识项目给予奖励资金，具体奖励金额由各级财政视财力许可进行确定，并根据技术进步、成本变化等情况适时调整。鼓励各</w:t>
      </w:r>
      <w:r>
        <w:rPr>
          <w:rFonts w:hint="eastAsia"/>
          <w:szCs w:val="24"/>
        </w:rPr>
        <w:t>县（市、区）</w:t>
      </w:r>
      <w:r>
        <w:rPr>
          <w:szCs w:val="24"/>
        </w:rPr>
        <w:t>政府自行研究并制定</w:t>
      </w:r>
      <w:r>
        <w:rPr>
          <w:rFonts w:hint="eastAsia"/>
          <w:szCs w:val="24"/>
        </w:rPr>
        <w:t>本地</w:t>
      </w:r>
      <w:r>
        <w:rPr>
          <w:szCs w:val="24"/>
        </w:rPr>
        <w:t>关于绿色建筑的扶持奖励政策，加大对绿色建筑标识项目的支持力度。</w:t>
      </w:r>
    </w:p>
    <w:p>
      <w:pPr>
        <w:ind w:left="0" w:leftChars="0" w:right="0" w:rightChars="0" w:firstLine="480"/>
      </w:pPr>
      <w:r>
        <w:rPr>
          <w:rFonts w:hint="eastAsia" w:ascii="宋体" w:hAnsi="宋体" w:cs="宋体"/>
        </w:rPr>
        <w:t>②</w:t>
      </w:r>
      <w:r>
        <w:t xml:space="preserve"> 相关技术研发税收减免</w:t>
      </w:r>
    </w:p>
    <w:p>
      <w:pPr>
        <w:ind w:left="0" w:leftChars="0" w:right="0" w:rightChars="0" w:firstLine="480"/>
      </w:pPr>
      <w:r>
        <w:t>鼓励和支持企业、高等院校、研发机构研究开发绿色建筑新技术、新工艺、新材料和新设备。在企业研究开发绿色建筑新技术、新工艺、新材料和新设备过程中发生的费用，均可以按照国家有关规定享受税前加计扣除等优惠。</w:t>
      </w:r>
    </w:p>
    <w:p>
      <w:pPr>
        <w:ind w:left="0" w:leftChars="0" w:right="0" w:rightChars="0" w:firstLine="480"/>
      </w:pPr>
      <w:r>
        <w:rPr>
          <w:rFonts w:hint="eastAsia" w:ascii="宋体" w:hAnsi="宋体" w:cs="宋体"/>
        </w:rPr>
        <w:t>③</w:t>
      </w:r>
      <w:r>
        <w:t xml:space="preserve"> 高星级项目购房者返还契税</w:t>
      </w:r>
    </w:p>
    <w:p>
      <w:pPr>
        <w:ind w:left="0" w:leftChars="0" w:right="0" w:rightChars="0" w:firstLine="480"/>
      </w:pPr>
      <w:r>
        <w:t>对购买二、三星级绿色建筑商品住房的业主给予返还契税的奖励。对购买二星级绿色建筑商品住房的业主给予返还20%契税，购买三星级绿色建筑商品住房的业主给予返还40%契税的奖励，契税奖励实行先征后奖原则。</w:t>
      </w:r>
    </w:p>
    <w:p>
      <w:pPr>
        <w:ind w:left="0" w:leftChars="0" w:right="0" w:rightChars="0" w:firstLine="480"/>
      </w:pPr>
      <w:r>
        <w:rPr>
          <w:rFonts w:hint="eastAsia" w:ascii="宋体" w:hAnsi="宋体" w:cs="宋体"/>
        </w:rPr>
        <w:t>④</w:t>
      </w:r>
      <w:r>
        <w:t xml:space="preserve"> 工程评优推荐</w:t>
      </w:r>
    </w:p>
    <w:p>
      <w:pPr>
        <w:ind w:left="0" w:leftChars="0" w:right="0" w:rightChars="0" w:firstLine="480"/>
        <w:rPr>
          <w:szCs w:val="24"/>
        </w:rPr>
      </w:pPr>
      <w:r>
        <w:t>对采用高等级标准建设或者采用装配式商品房全装修方式建造的项目，可以在各类建筑工程奖项的评审中进行优先推荐。</w:t>
      </w:r>
    </w:p>
    <w:p>
      <w:pPr>
        <w:ind w:left="0" w:leftChars="0" w:right="0" w:rightChars="0" w:firstLine="482"/>
        <w:rPr>
          <w:b/>
        </w:rPr>
      </w:pPr>
      <w:r>
        <w:rPr>
          <w:rFonts w:hint="eastAsia"/>
          <w:b/>
        </w:rPr>
        <w:t>（2）</w:t>
      </w:r>
      <w:r>
        <w:rPr>
          <w:b/>
        </w:rPr>
        <w:t>银行优惠策略</w:t>
      </w:r>
    </w:p>
    <w:p>
      <w:pPr>
        <w:ind w:left="0" w:leftChars="0" w:right="0" w:rightChars="0" w:firstLine="480"/>
      </w:pPr>
      <w:r>
        <w:rPr>
          <w:rFonts w:hint="eastAsia" w:ascii="宋体" w:hAnsi="宋体" w:cs="宋体"/>
        </w:rPr>
        <w:t>①</w:t>
      </w:r>
      <w:r>
        <w:t xml:space="preserve"> 绿色建筑购房者补贴措施</w:t>
      </w:r>
    </w:p>
    <w:p>
      <w:pPr>
        <w:ind w:left="0" w:leftChars="0" w:right="0" w:rightChars="0" w:firstLine="480"/>
        <w:rPr>
          <w:szCs w:val="24"/>
        </w:rPr>
      </w:pPr>
      <w:r>
        <w:t>对于使用住房公积金贷款购买一星级或以上绿色建筑自住住房的，贷款额度可以按照不超过20%的比例上浮，具体由市住房公积金管理部门确定。</w:t>
      </w:r>
    </w:p>
    <w:p>
      <w:pPr>
        <w:ind w:left="0" w:leftChars="0" w:right="0" w:rightChars="0" w:firstLine="480"/>
      </w:pPr>
      <w:r>
        <w:rPr>
          <w:rFonts w:hint="eastAsia" w:ascii="宋体" w:hAnsi="宋体" w:cs="宋体"/>
        </w:rPr>
        <w:t>②</w:t>
      </w:r>
      <w:r>
        <w:t xml:space="preserve"> 推出绿色建筑领域的金融产品</w:t>
      </w:r>
    </w:p>
    <w:p>
      <w:pPr>
        <w:ind w:left="0" w:leftChars="0" w:right="0" w:rightChars="0" w:firstLine="480"/>
      </w:pPr>
      <w:r>
        <w:t>如提供低息高抵押率的信贷、绿色融资担保基金、发行绿色债券等；鼓励开展基于绿色建筑的资产证券化业务；政府可尝试建立建筑领域绿色发展基金；为绿色建筑购买者提供绿色低息按揭贷款，降低首付比例等服务；探索合同能源管理未来收益权及碳排放权交易市场；发展绿色保险等其他金融产品，发挥保险产品的信用保障与风险控制作用，形成与信贷、债券等金融产品的联动机制。</w:t>
      </w:r>
    </w:p>
    <w:p>
      <w:pPr>
        <w:ind w:left="0" w:leftChars="0" w:right="0" w:rightChars="0" w:firstLine="480"/>
      </w:pPr>
      <w:r>
        <w:rPr>
          <w:rFonts w:hint="eastAsia" w:ascii="宋体" w:hAnsi="宋体" w:cs="宋体"/>
        </w:rPr>
        <w:t>③</w:t>
      </w:r>
      <w:r>
        <w:t xml:space="preserve"> 完善支持建筑绿色发展的配套鼓励政策</w:t>
      </w:r>
    </w:p>
    <w:p>
      <w:pPr>
        <w:ind w:left="0" w:leftChars="0" w:right="0" w:rightChars="0" w:firstLine="480"/>
        <w:rPr>
          <w:szCs w:val="24"/>
        </w:rPr>
      </w:pPr>
      <w:r>
        <w:t>人民银行探索将银行业金融机构绿色建筑信贷业务实施情况，作为宏观审慎评估（MPA）考核、再贷款再贴现等货币政策工具运用、绿色金融债券发行、对金融机构的综合评价和央行金融机构评级等方面的重要参考，形成激励约束机制；针对绿色建筑贷款，银监局在流动性比例、不良率考核、风险权重等方面给予适当的松动支持；在财政税收方面，设立绿色产业基金、绿色担保基金，科学实施财政贴息政策，对积极参与绿色建筑业务的金融机构，给予适当税收优惠。</w:t>
      </w:r>
    </w:p>
    <w:p>
      <w:pPr>
        <w:ind w:left="0" w:leftChars="0" w:right="0" w:rightChars="0" w:firstLine="480"/>
      </w:pPr>
      <w:r>
        <w:rPr>
          <w:rFonts w:hint="eastAsia" w:ascii="宋体" w:hAnsi="宋体" w:cs="宋体"/>
        </w:rPr>
        <w:t>④</w:t>
      </w:r>
      <w:r>
        <w:t xml:space="preserve"> 开展绿色金融支持绿色建筑发展试点示范</w:t>
      </w:r>
    </w:p>
    <w:p>
      <w:pPr>
        <w:ind w:left="0" w:leftChars="0" w:right="0" w:rightChars="0" w:firstLine="480"/>
      </w:pPr>
      <w:r>
        <w:t>在城市试点基础上，聚焦实际项目层面，打造一批绿色金融支持建筑节能与绿色建筑项目示范。如绿色金融支持超低能耗、</w:t>
      </w:r>
      <w:r>
        <w:rPr>
          <w:rFonts w:hint="eastAsia"/>
        </w:rPr>
        <w:t>近</w:t>
      </w:r>
      <w:r>
        <w:t>零能耗建筑、绿色建筑、装配式建筑试点；绿色金融支持建筑节能或绿色化改造试点；绿色金融支持绿色生态城区开发建设试点等。</w:t>
      </w:r>
    </w:p>
    <w:p>
      <w:pPr>
        <w:ind w:left="0" w:leftChars="0" w:right="0" w:rightChars="0" w:firstLine="482"/>
        <w:rPr>
          <w:b/>
        </w:rPr>
      </w:pPr>
      <w:r>
        <w:rPr>
          <w:rFonts w:hint="eastAsia"/>
          <w:b/>
        </w:rPr>
        <w:t>（3）</w:t>
      </w:r>
      <w:r>
        <w:rPr>
          <w:b/>
        </w:rPr>
        <w:t>绿色建筑保险</w:t>
      </w:r>
    </w:p>
    <w:p>
      <w:pPr>
        <w:ind w:left="0" w:leftChars="0" w:right="0" w:rightChars="0" w:firstLine="480"/>
      </w:pPr>
      <w:r>
        <w:t>为确保建筑达到绿色运行评价标准，实现绿色建筑的预期价值，可以尝试引入保险机制。从而推动绿色建筑产业从一元管理向多元共治转变，满足相关各方对于绿色建筑性能落地的需求，引导和激励更多社会资本投入发展绿色建筑。项目投保以后，保险公司会在项目的启动、设计、施工、运行等阶段，聘请第三方绿色建筑服务机构对重要环节和节点进行风险防控，确保建筑满足绿色建筑运行评价星级要求。同时，在被保险建筑最终未取得合同约定的绿色运行星级标准的情况下，保险公司将采取实物修复和货币补偿的方式，保障项目方的权益。</w:t>
      </w:r>
    </w:p>
    <w:p>
      <w:pPr>
        <w:ind w:left="0" w:leftChars="0" w:right="0" w:rightChars="0" w:firstLine="482"/>
        <w:rPr>
          <w:b/>
        </w:rPr>
      </w:pPr>
      <w:r>
        <w:rPr>
          <w:rFonts w:hint="eastAsia"/>
          <w:b/>
        </w:rPr>
        <w:t>（4）</w:t>
      </w:r>
      <w:r>
        <w:rPr>
          <w:b/>
        </w:rPr>
        <w:t>容积率奖励</w:t>
      </w:r>
    </w:p>
    <w:p>
      <w:pPr>
        <w:ind w:left="0" w:leftChars="0" w:right="0" w:rightChars="0" w:firstLine="480"/>
      </w:pPr>
      <w:r>
        <w:rPr>
          <w:rFonts w:hint="eastAsia" w:ascii="宋体" w:hAnsi="宋体" w:cs="宋体"/>
        </w:rPr>
        <w:t>①</w:t>
      </w:r>
      <w:r>
        <w:t xml:space="preserve"> 在满足国家省市相关法规标准和城乡规划要求前提下，对采取墙体隔热、保温、防潮、遮阳、隔声降噪等绿色建筑技术措施所增加的建筑面积不计入容积率核算和不动产登记的最终建筑面积。</w:t>
      </w:r>
    </w:p>
    <w:p>
      <w:pPr>
        <w:ind w:left="0" w:leftChars="0" w:right="0" w:rightChars="0" w:firstLine="480"/>
        <w:rPr>
          <w:szCs w:val="24"/>
        </w:rPr>
      </w:pPr>
      <w:r>
        <w:rPr>
          <w:rFonts w:hint="eastAsia" w:ascii="宋体" w:hAnsi="宋体" w:cs="宋体"/>
        </w:rPr>
        <w:t>②</w:t>
      </w:r>
      <w:r>
        <w:t xml:space="preserve"> 在满足国家省市相关法规标准和城乡规划要求前提下，对采用装配式方式建造绿色建筑的，其满足装配式建筑要求部分的建筑面积可按3%不计入地块的容积率核算（不超过5000</w:t>
      </w:r>
      <w:r>
        <w:rPr>
          <w:rFonts w:hint="eastAsia"/>
        </w:rPr>
        <w:t>m</w:t>
      </w:r>
      <w:r>
        <w:rPr>
          <w:vertAlign w:val="superscript"/>
        </w:rPr>
        <w:t>2</w:t>
      </w:r>
      <w:r>
        <w:t>）。主管部门办理建设工程规划许可手续时予以落实。</w:t>
      </w:r>
    </w:p>
    <w:p>
      <w:pPr>
        <w:pStyle w:val="3"/>
        <w:numPr>
          <w:ilvl w:val="1"/>
          <w:numId w:val="47"/>
        </w:numPr>
        <w:spacing w:line="360" w:lineRule="auto"/>
        <w:ind w:left="799" w:leftChars="0" w:right="-84" w:rightChars="-35" w:firstLineChars="0"/>
        <w:rPr>
          <w:rFonts w:ascii="黑体" w:hAnsi="黑体"/>
          <w:szCs w:val="30"/>
        </w:rPr>
      </w:pPr>
      <w:bookmarkStart w:id="64" w:name="_Toc117875476"/>
      <w:r>
        <w:rPr>
          <w:rFonts w:hint="eastAsia" w:ascii="黑体" w:hAnsi="黑体"/>
          <w:szCs w:val="30"/>
        </w:rPr>
        <w:t>完善发展机制，强化全寿命期管理</w:t>
      </w:r>
      <w:bookmarkEnd w:id="64"/>
    </w:p>
    <w:p>
      <w:pPr>
        <w:ind w:left="0" w:leftChars="0" w:right="0" w:rightChars="0" w:firstLine="480"/>
        <w:rPr>
          <w:szCs w:val="24"/>
        </w:rPr>
      </w:pPr>
      <w:r>
        <w:rPr>
          <w:rFonts w:hint="eastAsia"/>
          <w:szCs w:val="24"/>
        </w:rPr>
        <w:t>对应执行绿色建筑标准的项目，制定项目建设的立项、设计、施工图审查、施工、竣工验收等环节的管理措施，强化全过程监管。在规划环节的用地规划条件中，注明“项目绿色建筑等级应按《汕尾市</w:t>
      </w:r>
      <w:r>
        <w:rPr>
          <w:szCs w:val="24"/>
        </w:rPr>
        <w:t>绿色建筑发展专项规划</w:t>
      </w:r>
      <w:r>
        <w:rPr>
          <w:rFonts w:hint="eastAsia"/>
          <w:szCs w:val="24"/>
        </w:rPr>
        <w:t>（2</w:t>
      </w:r>
      <w:r>
        <w:rPr>
          <w:szCs w:val="24"/>
        </w:rPr>
        <w:t>022</w:t>
      </w:r>
      <w:r>
        <w:rPr>
          <w:rFonts w:hint="eastAsia"/>
          <w:szCs w:val="24"/>
        </w:rPr>
        <w:t>-</w:t>
      </w:r>
      <w:r>
        <w:rPr>
          <w:szCs w:val="24"/>
        </w:rPr>
        <w:t>2035</w:t>
      </w:r>
      <w:r>
        <w:rPr>
          <w:rFonts w:hint="eastAsia"/>
          <w:szCs w:val="24"/>
        </w:rPr>
        <w:t>年）</w:t>
      </w:r>
      <w:r>
        <w:rPr>
          <w:szCs w:val="24"/>
        </w:rPr>
        <w:t>》要求执行</w:t>
      </w:r>
      <w:r>
        <w:rPr>
          <w:rFonts w:hint="eastAsia"/>
          <w:szCs w:val="24"/>
        </w:rPr>
        <w:t>”</w:t>
      </w:r>
      <w:r>
        <w:rPr>
          <w:szCs w:val="24"/>
        </w:rPr>
        <w:t>，并落实装配式建筑相关要求；在土地出让环节明确绿色建筑和装配式建筑实施要求，在《建设工程规划许可证》中传导建筑星级要求。按照《广东省绿色建筑条例》要求，不符合绿色建筑等级要求的施工图设计文件不得交付使用；不符合施工图设计文件和绿色建筑标准的新建民用建筑项目，不得出具合格报告。项目竣工验收后，建设主管部门按照有关规定组织一定比例抽查，对不符合要求的项目予以行政处罚。在运行阶段，构建大型的绿色公共建筑节能运行监测考核体制。执行绿色建筑标准的大型公共建筑应全部纳入省级能耗动态监测平台，对耗能耗水情况进行实时监管，数据定期公示。推进建筑全过程信息化管理，建立和完善绿色建筑、装配式建筑、绿色建材等领域基础业务系统平台建设，并与相关部门数据对接，实现互联互通和信息共享。</w:t>
      </w:r>
    </w:p>
    <w:p>
      <w:pPr>
        <w:pStyle w:val="3"/>
        <w:numPr>
          <w:ilvl w:val="1"/>
          <w:numId w:val="47"/>
        </w:numPr>
        <w:spacing w:line="360" w:lineRule="auto"/>
        <w:ind w:left="799" w:leftChars="0" w:right="-84" w:rightChars="-35" w:firstLineChars="0"/>
        <w:rPr>
          <w:rFonts w:ascii="黑体" w:hAnsi="黑体"/>
          <w:szCs w:val="30"/>
        </w:rPr>
      </w:pPr>
      <w:bookmarkStart w:id="65" w:name="_Toc117875477"/>
      <w:r>
        <w:rPr>
          <w:rFonts w:hint="eastAsia" w:ascii="黑体" w:hAnsi="黑体"/>
          <w:szCs w:val="30"/>
        </w:rPr>
        <w:t>强化能力建设，营造良好发展环境</w:t>
      </w:r>
      <w:bookmarkEnd w:id="65"/>
    </w:p>
    <w:p>
      <w:pPr>
        <w:ind w:left="0" w:leftChars="0" w:right="0" w:rightChars="0" w:firstLine="480"/>
        <w:rPr>
          <w:szCs w:val="24"/>
        </w:rPr>
      </w:pPr>
      <w:r>
        <w:rPr>
          <w:rFonts w:hint="eastAsia"/>
          <w:szCs w:val="24"/>
        </w:rPr>
        <w:t>根据国家、省出台的第三方评价机构管理办法，建立本地化第三方评价管理办法。加强对第三方机构信用管理，实施事中事后监管、信用分类监管，逐步建立“守信激励、失信惩戒”的市场信用环境。构建完善的建筑业企业诚信评价体系，实施优胜劣汰运行机制，营造建筑市场良好的诚信运行氛围。依托高校、科研机构和协会充实专家库能力建设，支持技术咨询、科技研发、评审认证工作。大力发展绿色建筑创新前沿技术，推进全方位、多层次、宽领域的国内外合作交流，学习借鉴国际先进经验，开展绿色建造、智能建造、智慧运维等适宜的绿色建筑技术体系研究，提升绿色建筑发展水平。</w:t>
      </w:r>
    </w:p>
    <w:p>
      <w:pPr>
        <w:pStyle w:val="3"/>
        <w:numPr>
          <w:ilvl w:val="1"/>
          <w:numId w:val="47"/>
        </w:numPr>
        <w:spacing w:line="360" w:lineRule="auto"/>
        <w:ind w:left="799" w:leftChars="0" w:right="-84" w:rightChars="-35" w:firstLineChars="0"/>
        <w:rPr>
          <w:rFonts w:ascii="黑体" w:hAnsi="黑体"/>
          <w:szCs w:val="30"/>
        </w:rPr>
      </w:pPr>
      <w:bookmarkStart w:id="66" w:name="_Toc117875478"/>
      <w:r>
        <w:rPr>
          <w:rFonts w:hint="eastAsia" w:ascii="黑体" w:hAnsi="黑体"/>
          <w:szCs w:val="30"/>
        </w:rPr>
        <w:t>强化产业扶持，促进建筑产业升级</w:t>
      </w:r>
      <w:bookmarkEnd w:id="66"/>
    </w:p>
    <w:p>
      <w:pPr>
        <w:ind w:left="0" w:leftChars="0" w:right="0" w:rightChars="0" w:firstLine="480"/>
        <w:rPr>
          <w:szCs w:val="24"/>
        </w:rPr>
      </w:pPr>
      <w:r>
        <w:rPr>
          <w:rFonts w:hint="eastAsia"/>
          <w:szCs w:val="24"/>
        </w:rPr>
        <w:t>落实扶持政策，对绿色建筑产业链相关企业给予贷款、贴息或者税收优惠，对使用获得主管部门认定的绿色建材产品和材料的建筑项目给予政策优惠。积极推动汕尾市与国内外先进科研机构、企业、院校、社会组织等交流与合作，利用绿色建筑培训基地，打造绿色建筑专业平台，孵化绿色建筑研发、咨询、设计和服务公司，培育汕尾市绿色建筑发展专业产业链。</w:t>
      </w:r>
    </w:p>
    <w:p>
      <w:pPr>
        <w:pStyle w:val="3"/>
        <w:numPr>
          <w:ilvl w:val="1"/>
          <w:numId w:val="47"/>
        </w:numPr>
        <w:spacing w:line="360" w:lineRule="auto"/>
        <w:ind w:left="799" w:leftChars="0" w:right="-84" w:rightChars="-35" w:firstLineChars="0"/>
        <w:rPr>
          <w:rFonts w:ascii="黑体" w:hAnsi="黑体"/>
          <w:szCs w:val="30"/>
        </w:rPr>
      </w:pPr>
      <w:bookmarkStart w:id="67" w:name="_Toc117875479"/>
      <w:r>
        <w:rPr>
          <w:rFonts w:hint="eastAsia" w:ascii="黑体" w:hAnsi="黑体"/>
          <w:szCs w:val="30"/>
        </w:rPr>
        <w:t>开展宣传教育，提高全民绿色意识</w:t>
      </w:r>
      <w:bookmarkEnd w:id="67"/>
    </w:p>
    <w:p>
      <w:pPr>
        <w:ind w:left="0" w:leftChars="0" w:right="0" w:rightChars="0" w:firstLine="480"/>
        <w:rPr>
          <w:szCs w:val="24"/>
        </w:rPr>
      </w:pPr>
      <w:r>
        <w:rPr>
          <w:rFonts w:hint="eastAsia"/>
          <w:szCs w:val="24"/>
        </w:rPr>
        <w:t>充分利用国家节能宣传周、广东省节能宣传月等活动，开展多形式节能宣传教育，提高市民绿色意识。充分发挥新闻媒体的作用，树立积极的舆论导向，报道先进典型，曝光反面事例，加大绿色建筑相关标准、政策的宣传力度，普及绿色发展理念。积极展示汕尾市绿色建筑建设成果，充分发挥示范牵引作用，增强全社会对绿色建筑的认识及信心，逐步形成绿色建筑发展需求市场，助推绿色建筑建设发展供给侧升级。积极探索绿色社区的建设模式，增强市民对绿色创建活动的认可度和参与感。</w:t>
      </w:r>
    </w:p>
    <w:sectPr>
      <w:pgSz w:w="11907" w:h="16839"/>
      <w:pgMar w:top="1418" w:right="1701" w:bottom="1418" w:left="1701" w:header="851" w:footer="992" w:gutter="0"/>
      <w:cols w:space="1198" w:num="1"/>
      <w:docGrid w:linePitch="333" w:charSpace="-19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960" w:right="480" w:firstLine="480"/>
      </w:pPr>
      <w:r>
        <w:separator/>
      </w:r>
    </w:p>
  </w:endnote>
  <w:endnote w:type="continuationSeparator" w:id="1">
    <w:p>
      <w:pPr>
        <w:spacing w:line="240" w:lineRule="auto"/>
        <w:ind w:left="960" w:righ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altName w:val="微软雅黑"/>
    <w:panose1 w:val="02010600030101010101"/>
    <w:charset w:val="86"/>
    <w:family w:val="auto"/>
    <w:pitch w:val="default"/>
    <w:sig w:usb0="00000000" w:usb1="00000000" w:usb2="00000016" w:usb3="00000000" w:csb0="0004000F" w:csb1="00000000"/>
  </w:font>
  <w:font w:name="Microsoft YaHei UI">
    <w:altName w:val="宋体"/>
    <w:panose1 w:val="020B0503020204020204"/>
    <w:charset w:val="86"/>
    <w:family w:val="swiss"/>
    <w:pitch w:val="default"/>
    <w:sig w:usb0="00000000" w:usb1="0000000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2828189"/>
    </w:sdtPr>
    <w:sdtContent>
      <w:p>
        <w:pPr>
          <w:pStyle w:val="25"/>
          <w:ind w:left="960" w:right="480" w:firstLine="360"/>
          <w:jc w:val="center"/>
        </w:pPr>
        <w:r>
          <w:fldChar w:fldCharType="begin"/>
        </w:r>
        <w:r>
          <w:instrText xml:space="preserve">PAGE   \* MERGEFORMAT</w:instrText>
        </w:r>
        <w:r>
          <w:fldChar w:fldCharType="separate"/>
        </w:r>
        <w:r>
          <w:rPr>
            <w:lang w:val="zh-CN"/>
          </w:rPr>
          <w:t>81</w:t>
        </w:r>
        <w:r>
          <w:fldChar w:fldCharType="end"/>
        </w:r>
      </w:p>
    </w:sdtContent>
  </w:sdt>
  <w:p>
    <w:pPr>
      <w:pStyle w:val="25"/>
      <w:ind w:left="960" w:right="48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left="960" w:right="48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left="960" w:right="48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left="960" w:right="480" w:firstLine="480"/>
      </w:pPr>
      <w:r>
        <w:separator/>
      </w:r>
    </w:p>
  </w:footnote>
  <w:footnote w:type="continuationSeparator" w:id="1">
    <w:p>
      <w:pPr>
        <w:spacing w:line="360" w:lineRule="auto"/>
        <w:ind w:left="960" w:right="480"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left="0" w:leftChars="0" w:right="0" w:rightChars="0" w:firstLine="0" w:firstLineChars="0"/>
      <w:jc w:val="both"/>
    </w:pPr>
    <w:r>
      <w:rPr>
        <w:rFonts w:hint="eastAsia"/>
      </w:rPr>
      <w:t xml:space="preserve">汕尾市绿色建筑发展专项规划（2022-2035年） </w:t>
    </w:r>
    <w:r>
      <w:t xml:space="preserve">                                               说明书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left="960" w:right="48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1440" w:leftChars="0" w:right="48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4310A"/>
    <w:multiLevelType w:val="multilevel"/>
    <w:tmpl w:val="01E4310A"/>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1EA2FE1"/>
    <w:multiLevelType w:val="multilevel"/>
    <w:tmpl w:val="01EA2FE1"/>
    <w:lvl w:ilvl="0" w:tentative="0">
      <w:start w:val="1"/>
      <w:numFmt w:val="decimal"/>
      <w:lvlText w:val="第%1章"/>
      <w:lvlJc w:val="left"/>
      <w:pPr>
        <w:tabs>
          <w:tab w:val="left" w:pos="0"/>
        </w:tabs>
        <w:ind w:left="425" w:hanging="425"/>
      </w:pPr>
      <w:rPr>
        <w:rFonts w:hint="eastAsia"/>
      </w:rPr>
    </w:lvl>
    <w:lvl w:ilvl="1" w:tentative="0">
      <w:start w:val="1"/>
      <w:numFmt w:val="decimal"/>
      <w:lvlText w:val="4.%2"/>
      <w:lvlJc w:val="left"/>
      <w:pPr>
        <w:tabs>
          <w:tab w:val="left" w:pos="0"/>
        </w:tabs>
        <w:ind w:left="797" w:hanging="567"/>
      </w:pPr>
      <w:rPr>
        <w:rFonts w:hint="eastAsia"/>
      </w:rPr>
    </w:lvl>
    <w:lvl w:ilvl="2" w:tentative="0">
      <w:start w:val="1"/>
      <w:numFmt w:val="decimal"/>
      <w:lvlText w:val="4.6.%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2">
    <w:nsid w:val="03771CA9"/>
    <w:multiLevelType w:val="multilevel"/>
    <w:tmpl w:val="03771CA9"/>
    <w:lvl w:ilvl="0" w:tentative="0">
      <w:start w:val="1"/>
      <w:numFmt w:val="decimal"/>
      <w:lvlText w:val="第%1章"/>
      <w:lvlJc w:val="left"/>
      <w:pPr>
        <w:tabs>
          <w:tab w:val="left" w:pos="0"/>
        </w:tabs>
        <w:ind w:left="425" w:hanging="425"/>
      </w:pPr>
      <w:rPr>
        <w:rFonts w:hint="eastAsia"/>
      </w:rPr>
    </w:lvl>
    <w:lvl w:ilvl="1" w:tentative="0">
      <w:start w:val="1"/>
      <w:numFmt w:val="decimal"/>
      <w:lvlText w:val="4.%2"/>
      <w:lvlJc w:val="left"/>
      <w:pPr>
        <w:tabs>
          <w:tab w:val="left" w:pos="0"/>
        </w:tabs>
        <w:ind w:left="797" w:hanging="567"/>
      </w:pPr>
      <w:rPr>
        <w:rFonts w:hint="eastAsia"/>
      </w:rPr>
    </w:lvl>
    <w:lvl w:ilvl="2" w:tentative="0">
      <w:start w:val="1"/>
      <w:numFmt w:val="decimal"/>
      <w:lvlText w:val="4.7.%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3">
    <w:nsid w:val="077F4743"/>
    <w:multiLevelType w:val="multilevel"/>
    <w:tmpl w:val="077F4743"/>
    <w:lvl w:ilvl="0" w:tentative="0">
      <w:start w:val="1"/>
      <w:numFmt w:val="decimal"/>
      <w:lvlText w:val="5.3.1.%1"/>
      <w:lvlJc w:val="left"/>
      <w:pPr>
        <w:ind w:left="122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5.3.5.%4"/>
      <w:lvlJc w:val="left"/>
      <w:pPr>
        <w:ind w:left="1680" w:hanging="420"/>
      </w:pPr>
      <w:rPr>
        <w:rFonts w:hint="eastAsia" w:ascii="黑体" w:hAnsi="黑体" w:eastAsia="黑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9DF700D"/>
    <w:multiLevelType w:val="multilevel"/>
    <w:tmpl w:val="09DF700D"/>
    <w:lvl w:ilvl="0" w:tentative="0">
      <w:start w:val="1"/>
      <w:numFmt w:val="decimal"/>
      <w:lvlText w:val="第%1章"/>
      <w:lvlJc w:val="left"/>
      <w:pPr>
        <w:tabs>
          <w:tab w:val="left" w:pos="0"/>
        </w:tabs>
        <w:ind w:left="425" w:hanging="425"/>
      </w:pPr>
      <w:rPr>
        <w:rFonts w:hint="eastAsia"/>
      </w:rPr>
    </w:lvl>
    <w:lvl w:ilvl="1" w:tentative="0">
      <w:start w:val="1"/>
      <w:numFmt w:val="decimal"/>
      <w:lvlText w:val="10.%2"/>
      <w:lvlJc w:val="left"/>
      <w:pPr>
        <w:tabs>
          <w:tab w:val="left" w:pos="0"/>
        </w:tabs>
        <w:ind w:left="797" w:hanging="567"/>
      </w:pPr>
      <w:rPr>
        <w:rFonts w:hint="eastAsia"/>
      </w:rPr>
    </w:lvl>
    <w:lvl w:ilvl="2" w:tentative="0">
      <w:start w:val="1"/>
      <w:numFmt w:val="decimal"/>
      <w:lvlText w:val="9.2.%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5">
    <w:nsid w:val="0AE92BA2"/>
    <w:multiLevelType w:val="multilevel"/>
    <w:tmpl w:val="0AE92BA2"/>
    <w:lvl w:ilvl="0" w:tentative="0">
      <w:start w:val="1"/>
      <w:numFmt w:val="decimal"/>
      <w:lvlText w:val="第%1章"/>
      <w:lvlJc w:val="left"/>
      <w:pPr>
        <w:tabs>
          <w:tab w:val="left" w:pos="0"/>
        </w:tabs>
        <w:ind w:left="425" w:hanging="425"/>
      </w:pPr>
      <w:rPr>
        <w:rFonts w:hint="eastAsia"/>
      </w:rPr>
    </w:lvl>
    <w:lvl w:ilvl="1" w:tentative="0">
      <w:start w:val="1"/>
      <w:numFmt w:val="decimal"/>
      <w:lvlText w:val="4.%2"/>
      <w:lvlJc w:val="left"/>
      <w:pPr>
        <w:tabs>
          <w:tab w:val="left" w:pos="0"/>
        </w:tabs>
        <w:ind w:left="797" w:hanging="567"/>
      </w:pPr>
      <w:rPr>
        <w:rFonts w:hint="eastAsia"/>
      </w:rPr>
    </w:lvl>
    <w:lvl w:ilvl="2" w:tentative="0">
      <w:start w:val="1"/>
      <w:numFmt w:val="decimal"/>
      <w:lvlText w:val="7.1.%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6">
    <w:nsid w:val="0FFF6C4D"/>
    <w:multiLevelType w:val="multilevel"/>
    <w:tmpl w:val="0FFF6C4D"/>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107F1E43"/>
    <w:multiLevelType w:val="multilevel"/>
    <w:tmpl w:val="107F1E43"/>
    <w:lvl w:ilvl="0" w:tentative="0">
      <w:start w:val="1"/>
      <w:numFmt w:val="decimal"/>
      <w:lvlText w:val="第%1章"/>
      <w:lvlJc w:val="left"/>
      <w:pPr>
        <w:tabs>
          <w:tab w:val="left" w:pos="0"/>
        </w:tabs>
        <w:ind w:left="425" w:hanging="425"/>
      </w:pPr>
      <w:rPr>
        <w:rFonts w:hint="eastAsia"/>
      </w:rPr>
    </w:lvl>
    <w:lvl w:ilvl="1" w:tentative="0">
      <w:start w:val="1"/>
      <w:numFmt w:val="decimal"/>
      <w:lvlText w:val="8.%2"/>
      <w:lvlJc w:val="left"/>
      <w:pPr>
        <w:tabs>
          <w:tab w:val="left" w:pos="0"/>
        </w:tabs>
        <w:ind w:left="797" w:hanging="567"/>
      </w:pPr>
      <w:rPr>
        <w:rFonts w:hint="eastAsia"/>
      </w:rPr>
    </w:lvl>
    <w:lvl w:ilvl="2" w:tentative="0">
      <w:start w:val="1"/>
      <w:numFmt w:val="decimal"/>
      <w:lvlText w:val="7.3.%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8">
    <w:nsid w:val="11DA15A5"/>
    <w:multiLevelType w:val="multilevel"/>
    <w:tmpl w:val="11DA15A5"/>
    <w:lvl w:ilvl="0" w:tentative="0">
      <w:start w:val="1"/>
      <w:numFmt w:val="decimal"/>
      <w:lvlText w:val="表3-%1"/>
      <w:lvlJc w:val="left"/>
      <w:pPr>
        <w:ind w:left="420" w:hanging="420"/>
      </w:pPr>
      <w:rPr>
        <w:rFonts w:hint="eastAsia"/>
        <w:b/>
        <w:sz w:val="22"/>
        <w:szCs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33A3BCA"/>
    <w:multiLevelType w:val="multilevel"/>
    <w:tmpl w:val="133A3BCA"/>
    <w:lvl w:ilvl="0" w:tentative="0">
      <w:start w:val="1"/>
      <w:numFmt w:val="decimal"/>
      <w:lvlText w:val="第%1章"/>
      <w:lvlJc w:val="left"/>
      <w:pPr>
        <w:tabs>
          <w:tab w:val="left" w:pos="0"/>
        </w:tabs>
        <w:ind w:left="425" w:hanging="425"/>
      </w:pPr>
      <w:rPr>
        <w:rFonts w:hint="eastAsia"/>
      </w:rPr>
    </w:lvl>
    <w:lvl w:ilvl="1" w:tentative="0">
      <w:start w:val="1"/>
      <w:numFmt w:val="decimal"/>
      <w:lvlText w:val="7.%2"/>
      <w:lvlJc w:val="left"/>
      <w:pPr>
        <w:tabs>
          <w:tab w:val="left" w:pos="0"/>
        </w:tabs>
        <w:ind w:left="797" w:hanging="567"/>
      </w:pPr>
      <w:rPr>
        <w:rFonts w:hint="eastAsia"/>
      </w:rPr>
    </w:lvl>
    <w:lvl w:ilvl="2" w:tentative="0">
      <w:start w:val="1"/>
      <w:numFmt w:val="decimal"/>
      <w:lvlText w:val="7.3.%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10">
    <w:nsid w:val="1467574C"/>
    <w:multiLevelType w:val="multilevel"/>
    <w:tmpl w:val="1467574C"/>
    <w:lvl w:ilvl="0" w:tentative="0">
      <w:start w:val="1"/>
      <w:numFmt w:val="decimal"/>
      <w:lvlText w:val="第%1章"/>
      <w:lvlJc w:val="left"/>
      <w:pPr>
        <w:tabs>
          <w:tab w:val="left" w:pos="0"/>
        </w:tabs>
        <w:ind w:left="425" w:hanging="425"/>
      </w:pPr>
      <w:rPr>
        <w:rFonts w:hint="eastAsia"/>
      </w:rPr>
    </w:lvl>
    <w:lvl w:ilvl="1" w:tentative="0">
      <w:start w:val="1"/>
      <w:numFmt w:val="decimal"/>
      <w:lvlText w:val="4.%2"/>
      <w:lvlJc w:val="left"/>
      <w:pPr>
        <w:tabs>
          <w:tab w:val="left" w:pos="0"/>
        </w:tabs>
        <w:ind w:left="797" w:hanging="567"/>
      </w:pPr>
      <w:rPr>
        <w:rFonts w:hint="eastAsia"/>
      </w:rPr>
    </w:lvl>
    <w:lvl w:ilvl="2" w:tentative="0">
      <w:start w:val="1"/>
      <w:numFmt w:val="decimal"/>
      <w:lvlText w:val="6.3.%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11">
    <w:nsid w:val="1B233E67"/>
    <w:multiLevelType w:val="multilevel"/>
    <w:tmpl w:val="1B233E67"/>
    <w:lvl w:ilvl="0" w:tentative="0">
      <w:start w:val="1"/>
      <w:numFmt w:val="decimal"/>
      <w:lvlText w:val="5.3.1.%1"/>
      <w:lvlJc w:val="left"/>
      <w:pPr>
        <w:ind w:left="122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5.3.6.%4"/>
      <w:lvlJc w:val="left"/>
      <w:pPr>
        <w:ind w:left="1680" w:hanging="420"/>
      </w:pPr>
      <w:rPr>
        <w:rFonts w:hint="eastAsia" w:ascii="黑体" w:hAnsi="黑体" w:eastAsia="黑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C354B31"/>
    <w:multiLevelType w:val="multilevel"/>
    <w:tmpl w:val="1C354B31"/>
    <w:lvl w:ilvl="0" w:tentative="0">
      <w:start w:val="1"/>
      <w:numFmt w:val="decimal"/>
      <w:lvlText w:val="图4-%1"/>
      <w:lvlJc w:val="left"/>
      <w:pPr>
        <w:ind w:left="420" w:hanging="420"/>
      </w:pPr>
      <w:rPr>
        <w:rFonts w:hint="eastAsia"/>
        <w:b/>
        <w:sz w:val="22"/>
        <w:szCs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D017318"/>
    <w:multiLevelType w:val="multilevel"/>
    <w:tmpl w:val="1D017318"/>
    <w:lvl w:ilvl="0" w:tentative="0">
      <w:start w:val="1"/>
      <w:numFmt w:val="decimal"/>
      <w:pStyle w:val="159"/>
      <w:lvlText w:val="表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D5B6759"/>
    <w:multiLevelType w:val="multilevel"/>
    <w:tmpl w:val="1D5B6759"/>
    <w:lvl w:ilvl="0" w:tentative="0">
      <w:start w:val="1"/>
      <w:numFmt w:val="decimal"/>
      <w:pStyle w:val="105"/>
      <w:lvlText w:val="第 %1 章  "/>
      <w:lvlJc w:val="left"/>
      <w:pPr>
        <w:tabs>
          <w:tab w:val="left" w:pos="1049"/>
        </w:tabs>
        <w:ind w:left="482" w:firstLine="85"/>
      </w:pPr>
      <w:rPr>
        <w:rFonts w:hint="eastAsia"/>
      </w:rPr>
    </w:lvl>
    <w:lvl w:ilvl="1" w:tentative="0">
      <w:start w:val="1"/>
      <w:numFmt w:val="decimal"/>
      <w:pStyle w:val="101"/>
      <w:lvlText w:val="%1.%2"/>
      <w:lvlJc w:val="left"/>
      <w:pPr>
        <w:tabs>
          <w:tab w:val="left" w:pos="1333"/>
        </w:tabs>
        <w:ind w:left="482" w:firstLine="0"/>
      </w:pPr>
      <w:rPr>
        <w:rFonts w:hint="eastAsia"/>
      </w:rPr>
    </w:lvl>
    <w:lvl w:ilvl="2" w:tentative="0">
      <w:start w:val="1"/>
      <w:numFmt w:val="decimal"/>
      <w:pStyle w:val="98"/>
      <w:lvlText w:val="%1.%2.%3"/>
      <w:lvlJc w:val="left"/>
      <w:pPr>
        <w:tabs>
          <w:tab w:val="left" w:pos="1627"/>
        </w:tabs>
        <w:ind w:left="1627" w:hanging="907"/>
      </w:pPr>
      <w:rPr>
        <w:rFonts w:hint="eastAsia"/>
      </w:rPr>
    </w:lvl>
    <w:lvl w:ilvl="3" w:tentative="0">
      <w:start w:val="1"/>
      <w:numFmt w:val="decimal"/>
      <w:pStyle w:val="93"/>
      <w:lvlText w:val=" %4 . "/>
      <w:lvlJc w:val="left"/>
      <w:pPr>
        <w:tabs>
          <w:tab w:val="left" w:pos="766"/>
        </w:tabs>
        <w:ind w:left="1333" w:hanging="851"/>
      </w:pPr>
      <w:rPr>
        <w:rFonts w:hint="eastAsia"/>
      </w:rPr>
    </w:lvl>
    <w:lvl w:ilvl="4" w:tentative="0">
      <w:start w:val="1"/>
      <w:numFmt w:val="decimal"/>
      <w:lvlText w:val="（%5）"/>
      <w:lvlJc w:val="left"/>
      <w:pPr>
        <w:tabs>
          <w:tab w:val="left" w:pos="1049"/>
        </w:tabs>
        <w:ind w:left="482" w:firstLine="0"/>
      </w:pPr>
      <w:rPr>
        <w:rFonts w:hint="eastAsia"/>
      </w:rPr>
    </w:lvl>
    <w:lvl w:ilvl="5" w:tentative="0">
      <w:start w:val="1"/>
      <w:numFmt w:val="decimal"/>
      <w:lvlText w:val="%1.%2.%3.%4.%5.%6."/>
      <w:lvlJc w:val="left"/>
      <w:pPr>
        <w:tabs>
          <w:tab w:val="left" w:pos="1616"/>
        </w:tabs>
        <w:ind w:left="1616" w:hanging="1134"/>
      </w:pPr>
      <w:rPr>
        <w:rFonts w:hint="eastAsia"/>
      </w:rPr>
    </w:lvl>
    <w:lvl w:ilvl="6" w:tentative="0">
      <w:start w:val="1"/>
      <w:numFmt w:val="decimal"/>
      <w:lvlText w:val="%1.%2.%3.%4.%5.%6.%7."/>
      <w:lvlJc w:val="left"/>
      <w:pPr>
        <w:tabs>
          <w:tab w:val="left" w:pos="1758"/>
        </w:tabs>
        <w:ind w:left="1758" w:hanging="1276"/>
      </w:pPr>
      <w:rPr>
        <w:rFonts w:hint="eastAsia"/>
      </w:rPr>
    </w:lvl>
    <w:lvl w:ilvl="7" w:tentative="0">
      <w:start w:val="1"/>
      <w:numFmt w:val="decimal"/>
      <w:lvlText w:val="%1.%2.%3.%4.%5.%6.%7.%8."/>
      <w:lvlJc w:val="left"/>
      <w:pPr>
        <w:tabs>
          <w:tab w:val="left" w:pos="1900"/>
        </w:tabs>
        <w:ind w:left="1900" w:hanging="1418"/>
      </w:pPr>
      <w:rPr>
        <w:rFonts w:hint="eastAsia"/>
      </w:rPr>
    </w:lvl>
    <w:lvl w:ilvl="8" w:tentative="0">
      <w:start w:val="1"/>
      <w:numFmt w:val="decimal"/>
      <w:lvlText w:val="%1.%2.%3.%4.%5.%6.%7.%8.%9."/>
      <w:lvlJc w:val="left"/>
      <w:pPr>
        <w:tabs>
          <w:tab w:val="left" w:pos="2041"/>
        </w:tabs>
        <w:ind w:left="2041" w:hanging="1559"/>
      </w:pPr>
      <w:rPr>
        <w:rFonts w:hint="eastAsia"/>
      </w:rPr>
    </w:lvl>
  </w:abstractNum>
  <w:abstractNum w:abstractNumId="15">
    <w:nsid w:val="21B30527"/>
    <w:multiLevelType w:val="multilevel"/>
    <w:tmpl w:val="21B30527"/>
    <w:lvl w:ilvl="0" w:tentative="0">
      <w:start w:val="1"/>
      <w:numFmt w:val="decimal"/>
      <w:lvlText w:val="第%1章"/>
      <w:lvlJc w:val="left"/>
      <w:pPr>
        <w:tabs>
          <w:tab w:val="left" w:pos="0"/>
        </w:tabs>
        <w:ind w:left="425" w:hanging="425"/>
      </w:pPr>
      <w:rPr>
        <w:rFonts w:hint="eastAsia"/>
      </w:rPr>
    </w:lvl>
    <w:lvl w:ilvl="1" w:tentative="0">
      <w:start w:val="1"/>
      <w:numFmt w:val="decimal"/>
      <w:lvlText w:val="4.%2"/>
      <w:lvlJc w:val="left"/>
      <w:pPr>
        <w:tabs>
          <w:tab w:val="left" w:pos="0"/>
        </w:tabs>
        <w:ind w:left="797" w:hanging="567"/>
      </w:pPr>
      <w:rPr>
        <w:rFonts w:hint="eastAsia"/>
      </w:rPr>
    </w:lvl>
    <w:lvl w:ilvl="2" w:tentative="0">
      <w:start w:val="1"/>
      <w:numFmt w:val="decimal"/>
      <w:lvlText w:val="7.3.%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16">
    <w:nsid w:val="28C838EC"/>
    <w:multiLevelType w:val="multilevel"/>
    <w:tmpl w:val="28C838EC"/>
    <w:lvl w:ilvl="0" w:tentative="0">
      <w:start w:val="1"/>
      <w:numFmt w:val="decimal"/>
      <w:lvlText w:val="第%1章"/>
      <w:lvlJc w:val="left"/>
      <w:pPr>
        <w:tabs>
          <w:tab w:val="left" w:pos="0"/>
        </w:tabs>
        <w:ind w:left="425" w:hanging="425"/>
      </w:pPr>
      <w:rPr>
        <w:rFonts w:hint="eastAsia"/>
      </w:rPr>
    </w:lvl>
    <w:lvl w:ilvl="1" w:tentative="0">
      <w:start w:val="1"/>
      <w:numFmt w:val="decimal"/>
      <w:lvlText w:val="4.%2"/>
      <w:lvlJc w:val="left"/>
      <w:pPr>
        <w:tabs>
          <w:tab w:val="left" w:pos="0"/>
        </w:tabs>
        <w:ind w:left="797" w:hanging="567"/>
      </w:pPr>
      <w:rPr>
        <w:rFonts w:hint="eastAsia"/>
      </w:rPr>
    </w:lvl>
    <w:lvl w:ilvl="2" w:tentative="0">
      <w:start w:val="1"/>
      <w:numFmt w:val="decimal"/>
      <w:lvlText w:val="7.2.%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17">
    <w:nsid w:val="2BDC4995"/>
    <w:multiLevelType w:val="multilevel"/>
    <w:tmpl w:val="2BDC4995"/>
    <w:lvl w:ilvl="0" w:tentative="0">
      <w:start w:val="1"/>
      <w:numFmt w:val="decimal"/>
      <w:lvlText w:val="第%1章"/>
      <w:lvlJc w:val="left"/>
      <w:pPr>
        <w:tabs>
          <w:tab w:val="left" w:pos="0"/>
        </w:tabs>
        <w:ind w:left="425" w:hanging="425"/>
      </w:pPr>
      <w:rPr>
        <w:rFonts w:hint="eastAsia"/>
      </w:rPr>
    </w:lvl>
    <w:lvl w:ilvl="1" w:tentative="0">
      <w:start w:val="1"/>
      <w:numFmt w:val="decimal"/>
      <w:lvlText w:val="4.%2"/>
      <w:lvlJc w:val="left"/>
      <w:pPr>
        <w:tabs>
          <w:tab w:val="left" w:pos="0"/>
        </w:tabs>
        <w:ind w:left="797" w:hanging="567"/>
      </w:pPr>
      <w:rPr>
        <w:rFonts w:hint="eastAsia"/>
      </w:rPr>
    </w:lvl>
    <w:lvl w:ilvl="2" w:tentative="0">
      <w:start w:val="1"/>
      <w:numFmt w:val="decimal"/>
      <w:lvlText w:val="6.4.%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18">
    <w:nsid w:val="2CEE5FE3"/>
    <w:multiLevelType w:val="multilevel"/>
    <w:tmpl w:val="2CEE5FE3"/>
    <w:lvl w:ilvl="0" w:tentative="0">
      <w:start w:val="1"/>
      <w:numFmt w:val="decimal"/>
      <w:pStyle w:val="161"/>
      <w:lvlText w:val="图3-%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2CF32DE0"/>
    <w:multiLevelType w:val="multilevel"/>
    <w:tmpl w:val="2CF32DE0"/>
    <w:lvl w:ilvl="0" w:tentative="0">
      <w:start w:val="1"/>
      <w:numFmt w:val="decimal"/>
      <w:lvlText w:val="5.3.1.%1"/>
      <w:lvlJc w:val="left"/>
      <w:pPr>
        <w:ind w:left="122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5.3.8.%4"/>
      <w:lvlJc w:val="left"/>
      <w:pPr>
        <w:ind w:left="1680" w:hanging="420"/>
      </w:pPr>
      <w:rPr>
        <w:rFonts w:hint="eastAsia" w:ascii="黑体" w:hAnsi="黑体" w:eastAsia="黑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80548A2"/>
    <w:multiLevelType w:val="multilevel"/>
    <w:tmpl w:val="380548A2"/>
    <w:lvl w:ilvl="0" w:tentative="0">
      <w:start w:val="1"/>
      <w:numFmt w:val="decimal"/>
      <w:lvlText w:val="第%1章"/>
      <w:lvlJc w:val="left"/>
      <w:pPr>
        <w:tabs>
          <w:tab w:val="left" w:pos="0"/>
        </w:tabs>
        <w:ind w:left="425" w:hanging="425"/>
      </w:pPr>
      <w:rPr>
        <w:rFonts w:hint="eastAsia"/>
      </w:rPr>
    </w:lvl>
    <w:lvl w:ilvl="1" w:tentative="0">
      <w:start w:val="1"/>
      <w:numFmt w:val="decimal"/>
      <w:lvlText w:val="4.%2"/>
      <w:lvlJc w:val="left"/>
      <w:pPr>
        <w:tabs>
          <w:tab w:val="left" w:pos="0"/>
        </w:tabs>
        <w:ind w:left="797" w:hanging="567"/>
      </w:pPr>
      <w:rPr>
        <w:rFonts w:hint="eastAsia"/>
      </w:rPr>
    </w:lvl>
    <w:lvl w:ilvl="2" w:tentative="0">
      <w:start w:val="1"/>
      <w:numFmt w:val="decimal"/>
      <w:lvlText w:val="5.2.%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21">
    <w:nsid w:val="3A0A4C4C"/>
    <w:multiLevelType w:val="multilevel"/>
    <w:tmpl w:val="3A0A4C4C"/>
    <w:lvl w:ilvl="0" w:tentative="0">
      <w:start w:val="1"/>
      <w:numFmt w:val="decimal"/>
      <w:lvlText w:val="5.3.1.%1"/>
      <w:lvlJc w:val="left"/>
      <w:pPr>
        <w:ind w:left="122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5.3.4.%4"/>
      <w:lvlJc w:val="left"/>
      <w:pPr>
        <w:ind w:left="1680" w:hanging="420"/>
      </w:pPr>
      <w:rPr>
        <w:rFonts w:hint="eastAsia" w:ascii="黑体" w:hAnsi="黑体" w:eastAsia="黑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CA307E9"/>
    <w:multiLevelType w:val="multilevel"/>
    <w:tmpl w:val="3CA307E9"/>
    <w:lvl w:ilvl="0" w:tentative="0">
      <w:start w:val="1"/>
      <w:numFmt w:val="decimal"/>
      <w:lvlText w:val="第%1章"/>
      <w:lvlJc w:val="left"/>
      <w:pPr>
        <w:tabs>
          <w:tab w:val="left" w:pos="0"/>
        </w:tabs>
        <w:ind w:left="425" w:hanging="425"/>
      </w:pPr>
      <w:rPr>
        <w:rFonts w:hint="eastAsia"/>
      </w:rPr>
    </w:lvl>
    <w:lvl w:ilvl="1" w:tentative="0">
      <w:start w:val="1"/>
      <w:numFmt w:val="decimal"/>
      <w:lvlText w:val="4.%2"/>
      <w:lvlJc w:val="left"/>
      <w:pPr>
        <w:tabs>
          <w:tab w:val="left" w:pos="0"/>
        </w:tabs>
        <w:ind w:left="797" w:hanging="567"/>
      </w:pPr>
      <w:rPr>
        <w:rFonts w:hint="eastAsia"/>
      </w:rPr>
    </w:lvl>
    <w:lvl w:ilvl="2" w:tentative="0">
      <w:start w:val="1"/>
      <w:numFmt w:val="decimal"/>
      <w:lvlText w:val="8.1.%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23">
    <w:nsid w:val="3D7E5A75"/>
    <w:multiLevelType w:val="multilevel"/>
    <w:tmpl w:val="3D7E5A75"/>
    <w:lvl w:ilvl="0" w:tentative="0">
      <w:start w:val="1"/>
      <w:numFmt w:val="decimal"/>
      <w:lvlText w:val="图2-%1"/>
      <w:lvlJc w:val="left"/>
      <w:pPr>
        <w:ind w:left="420" w:hanging="420"/>
      </w:pPr>
      <w:rPr>
        <w:rFonts w:hint="default" w:ascii="Times New Roman" w:hAnsi="Times New Roman" w:cs="Times New Roman"/>
        <w:b/>
        <w:sz w:val="22"/>
        <w:szCs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E771E98"/>
    <w:multiLevelType w:val="multilevel"/>
    <w:tmpl w:val="3E771E98"/>
    <w:lvl w:ilvl="0" w:tentative="0">
      <w:start w:val="1"/>
      <w:numFmt w:val="decimal"/>
      <w:pStyle w:val="139"/>
      <w:lvlText w:val="表10-%1"/>
      <w:lvlJc w:val="center"/>
      <w:pPr>
        <w:ind w:left="420" w:hanging="420"/>
      </w:pPr>
      <w:rPr>
        <w:rFonts w:hint="eastAsia"/>
      </w:rPr>
    </w:lvl>
    <w:lvl w:ilvl="1" w:tentative="0">
      <w:start w:val="1"/>
      <w:numFmt w:val="lowerLetter"/>
      <w:pStyle w:val="152"/>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3FAE4782"/>
    <w:multiLevelType w:val="multilevel"/>
    <w:tmpl w:val="3FAE4782"/>
    <w:lvl w:ilvl="0" w:tentative="0">
      <w:start w:val="1"/>
      <w:numFmt w:val="decimal"/>
      <w:pStyle w:val="140"/>
      <w:lvlText w:val="表12-%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0C040DA"/>
    <w:multiLevelType w:val="multilevel"/>
    <w:tmpl w:val="40C040DA"/>
    <w:lvl w:ilvl="0" w:tentative="0">
      <w:start w:val="1"/>
      <w:numFmt w:val="decimal"/>
      <w:pStyle w:val="136"/>
      <w:lvlText w:val="图3-%1"/>
      <w:lvlJc w:val="left"/>
      <w:pPr>
        <w:ind w:left="420" w:hanging="420"/>
      </w:pPr>
      <w:rPr>
        <w:rFonts w:hint="default" w:ascii="Times New Roman" w:hAnsi="Times New Roman" w:cs="Times New Roman"/>
        <w:b/>
        <w:sz w:val="21"/>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431F4B0A"/>
    <w:multiLevelType w:val="multilevel"/>
    <w:tmpl w:val="431F4B0A"/>
    <w:lvl w:ilvl="0" w:tentative="0">
      <w:start w:val="1"/>
      <w:numFmt w:val="decimal"/>
      <w:lvlText w:val="第%1章"/>
      <w:lvlJc w:val="left"/>
      <w:pPr>
        <w:tabs>
          <w:tab w:val="left" w:pos="0"/>
        </w:tabs>
        <w:ind w:left="425" w:hanging="425"/>
      </w:pPr>
      <w:rPr>
        <w:rFonts w:hint="eastAsia"/>
      </w:rPr>
    </w:lvl>
    <w:lvl w:ilvl="1" w:tentative="0">
      <w:start w:val="1"/>
      <w:numFmt w:val="decimal"/>
      <w:lvlText w:val="4.%2"/>
      <w:lvlJc w:val="left"/>
      <w:pPr>
        <w:tabs>
          <w:tab w:val="left" w:pos="0"/>
        </w:tabs>
        <w:ind w:left="797" w:hanging="567"/>
      </w:pPr>
      <w:rPr>
        <w:rFonts w:hint="eastAsia"/>
      </w:rPr>
    </w:lvl>
    <w:lvl w:ilvl="2" w:tentative="0">
      <w:start w:val="1"/>
      <w:numFmt w:val="decimal"/>
      <w:lvlText w:val="5.3.%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28">
    <w:nsid w:val="46934233"/>
    <w:multiLevelType w:val="multilevel"/>
    <w:tmpl w:val="46934233"/>
    <w:lvl w:ilvl="0" w:tentative="0">
      <w:start w:val="1"/>
      <w:numFmt w:val="decimal"/>
      <w:lvlText w:val="表10-%1"/>
      <w:lvlJc w:val="left"/>
      <w:pPr>
        <w:ind w:left="1260" w:hanging="420"/>
      </w:pPr>
      <w:rPr>
        <w:rFonts w:hint="eastAsia"/>
        <w:b/>
        <w:sz w:val="24"/>
        <w:szCs w:val="24"/>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47AE2B66"/>
    <w:multiLevelType w:val="multilevel"/>
    <w:tmpl w:val="47AE2B66"/>
    <w:lvl w:ilvl="0" w:tentative="0">
      <w:start w:val="1"/>
      <w:numFmt w:val="decimal"/>
      <w:lvlText w:val="第%1章"/>
      <w:lvlJc w:val="left"/>
      <w:pPr>
        <w:tabs>
          <w:tab w:val="left" w:pos="0"/>
        </w:tabs>
        <w:ind w:left="425" w:hanging="425"/>
      </w:pPr>
      <w:rPr>
        <w:rFonts w:hint="eastAsia"/>
      </w:rPr>
    </w:lvl>
    <w:lvl w:ilvl="1" w:tentative="0">
      <w:start w:val="1"/>
      <w:numFmt w:val="decimal"/>
      <w:lvlText w:val="6.%2"/>
      <w:lvlJc w:val="left"/>
      <w:pPr>
        <w:tabs>
          <w:tab w:val="left" w:pos="0"/>
        </w:tabs>
        <w:ind w:left="797" w:hanging="567"/>
      </w:pPr>
      <w:rPr>
        <w:rFonts w:hint="eastAsia"/>
      </w:rPr>
    </w:lvl>
    <w:lvl w:ilvl="2" w:tentative="0">
      <w:start w:val="1"/>
      <w:numFmt w:val="decimal"/>
      <w:lvlText w:val="4.4.%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30">
    <w:nsid w:val="47D91788"/>
    <w:multiLevelType w:val="multilevel"/>
    <w:tmpl w:val="47D91788"/>
    <w:lvl w:ilvl="0" w:tentative="0">
      <w:start w:val="1"/>
      <w:numFmt w:val="decimal"/>
      <w:lvlText w:val="表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47EE2F11"/>
    <w:multiLevelType w:val="multilevel"/>
    <w:tmpl w:val="47EE2F11"/>
    <w:lvl w:ilvl="0" w:tentative="0">
      <w:start w:val="1"/>
      <w:numFmt w:val="decimal"/>
      <w:pStyle w:val="4"/>
      <w:lvlText w:val="1.2.%1"/>
      <w:lvlJc w:val="left"/>
      <w:pPr>
        <w:ind w:left="1020" w:hanging="420"/>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32">
    <w:nsid w:val="49463FA6"/>
    <w:multiLevelType w:val="multilevel"/>
    <w:tmpl w:val="49463FA6"/>
    <w:lvl w:ilvl="0" w:tentative="0">
      <w:start w:val="1"/>
      <w:numFmt w:val="decimal"/>
      <w:lvlText w:val="%1、"/>
      <w:lvlJc w:val="left"/>
      <w:pPr>
        <w:tabs>
          <w:tab w:val="left" w:pos="567"/>
        </w:tabs>
        <w:ind w:left="567" w:hanging="567"/>
      </w:pPr>
      <w:rPr>
        <w:rFonts w:hint="default"/>
      </w:rPr>
    </w:lvl>
    <w:lvl w:ilvl="1" w:tentative="0">
      <w:start w:val="1"/>
      <w:numFmt w:val="chineseCountingThousand"/>
      <w:pStyle w:val="95"/>
      <w:lvlText w:val="第%2条 "/>
      <w:lvlJc w:val="left"/>
      <w:pPr>
        <w:tabs>
          <w:tab w:val="left" w:pos="817"/>
        </w:tabs>
        <w:ind w:left="420" w:firstLine="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52DB5A04"/>
    <w:multiLevelType w:val="multilevel"/>
    <w:tmpl w:val="52DB5A04"/>
    <w:lvl w:ilvl="0" w:tentative="0">
      <w:start w:val="1"/>
      <w:numFmt w:val="decimal"/>
      <w:lvlText w:val="5.3.1.%1"/>
      <w:lvlJc w:val="left"/>
      <w:pPr>
        <w:ind w:left="122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5.3.1.%4"/>
      <w:lvlJc w:val="left"/>
      <w:pPr>
        <w:ind w:left="1680" w:hanging="420"/>
      </w:pPr>
      <w:rPr>
        <w:rFonts w:hint="eastAsia" w:ascii="黑体" w:hAnsi="黑体" w:eastAsia="黑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54191104"/>
    <w:multiLevelType w:val="multilevel"/>
    <w:tmpl w:val="54191104"/>
    <w:lvl w:ilvl="0" w:tentative="0">
      <w:start w:val="1"/>
      <w:numFmt w:val="decimal"/>
      <w:lvlText w:val="第%1章"/>
      <w:lvlJc w:val="left"/>
      <w:pPr>
        <w:tabs>
          <w:tab w:val="left" w:pos="0"/>
        </w:tabs>
        <w:ind w:left="425" w:hanging="425"/>
      </w:pPr>
      <w:rPr>
        <w:rFonts w:hint="eastAsia"/>
      </w:rPr>
    </w:lvl>
    <w:lvl w:ilvl="1" w:tentative="0">
      <w:start w:val="1"/>
      <w:numFmt w:val="decimal"/>
      <w:lvlText w:val="4.%2"/>
      <w:lvlJc w:val="left"/>
      <w:pPr>
        <w:tabs>
          <w:tab w:val="left" w:pos="0"/>
        </w:tabs>
        <w:ind w:left="797" w:hanging="567"/>
      </w:pPr>
      <w:rPr>
        <w:rFonts w:hint="eastAsia"/>
      </w:rPr>
    </w:lvl>
    <w:lvl w:ilvl="2" w:tentative="0">
      <w:start w:val="1"/>
      <w:numFmt w:val="decimal"/>
      <w:lvlText w:val="3.1.%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35">
    <w:nsid w:val="560971BD"/>
    <w:multiLevelType w:val="multilevel"/>
    <w:tmpl w:val="560971BD"/>
    <w:lvl w:ilvl="0" w:tentative="0">
      <w:start w:val="1"/>
      <w:numFmt w:val="decimal"/>
      <w:lvlText w:val="表9-%1"/>
      <w:lvlJc w:val="left"/>
      <w:pPr>
        <w:ind w:left="1260" w:hanging="420"/>
      </w:pPr>
      <w:rPr>
        <w:rFonts w:hint="eastAsia"/>
        <w:b/>
        <w:sz w:val="24"/>
        <w:szCs w:val="24"/>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5C3D4B17"/>
    <w:multiLevelType w:val="multilevel"/>
    <w:tmpl w:val="5C3D4B17"/>
    <w:lvl w:ilvl="0" w:tentative="0">
      <w:start w:val="1"/>
      <w:numFmt w:val="decimal"/>
      <w:lvlText w:val="第%1章"/>
      <w:lvlJc w:val="left"/>
      <w:pPr>
        <w:tabs>
          <w:tab w:val="left" w:pos="0"/>
        </w:tabs>
        <w:ind w:left="425" w:hanging="425"/>
      </w:pPr>
      <w:rPr>
        <w:rFonts w:hint="eastAsia"/>
      </w:rPr>
    </w:lvl>
    <w:lvl w:ilvl="1" w:tentative="0">
      <w:start w:val="1"/>
      <w:numFmt w:val="decimal"/>
      <w:lvlText w:val="%1.%2"/>
      <w:lvlJc w:val="left"/>
      <w:pPr>
        <w:tabs>
          <w:tab w:val="left" w:pos="0"/>
        </w:tabs>
        <w:ind w:left="797" w:hanging="567"/>
      </w:pPr>
      <w:rPr>
        <w:rFonts w:hint="eastAsia"/>
      </w:rPr>
    </w:lvl>
    <w:lvl w:ilvl="2" w:tentative="0">
      <w:start w:val="1"/>
      <w:numFmt w:val="decimal"/>
      <w:lvlText w:val="%1.%2.%3"/>
      <w:lvlJc w:val="left"/>
      <w:pPr>
        <w:tabs>
          <w:tab w:val="left" w:pos="0"/>
        </w:tabs>
        <w:ind w:left="567" w:hanging="567"/>
      </w:pPr>
      <w:rPr>
        <w:rFonts w:hint="eastAsia" w:ascii="黑体" w:hAnsi="黑体" w:eastAsia="黑体"/>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37">
    <w:nsid w:val="5C560DFB"/>
    <w:multiLevelType w:val="multilevel"/>
    <w:tmpl w:val="5C560DFB"/>
    <w:lvl w:ilvl="0" w:tentative="0">
      <w:start w:val="1"/>
      <w:numFmt w:val="decimal"/>
      <w:pStyle w:val="146"/>
      <w:lvlText w:val="表6-%1."/>
      <w:lvlJc w:val="left"/>
      <w:pPr>
        <w:ind w:left="900" w:hanging="420"/>
      </w:pPr>
      <w:rPr>
        <w:rFonts w:hint="eastAsia" w:ascii="宋体" w:hAnsi="宋体" w:eastAsia="宋体"/>
        <w:b/>
        <w:i w:val="0"/>
        <w:sz w:val="22"/>
        <w:szCs w:val="22"/>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5E547EEA"/>
    <w:multiLevelType w:val="multilevel"/>
    <w:tmpl w:val="5E547EEA"/>
    <w:lvl w:ilvl="0" w:tentative="0">
      <w:start w:val="1"/>
      <w:numFmt w:val="decimal"/>
      <w:lvlText w:val="5.3.1.%1"/>
      <w:lvlJc w:val="left"/>
      <w:pPr>
        <w:ind w:left="122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5.3.7.%4"/>
      <w:lvlJc w:val="left"/>
      <w:pPr>
        <w:ind w:left="1680" w:hanging="420"/>
      </w:pPr>
      <w:rPr>
        <w:rFonts w:hint="eastAsia" w:ascii="黑体" w:hAnsi="黑体" w:eastAsia="黑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5F197A6F"/>
    <w:multiLevelType w:val="multilevel"/>
    <w:tmpl w:val="5F197A6F"/>
    <w:lvl w:ilvl="0" w:tentative="0">
      <w:start w:val="1"/>
      <w:numFmt w:val="bullet"/>
      <w:pStyle w:val="114"/>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0">
    <w:nsid w:val="61E12F81"/>
    <w:multiLevelType w:val="multilevel"/>
    <w:tmpl w:val="61E12F81"/>
    <w:lvl w:ilvl="0" w:tentative="0">
      <w:start w:val="1"/>
      <w:numFmt w:val="decimal"/>
      <w:lvlText w:val="5.3.1.%1"/>
      <w:lvlJc w:val="left"/>
      <w:pPr>
        <w:ind w:left="122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5.3.2.%4"/>
      <w:lvlJc w:val="left"/>
      <w:pPr>
        <w:ind w:left="1680" w:hanging="420"/>
      </w:pPr>
      <w:rPr>
        <w:rFonts w:hint="eastAsia" w:ascii="黑体" w:hAnsi="黑体" w:eastAsia="黑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62A75C7B"/>
    <w:multiLevelType w:val="multilevel"/>
    <w:tmpl w:val="62A75C7B"/>
    <w:lvl w:ilvl="0" w:tentative="0">
      <w:start w:val="1"/>
      <w:numFmt w:val="decimal"/>
      <w:lvlText w:val="第%1章"/>
      <w:lvlJc w:val="left"/>
      <w:pPr>
        <w:tabs>
          <w:tab w:val="left" w:pos="0"/>
        </w:tabs>
        <w:ind w:left="425" w:hanging="425"/>
      </w:pPr>
      <w:rPr>
        <w:rFonts w:hint="eastAsia"/>
      </w:rPr>
    </w:lvl>
    <w:lvl w:ilvl="1" w:tentative="0">
      <w:start w:val="1"/>
      <w:numFmt w:val="decimal"/>
      <w:lvlText w:val="4.%2"/>
      <w:lvlJc w:val="left"/>
      <w:pPr>
        <w:tabs>
          <w:tab w:val="left" w:pos="0"/>
        </w:tabs>
        <w:ind w:left="797" w:hanging="567"/>
      </w:pPr>
      <w:rPr>
        <w:rFonts w:hint="eastAsia"/>
      </w:rPr>
    </w:lvl>
    <w:lvl w:ilvl="2" w:tentative="0">
      <w:start w:val="1"/>
      <w:numFmt w:val="decimal"/>
      <w:lvlText w:val="7.4.%3"/>
      <w:lvlJc w:val="left"/>
      <w:pPr>
        <w:tabs>
          <w:tab w:val="left" w:pos="0"/>
        </w:tabs>
        <w:ind w:left="567" w:hanging="567"/>
      </w:pPr>
      <w:rPr>
        <w:rFonts w:hint="eastAsia" w:ascii="黑体" w:hAnsi="黑体" w:eastAsia="黑体"/>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42">
    <w:nsid w:val="63730501"/>
    <w:multiLevelType w:val="multilevel"/>
    <w:tmpl w:val="63730501"/>
    <w:lvl w:ilvl="0" w:tentative="0">
      <w:start w:val="1"/>
      <w:numFmt w:val="decimal"/>
      <w:lvlText w:val="表6-%1"/>
      <w:lvlJc w:val="left"/>
      <w:pPr>
        <w:ind w:left="1260" w:hanging="420"/>
      </w:pPr>
      <w:rPr>
        <w:rFonts w:hint="eastAsia"/>
        <w:b/>
        <w:sz w:val="24"/>
        <w:szCs w:val="24"/>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676D1E7C"/>
    <w:multiLevelType w:val="multilevel"/>
    <w:tmpl w:val="676D1E7C"/>
    <w:lvl w:ilvl="0" w:tentative="0">
      <w:start w:val="1"/>
      <w:numFmt w:val="decimal"/>
      <w:lvlText w:val="第%1章"/>
      <w:lvlJc w:val="left"/>
      <w:pPr>
        <w:tabs>
          <w:tab w:val="left" w:pos="0"/>
        </w:tabs>
        <w:ind w:left="425" w:hanging="425"/>
      </w:pPr>
      <w:rPr>
        <w:rFonts w:hint="eastAsia"/>
      </w:rPr>
    </w:lvl>
    <w:lvl w:ilvl="1" w:tentative="0">
      <w:start w:val="1"/>
      <w:numFmt w:val="decimal"/>
      <w:lvlText w:val="5.%2"/>
      <w:lvlJc w:val="left"/>
      <w:pPr>
        <w:tabs>
          <w:tab w:val="left" w:pos="0"/>
        </w:tabs>
        <w:ind w:left="797" w:hanging="567"/>
      </w:pPr>
      <w:rPr>
        <w:rFonts w:hint="eastAsia"/>
      </w:rPr>
    </w:lvl>
    <w:lvl w:ilvl="2" w:tentative="0">
      <w:start w:val="1"/>
      <w:numFmt w:val="decimal"/>
      <w:lvlText w:val="9.2.%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44">
    <w:nsid w:val="68427278"/>
    <w:multiLevelType w:val="multilevel"/>
    <w:tmpl w:val="68427278"/>
    <w:lvl w:ilvl="0" w:tentative="0">
      <w:start w:val="1"/>
      <w:numFmt w:val="decimal"/>
      <w:lvlText w:val="表2-%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688211D9"/>
    <w:multiLevelType w:val="multilevel"/>
    <w:tmpl w:val="688211D9"/>
    <w:lvl w:ilvl="0" w:tentative="0">
      <w:start w:val="1"/>
      <w:numFmt w:val="decimal"/>
      <w:pStyle w:val="164"/>
      <w:lvlText w:val="图1-%1"/>
      <w:lvlJc w:val="left"/>
      <w:pPr>
        <w:ind w:left="420" w:hanging="420"/>
      </w:pPr>
      <w:rPr>
        <w:rFonts w:hint="eastAsia"/>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6FC820ED"/>
    <w:multiLevelType w:val="multilevel"/>
    <w:tmpl w:val="6FC820ED"/>
    <w:lvl w:ilvl="0" w:tentative="0">
      <w:start w:val="1"/>
      <w:numFmt w:val="decimal"/>
      <w:lvlText w:val="第%1章"/>
      <w:lvlJc w:val="left"/>
      <w:pPr>
        <w:tabs>
          <w:tab w:val="left" w:pos="0"/>
        </w:tabs>
        <w:ind w:left="425" w:hanging="425"/>
      </w:pPr>
      <w:rPr>
        <w:rFonts w:hint="eastAsia"/>
      </w:rPr>
    </w:lvl>
    <w:lvl w:ilvl="1" w:tentative="0">
      <w:start w:val="1"/>
      <w:numFmt w:val="decimal"/>
      <w:lvlText w:val="4.%2"/>
      <w:lvlJc w:val="left"/>
      <w:pPr>
        <w:tabs>
          <w:tab w:val="left" w:pos="0"/>
        </w:tabs>
        <w:ind w:left="797" w:hanging="567"/>
      </w:pPr>
      <w:rPr>
        <w:rFonts w:hint="eastAsia"/>
      </w:rPr>
    </w:lvl>
    <w:lvl w:ilvl="2" w:tentative="0">
      <w:start w:val="1"/>
      <w:numFmt w:val="decimal"/>
      <w:lvlText w:val="3.2.%3"/>
      <w:lvlJc w:val="left"/>
      <w:pPr>
        <w:tabs>
          <w:tab w:val="left" w:pos="0"/>
        </w:tabs>
        <w:ind w:left="567" w:hanging="567"/>
      </w:pPr>
      <w:rPr>
        <w:rFonts w:hint="eastAsia"/>
        <w:b/>
        <w:sz w:val="32"/>
      </w:rPr>
    </w:lvl>
    <w:lvl w:ilvl="3" w:tentative="0">
      <w:start w:val="1"/>
      <w:numFmt w:val="decimal"/>
      <w:lvlText w:val="%1.%2.%3.%4"/>
      <w:lvlJc w:val="left"/>
      <w:pPr>
        <w:tabs>
          <w:tab w:val="left" w:pos="0"/>
        </w:tabs>
        <w:ind w:left="1984" w:hanging="708"/>
      </w:pPr>
      <w:rPr>
        <w:rFonts w:hint="eastAsia"/>
      </w:rPr>
    </w:lvl>
    <w:lvl w:ilvl="4" w:tentative="0">
      <w:start w:val="1"/>
      <w:numFmt w:val="decimal"/>
      <w:lvlText w:val="%1.%2.%3.%4.%5"/>
      <w:lvlJc w:val="left"/>
      <w:pPr>
        <w:tabs>
          <w:tab w:val="left" w:pos="0"/>
        </w:tabs>
        <w:ind w:left="2551" w:hanging="850"/>
      </w:pPr>
      <w:rPr>
        <w:rFonts w:hint="eastAsia"/>
      </w:rPr>
    </w:lvl>
    <w:lvl w:ilvl="5" w:tentative="0">
      <w:start w:val="1"/>
      <w:numFmt w:val="decimal"/>
      <w:lvlText w:val="%1.%2.%3.%4.%5.%6"/>
      <w:lvlJc w:val="left"/>
      <w:pPr>
        <w:tabs>
          <w:tab w:val="left" w:pos="0"/>
        </w:tabs>
        <w:ind w:left="3260" w:hanging="1134"/>
      </w:pPr>
      <w:rPr>
        <w:rFonts w:hint="eastAsia"/>
      </w:rPr>
    </w:lvl>
    <w:lvl w:ilvl="6" w:tentative="0">
      <w:start w:val="1"/>
      <w:numFmt w:val="decimal"/>
      <w:lvlText w:val="%1.%2.%3.%4.%5.%6.%7"/>
      <w:lvlJc w:val="left"/>
      <w:pPr>
        <w:tabs>
          <w:tab w:val="left" w:pos="0"/>
        </w:tabs>
        <w:ind w:left="3827" w:hanging="1276"/>
      </w:pPr>
      <w:rPr>
        <w:rFonts w:hint="eastAsia"/>
      </w:rPr>
    </w:lvl>
    <w:lvl w:ilvl="7" w:tentative="0">
      <w:start w:val="1"/>
      <w:numFmt w:val="decimal"/>
      <w:lvlText w:val="%1.%2.%3.%4.%5.%6.%7.%8"/>
      <w:lvlJc w:val="left"/>
      <w:pPr>
        <w:tabs>
          <w:tab w:val="left" w:pos="0"/>
        </w:tabs>
        <w:ind w:left="4394" w:hanging="1418"/>
      </w:pPr>
      <w:rPr>
        <w:rFonts w:hint="eastAsia"/>
      </w:rPr>
    </w:lvl>
    <w:lvl w:ilvl="8" w:tentative="0">
      <w:start w:val="1"/>
      <w:numFmt w:val="decimal"/>
      <w:lvlText w:val="%1.%2.%3.%4.%5.%6.%7.%8.%9"/>
      <w:lvlJc w:val="left"/>
      <w:pPr>
        <w:tabs>
          <w:tab w:val="left" w:pos="0"/>
        </w:tabs>
        <w:ind w:left="5102" w:hanging="1700"/>
      </w:pPr>
      <w:rPr>
        <w:rFonts w:hint="eastAsia"/>
      </w:rPr>
    </w:lvl>
  </w:abstractNum>
  <w:abstractNum w:abstractNumId="47">
    <w:nsid w:val="776A63AA"/>
    <w:multiLevelType w:val="multilevel"/>
    <w:tmpl w:val="776A63AA"/>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1"/>
  </w:num>
  <w:num w:numId="2">
    <w:abstractNumId w:val="14"/>
  </w:num>
  <w:num w:numId="3">
    <w:abstractNumId w:val="32"/>
  </w:num>
  <w:num w:numId="4">
    <w:abstractNumId w:val="39"/>
  </w:num>
  <w:num w:numId="5">
    <w:abstractNumId w:val="26"/>
  </w:num>
  <w:num w:numId="6">
    <w:abstractNumId w:val="24"/>
  </w:num>
  <w:num w:numId="7">
    <w:abstractNumId w:val="25"/>
  </w:num>
  <w:num w:numId="8">
    <w:abstractNumId w:val="37"/>
  </w:num>
  <w:num w:numId="9">
    <w:abstractNumId w:val="13"/>
  </w:num>
  <w:num w:numId="10">
    <w:abstractNumId w:val="18"/>
  </w:num>
  <w:num w:numId="11">
    <w:abstractNumId w:val="45"/>
  </w:num>
  <w:num w:numId="12">
    <w:abstractNumId w:val="36"/>
  </w:num>
  <w:num w:numId="13">
    <w:abstractNumId w:val="6"/>
  </w:num>
  <w:num w:numId="14">
    <w:abstractNumId w:val="0"/>
  </w:num>
  <w:num w:numId="15">
    <w:abstractNumId w:val="47"/>
  </w:num>
  <w:num w:numId="16">
    <w:abstractNumId w:val="44"/>
  </w:num>
  <w:num w:numId="17">
    <w:abstractNumId w:val="23"/>
  </w:num>
  <w:num w:numId="18">
    <w:abstractNumId w:val="34"/>
  </w:num>
  <w:num w:numId="19">
    <w:abstractNumId w:val="46"/>
  </w:num>
  <w:num w:numId="20">
    <w:abstractNumId w:val="8"/>
  </w:num>
  <w:num w:numId="21">
    <w:abstractNumId w:val="30"/>
  </w:num>
  <w:num w:numId="22">
    <w:abstractNumId w:val="12"/>
  </w:num>
  <w:num w:numId="23">
    <w:abstractNumId w:val="1"/>
  </w:num>
  <w:num w:numId="24">
    <w:abstractNumId w:val="2"/>
  </w:num>
  <w:num w:numId="25">
    <w:abstractNumId w:val="43"/>
  </w:num>
  <w:num w:numId="26">
    <w:abstractNumId w:val="20"/>
  </w:num>
  <w:num w:numId="27">
    <w:abstractNumId w:val="27"/>
  </w:num>
  <w:num w:numId="28">
    <w:abstractNumId w:val="33"/>
  </w:num>
  <w:num w:numId="29">
    <w:abstractNumId w:val="40"/>
  </w:num>
  <w:num w:numId="30">
    <w:abstractNumId w:val="21"/>
  </w:num>
  <w:num w:numId="31">
    <w:abstractNumId w:val="3"/>
  </w:num>
  <w:num w:numId="32">
    <w:abstractNumId w:val="11"/>
  </w:num>
  <w:num w:numId="33">
    <w:abstractNumId w:val="38"/>
  </w:num>
  <w:num w:numId="34">
    <w:abstractNumId w:val="19"/>
  </w:num>
  <w:num w:numId="35">
    <w:abstractNumId w:val="29"/>
  </w:num>
  <w:num w:numId="36">
    <w:abstractNumId w:val="10"/>
  </w:num>
  <w:num w:numId="37">
    <w:abstractNumId w:val="42"/>
  </w:num>
  <w:num w:numId="38">
    <w:abstractNumId w:val="17"/>
  </w:num>
  <w:num w:numId="39">
    <w:abstractNumId w:val="9"/>
  </w:num>
  <w:num w:numId="40">
    <w:abstractNumId w:val="5"/>
  </w:num>
  <w:num w:numId="41">
    <w:abstractNumId w:val="16"/>
  </w:num>
  <w:num w:numId="42">
    <w:abstractNumId w:val="15"/>
  </w:num>
  <w:num w:numId="43">
    <w:abstractNumId w:val="41"/>
  </w:num>
  <w:num w:numId="44">
    <w:abstractNumId w:val="7"/>
  </w:num>
  <w:num w:numId="45">
    <w:abstractNumId w:val="22"/>
  </w:num>
  <w:num w:numId="46">
    <w:abstractNumId w:val="35"/>
  </w:num>
  <w:num w:numId="47">
    <w:abstractNumId w:val="4"/>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15"/>
  <w:drawingGridVerticalSpacing w:val="333"/>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RmMDllMmViYzYyYmY4ZmQ2YzRiYmRkNmU0NTI5OTUifQ=="/>
  </w:docVars>
  <w:rsids>
    <w:rsidRoot w:val="00172A27"/>
    <w:rsid w:val="00000027"/>
    <w:rsid w:val="00000073"/>
    <w:rsid w:val="00000BC1"/>
    <w:rsid w:val="00000D8B"/>
    <w:rsid w:val="00001505"/>
    <w:rsid w:val="00001ABC"/>
    <w:rsid w:val="00001BA4"/>
    <w:rsid w:val="00002201"/>
    <w:rsid w:val="00002608"/>
    <w:rsid w:val="000026E0"/>
    <w:rsid w:val="00002720"/>
    <w:rsid w:val="00002D2B"/>
    <w:rsid w:val="00003453"/>
    <w:rsid w:val="0000379D"/>
    <w:rsid w:val="000037E4"/>
    <w:rsid w:val="00003AA3"/>
    <w:rsid w:val="00003ECF"/>
    <w:rsid w:val="0000430B"/>
    <w:rsid w:val="000048CA"/>
    <w:rsid w:val="00004CE1"/>
    <w:rsid w:val="000050C7"/>
    <w:rsid w:val="0000551C"/>
    <w:rsid w:val="000059A4"/>
    <w:rsid w:val="00005EB3"/>
    <w:rsid w:val="00006152"/>
    <w:rsid w:val="000064DD"/>
    <w:rsid w:val="000068F0"/>
    <w:rsid w:val="00006BD1"/>
    <w:rsid w:val="00006CDB"/>
    <w:rsid w:val="00006DCC"/>
    <w:rsid w:val="00006DEE"/>
    <w:rsid w:val="00006F9C"/>
    <w:rsid w:val="000074C4"/>
    <w:rsid w:val="00007842"/>
    <w:rsid w:val="00007BF0"/>
    <w:rsid w:val="00010026"/>
    <w:rsid w:val="00010827"/>
    <w:rsid w:val="000108F0"/>
    <w:rsid w:val="00010973"/>
    <w:rsid w:val="00010A90"/>
    <w:rsid w:val="00010C6F"/>
    <w:rsid w:val="00011006"/>
    <w:rsid w:val="00011663"/>
    <w:rsid w:val="000119B7"/>
    <w:rsid w:val="0001202A"/>
    <w:rsid w:val="000120B6"/>
    <w:rsid w:val="000121BA"/>
    <w:rsid w:val="00012313"/>
    <w:rsid w:val="0001300A"/>
    <w:rsid w:val="00013334"/>
    <w:rsid w:val="0001337C"/>
    <w:rsid w:val="00013412"/>
    <w:rsid w:val="00013717"/>
    <w:rsid w:val="0001376B"/>
    <w:rsid w:val="0001376F"/>
    <w:rsid w:val="00013889"/>
    <w:rsid w:val="000138AE"/>
    <w:rsid w:val="00013C9F"/>
    <w:rsid w:val="00013CA2"/>
    <w:rsid w:val="00014F36"/>
    <w:rsid w:val="00015E31"/>
    <w:rsid w:val="00016085"/>
    <w:rsid w:val="000160F7"/>
    <w:rsid w:val="00016506"/>
    <w:rsid w:val="00016871"/>
    <w:rsid w:val="00016932"/>
    <w:rsid w:val="00016A62"/>
    <w:rsid w:val="00017049"/>
    <w:rsid w:val="0001721D"/>
    <w:rsid w:val="000178C0"/>
    <w:rsid w:val="00017C11"/>
    <w:rsid w:val="000202F1"/>
    <w:rsid w:val="0002065D"/>
    <w:rsid w:val="00020A62"/>
    <w:rsid w:val="00020E82"/>
    <w:rsid w:val="0002138A"/>
    <w:rsid w:val="00021479"/>
    <w:rsid w:val="0002197C"/>
    <w:rsid w:val="00021D3B"/>
    <w:rsid w:val="00021EB5"/>
    <w:rsid w:val="000227F8"/>
    <w:rsid w:val="00022A7C"/>
    <w:rsid w:val="00022CCA"/>
    <w:rsid w:val="00023461"/>
    <w:rsid w:val="00023948"/>
    <w:rsid w:val="00023A6F"/>
    <w:rsid w:val="00023D2A"/>
    <w:rsid w:val="00023E22"/>
    <w:rsid w:val="00023F71"/>
    <w:rsid w:val="0002410B"/>
    <w:rsid w:val="00024333"/>
    <w:rsid w:val="0002476D"/>
    <w:rsid w:val="00024946"/>
    <w:rsid w:val="00024979"/>
    <w:rsid w:val="00024BF1"/>
    <w:rsid w:val="000252F0"/>
    <w:rsid w:val="0002536F"/>
    <w:rsid w:val="00025594"/>
    <w:rsid w:val="00025773"/>
    <w:rsid w:val="00025D40"/>
    <w:rsid w:val="00025D85"/>
    <w:rsid w:val="00025DDB"/>
    <w:rsid w:val="000260CF"/>
    <w:rsid w:val="00026264"/>
    <w:rsid w:val="00026468"/>
    <w:rsid w:val="00026802"/>
    <w:rsid w:val="00026A17"/>
    <w:rsid w:val="00026D5B"/>
    <w:rsid w:val="00026DF1"/>
    <w:rsid w:val="00027014"/>
    <w:rsid w:val="000270E6"/>
    <w:rsid w:val="00027460"/>
    <w:rsid w:val="0002749F"/>
    <w:rsid w:val="000275BB"/>
    <w:rsid w:val="00027906"/>
    <w:rsid w:val="00027E81"/>
    <w:rsid w:val="00027FC7"/>
    <w:rsid w:val="0003062D"/>
    <w:rsid w:val="000306B6"/>
    <w:rsid w:val="0003076E"/>
    <w:rsid w:val="00030813"/>
    <w:rsid w:val="00030A9E"/>
    <w:rsid w:val="0003103C"/>
    <w:rsid w:val="000312F1"/>
    <w:rsid w:val="00031450"/>
    <w:rsid w:val="00031CA8"/>
    <w:rsid w:val="00031D30"/>
    <w:rsid w:val="00032308"/>
    <w:rsid w:val="000323EA"/>
    <w:rsid w:val="0003264C"/>
    <w:rsid w:val="000328E2"/>
    <w:rsid w:val="00032B10"/>
    <w:rsid w:val="00032B11"/>
    <w:rsid w:val="00032E3C"/>
    <w:rsid w:val="000330CA"/>
    <w:rsid w:val="00033384"/>
    <w:rsid w:val="0003366D"/>
    <w:rsid w:val="00033BD2"/>
    <w:rsid w:val="00033E2C"/>
    <w:rsid w:val="000343D8"/>
    <w:rsid w:val="00034638"/>
    <w:rsid w:val="00034A54"/>
    <w:rsid w:val="000354EB"/>
    <w:rsid w:val="000355A6"/>
    <w:rsid w:val="0003566F"/>
    <w:rsid w:val="00035C0F"/>
    <w:rsid w:val="00035DC6"/>
    <w:rsid w:val="0003618E"/>
    <w:rsid w:val="000363DC"/>
    <w:rsid w:val="00036650"/>
    <w:rsid w:val="0003672D"/>
    <w:rsid w:val="00036869"/>
    <w:rsid w:val="00036C18"/>
    <w:rsid w:val="00036FCC"/>
    <w:rsid w:val="000372F5"/>
    <w:rsid w:val="00037638"/>
    <w:rsid w:val="00037AD0"/>
    <w:rsid w:val="00037C42"/>
    <w:rsid w:val="00040793"/>
    <w:rsid w:val="000409F0"/>
    <w:rsid w:val="00040E07"/>
    <w:rsid w:val="00040F79"/>
    <w:rsid w:val="00041197"/>
    <w:rsid w:val="0004163B"/>
    <w:rsid w:val="000417A3"/>
    <w:rsid w:val="00041E37"/>
    <w:rsid w:val="00041E57"/>
    <w:rsid w:val="000422AC"/>
    <w:rsid w:val="000428F5"/>
    <w:rsid w:val="0004335F"/>
    <w:rsid w:val="00043B89"/>
    <w:rsid w:val="00043D12"/>
    <w:rsid w:val="00043E1E"/>
    <w:rsid w:val="00043E57"/>
    <w:rsid w:val="00043F0A"/>
    <w:rsid w:val="00044010"/>
    <w:rsid w:val="0004416A"/>
    <w:rsid w:val="000442D2"/>
    <w:rsid w:val="00044764"/>
    <w:rsid w:val="000447D5"/>
    <w:rsid w:val="000448B4"/>
    <w:rsid w:val="00044A19"/>
    <w:rsid w:val="000450A4"/>
    <w:rsid w:val="0004548B"/>
    <w:rsid w:val="00045BBB"/>
    <w:rsid w:val="000466C2"/>
    <w:rsid w:val="00046E72"/>
    <w:rsid w:val="00047297"/>
    <w:rsid w:val="0004739D"/>
    <w:rsid w:val="00047AEC"/>
    <w:rsid w:val="00050396"/>
    <w:rsid w:val="000505BE"/>
    <w:rsid w:val="0005081F"/>
    <w:rsid w:val="00050EFD"/>
    <w:rsid w:val="00050F60"/>
    <w:rsid w:val="00051402"/>
    <w:rsid w:val="00051631"/>
    <w:rsid w:val="00051B9F"/>
    <w:rsid w:val="00051BA1"/>
    <w:rsid w:val="00051BAC"/>
    <w:rsid w:val="00051C8F"/>
    <w:rsid w:val="00051EBC"/>
    <w:rsid w:val="00052295"/>
    <w:rsid w:val="00052379"/>
    <w:rsid w:val="000524C1"/>
    <w:rsid w:val="0005254A"/>
    <w:rsid w:val="00053104"/>
    <w:rsid w:val="000532F2"/>
    <w:rsid w:val="00053391"/>
    <w:rsid w:val="00053727"/>
    <w:rsid w:val="00053B90"/>
    <w:rsid w:val="00053C93"/>
    <w:rsid w:val="00053F2A"/>
    <w:rsid w:val="00054CFF"/>
    <w:rsid w:val="00054F18"/>
    <w:rsid w:val="00054FF6"/>
    <w:rsid w:val="00055D2B"/>
    <w:rsid w:val="00056463"/>
    <w:rsid w:val="000567F5"/>
    <w:rsid w:val="00056865"/>
    <w:rsid w:val="0005746A"/>
    <w:rsid w:val="00057662"/>
    <w:rsid w:val="00057A36"/>
    <w:rsid w:val="00057D9A"/>
    <w:rsid w:val="00060042"/>
    <w:rsid w:val="000601E7"/>
    <w:rsid w:val="0006072E"/>
    <w:rsid w:val="00060B3F"/>
    <w:rsid w:val="00060DBE"/>
    <w:rsid w:val="0006128C"/>
    <w:rsid w:val="000612F4"/>
    <w:rsid w:val="000615C1"/>
    <w:rsid w:val="000619C8"/>
    <w:rsid w:val="00061A8D"/>
    <w:rsid w:val="000620A3"/>
    <w:rsid w:val="000620BA"/>
    <w:rsid w:val="000620D1"/>
    <w:rsid w:val="000623E1"/>
    <w:rsid w:val="00062ABA"/>
    <w:rsid w:val="00062E2D"/>
    <w:rsid w:val="000630CC"/>
    <w:rsid w:val="000636CC"/>
    <w:rsid w:val="000637AA"/>
    <w:rsid w:val="000639D2"/>
    <w:rsid w:val="00063AF9"/>
    <w:rsid w:val="00063F8C"/>
    <w:rsid w:val="00064356"/>
    <w:rsid w:val="00064526"/>
    <w:rsid w:val="0006452A"/>
    <w:rsid w:val="00064AE1"/>
    <w:rsid w:val="00064C47"/>
    <w:rsid w:val="00065470"/>
    <w:rsid w:val="00065498"/>
    <w:rsid w:val="00065A64"/>
    <w:rsid w:val="00065C3D"/>
    <w:rsid w:val="00065C71"/>
    <w:rsid w:val="00065DBE"/>
    <w:rsid w:val="00066775"/>
    <w:rsid w:val="000672F5"/>
    <w:rsid w:val="000675D7"/>
    <w:rsid w:val="000677DD"/>
    <w:rsid w:val="00067932"/>
    <w:rsid w:val="00067959"/>
    <w:rsid w:val="00067978"/>
    <w:rsid w:val="00067AA2"/>
    <w:rsid w:val="000702E2"/>
    <w:rsid w:val="0007031E"/>
    <w:rsid w:val="000705CA"/>
    <w:rsid w:val="0007094B"/>
    <w:rsid w:val="00070D0D"/>
    <w:rsid w:val="00070F02"/>
    <w:rsid w:val="000714B3"/>
    <w:rsid w:val="0007163F"/>
    <w:rsid w:val="00071855"/>
    <w:rsid w:val="00071B9F"/>
    <w:rsid w:val="00071D7B"/>
    <w:rsid w:val="0007206D"/>
    <w:rsid w:val="00072691"/>
    <w:rsid w:val="0007273D"/>
    <w:rsid w:val="0007284D"/>
    <w:rsid w:val="00072C5A"/>
    <w:rsid w:val="00072D8F"/>
    <w:rsid w:val="00072E10"/>
    <w:rsid w:val="00073293"/>
    <w:rsid w:val="000733B5"/>
    <w:rsid w:val="00073431"/>
    <w:rsid w:val="0007375A"/>
    <w:rsid w:val="00073A39"/>
    <w:rsid w:val="00073BEE"/>
    <w:rsid w:val="0007428E"/>
    <w:rsid w:val="000748AD"/>
    <w:rsid w:val="000748D0"/>
    <w:rsid w:val="000748E7"/>
    <w:rsid w:val="00074B0C"/>
    <w:rsid w:val="00074B4A"/>
    <w:rsid w:val="00075A7E"/>
    <w:rsid w:val="00075AFC"/>
    <w:rsid w:val="00075D11"/>
    <w:rsid w:val="00075FCA"/>
    <w:rsid w:val="000761BA"/>
    <w:rsid w:val="0007639A"/>
    <w:rsid w:val="00076D17"/>
    <w:rsid w:val="00076D57"/>
    <w:rsid w:val="00076EB5"/>
    <w:rsid w:val="00076ECC"/>
    <w:rsid w:val="00076F35"/>
    <w:rsid w:val="00076FDA"/>
    <w:rsid w:val="0007707A"/>
    <w:rsid w:val="000776C5"/>
    <w:rsid w:val="00077A7C"/>
    <w:rsid w:val="00077BBB"/>
    <w:rsid w:val="00080637"/>
    <w:rsid w:val="00080771"/>
    <w:rsid w:val="0008093D"/>
    <w:rsid w:val="00080F00"/>
    <w:rsid w:val="00081509"/>
    <w:rsid w:val="0008155B"/>
    <w:rsid w:val="000816EA"/>
    <w:rsid w:val="00081AED"/>
    <w:rsid w:val="000820C1"/>
    <w:rsid w:val="00082584"/>
    <w:rsid w:val="00082D9A"/>
    <w:rsid w:val="00082E78"/>
    <w:rsid w:val="00082EA7"/>
    <w:rsid w:val="00082FAD"/>
    <w:rsid w:val="00082FFD"/>
    <w:rsid w:val="00083178"/>
    <w:rsid w:val="0008336C"/>
    <w:rsid w:val="000834D1"/>
    <w:rsid w:val="000837E8"/>
    <w:rsid w:val="00083821"/>
    <w:rsid w:val="00084638"/>
    <w:rsid w:val="00084803"/>
    <w:rsid w:val="00084978"/>
    <w:rsid w:val="00084D0B"/>
    <w:rsid w:val="00084DCC"/>
    <w:rsid w:val="00084F1D"/>
    <w:rsid w:val="000856FE"/>
    <w:rsid w:val="00085897"/>
    <w:rsid w:val="00085BD7"/>
    <w:rsid w:val="00086493"/>
    <w:rsid w:val="000867AD"/>
    <w:rsid w:val="00086933"/>
    <w:rsid w:val="00086AE7"/>
    <w:rsid w:val="0008701A"/>
    <w:rsid w:val="00087138"/>
    <w:rsid w:val="000871BB"/>
    <w:rsid w:val="00087837"/>
    <w:rsid w:val="000879C2"/>
    <w:rsid w:val="00087A1C"/>
    <w:rsid w:val="00087C6B"/>
    <w:rsid w:val="00090135"/>
    <w:rsid w:val="000905B5"/>
    <w:rsid w:val="00090A92"/>
    <w:rsid w:val="00090C8C"/>
    <w:rsid w:val="00090EBB"/>
    <w:rsid w:val="00091AB2"/>
    <w:rsid w:val="00091B4A"/>
    <w:rsid w:val="00091BEA"/>
    <w:rsid w:val="00091E39"/>
    <w:rsid w:val="000927F5"/>
    <w:rsid w:val="000928D0"/>
    <w:rsid w:val="000929CA"/>
    <w:rsid w:val="00092C46"/>
    <w:rsid w:val="00092EE1"/>
    <w:rsid w:val="00092F76"/>
    <w:rsid w:val="0009308D"/>
    <w:rsid w:val="00094088"/>
    <w:rsid w:val="000943A5"/>
    <w:rsid w:val="000943ED"/>
    <w:rsid w:val="00094AEC"/>
    <w:rsid w:val="00094C59"/>
    <w:rsid w:val="00094E3C"/>
    <w:rsid w:val="00094FBD"/>
    <w:rsid w:val="000950BC"/>
    <w:rsid w:val="000954B5"/>
    <w:rsid w:val="00095828"/>
    <w:rsid w:val="00095E24"/>
    <w:rsid w:val="0009666A"/>
    <w:rsid w:val="0009682C"/>
    <w:rsid w:val="00096831"/>
    <w:rsid w:val="000968C4"/>
    <w:rsid w:val="00096FD8"/>
    <w:rsid w:val="00097088"/>
    <w:rsid w:val="00097125"/>
    <w:rsid w:val="00097226"/>
    <w:rsid w:val="00097523"/>
    <w:rsid w:val="00097992"/>
    <w:rsid w:val="000A0120"/>
    <w:rsid w:val="000A019F"/>
    <w:rsid w:val="000A0485"/>
    <w:rsid w:val="000A0554"/>
    <w:rsid w:val="000A103F"/>
    <w:rsid w:val="000A1863"/>
    <w:rsid w:val="000A18DB"/>
    <w:rsid w:val="000A1927"/>
    <w:rsid w:val="000A1C75"/>
    <w:rsid w:val="000A1DF5"/>
    <w:rsid w:val="000A225E"/>
    <w:rsid w:val="000A2464"/>
    <w:rsid w:val="000A27A3"/>
    <w:rsid w:val="000A2822"/>
    <w:rsid w:val="000A2ADB"/>
    <w:rsid w:val="000A2B2A"/>
    <w:rsid w:val="000A2CCA"/>
    <w:rsid w:val="000A2FAA"/>
    <w:rsid w:val="000A30A6"/>
    <w:rsid w:val="000A32D2"/>
    <w:rsid w:val="000A39A0"/>
    <w:rsid w:val="000A39A6"/>
    <w:rsid w:val="000A3A7D"/>
    <w:rsid w:val="000A3C06"/>
    <w:rsid w:val="000A3C87"/>
    <w:rsid w:val="000A3EE1"/>
    <w:rsid w:val="000A408B"/>
    <w:rsid w:val="000A417E"/>
    <w:rsid w:val="000A45E2"/>
    <w:rsid w:val="000A4A85"/>
    <w:rsid w:val="000A5421"/>
    <w:rsid w:val="000A5499"/>
    <w:rsid w:val="000A5744"/>
    <w:rsid w:val="000A589C"/>
    <w:rsid w:val="000A5C74"/>
    <w:rsid w:val="000A5CC0"/>
    <w:rsid w:val="000A6153"/>
    <w:rsid w:val="000A63B0"/>
    <w:rsid w:val="000A63C5"/>
    <w:rsid w:val="000A67F3"/>
    <w:rsid w:val="000A6A71"/>
    <w:rsid w:val="000A6D96"/>
    <w:rsid w:val="000A71EC"/>
    <w:rsid w:val="000A733C"/>
    <w:rsid w:val="000A74C4"/>
    <w:rsid w:val="000A7783"/>
    <w:rsid w:val="000A789D"/>
    <w:rsid w:val="000A7FB0"/>
    <w:rsid w:val="000B0245"/>
    <w:rsid w:val="000B080A"/>
    <w:rsid w:val="000B0C30"/>
    <w:rsid w:val="000B0F47"/>
    <w:rsid w:val="000B1FE5"/>
    <w:rsid w:val="000B2136"/>
    <w:rsid w:val="000B35B1"/>
    <w:rsid w:val="000B393E"/>
    <w:rsid w:val="000B3960"/>
    <w:rsid w:val="000B39EA"/>
    <w:rsid w:val="000B3D37"/>
    <w:rsid w:val="000B3DF9"/>
    <w:rsid w:val="000B3F2C"/>
    <w:rsid w:val="000B4131"/>
    <w:rsid w:val="000B41EE"/>
    <w:rsid w:val="000B463B"/>
    <w:rsid w:val="000B47DF"/>
    <w:rsid w:val="000B47E6"/>
    <w:rsid w:val="000B4B6E"/>
    <w:rsid w:val="000B4C76"/>
    <w:rsid w:val="000B4C99"/>
    <w:rsid w:val="000B4D99"/>
    <w:rsid w:val="000B4DAC"/>
    <w:rsid w:val="000B4EFF"/>
    <w:rsid w:val="000B4FFC"/>
    <w:rsid w:val="000B5072"/>
    <w:rsid w:val="000B5143"/>
    <w:rsid w:val="000B51B2"/>
    <w:rsid w:val="000B5224"/>
    <w:rsid w:val="000B551E"/>
    <w:rsid w:val="000B5FDC"/>
    <w:rsid w:val="000B614C"/>
    <w:rsid w:val="000B63C4"/>
    <w:rsid w:val="000B6539"/>
    <w:rsid w:val="000B6660"/>
    <w:rsid w:val="000B6814"/>
    <w:rsid w:val="000B6CE9"/>
    <w:rsid w:val="000B709C"/>
    <w:rsid w:val="000B74D4"/>
    <w:rsid w:val="000B7E08"/>
    <w:rsid w:val="000B7ED3"/>
    <w:rsid w:val="000B7F62"/>
    <w:rsid w:val="000C0004"/>
    <w:rsid w:val="000C01C4"/>
    <w:rsid w:val="000C0407"/>
    <w:rsid w:val="000C047C"/>
    <w:rsid w:val="000C0765"/>
    <w:rsid w:val="000C0CA5"/>
    <w:rsid w:val="000C11F6"/>
    <w:rsid w:val="000C1327"/>
    <w:rsid w:val="000C13A1"/>
    <w:rsid w:val="000C1E81"/>
    <w:rsid w:val="000C2177"/>
    <w:rsid w:val="000C21CA"/>
    <w:rsid w:val="000C29AB"/>
    <w:rsid w:val="000C29B0"/>
    <w:rsid w:val="000C2D67"/>
    <w:rsid w:val="000C3A92"/>
    <w:rsid w:val="000C3FAA"/>
    <w:rsid w:val="000C45DB"/>
    <w:rsid w:val="000C46FA"/>
    <w:rsid w:val="000C47D7"/>
    <w:rsid w:val="000C4B05"/>
    <w:rsid w:val="000C5241"/>
    <w:rsid w:val="000C5380"/>
    <w:rsid w:val="000C5577"/>
    <w:rsid w:val="000C5A03"/>
    <w:rsid w:val="000C5B68"/>
    <w:rsid w:val="000C5EF8"/>
    <w:rsid w:val="000C61CE"/>
    <w:rsid w:val="000C62A1"/>
    <w:rsid w:val="000C656B"/>
    <w:rsid w:val="000C6849"/>
    <w:rsid w:val="000C753C"/>
    <w:rsid w:val="000C77FF"/>
    <w:rsid w:val="000C7A83"/>
    <w:rsid w:val="000C7EC2"/>
    <w:rsid w:val="000C7F29"/>
    <w:rsid w:val="000D010C"/>
    <w:rsid w:val="000D02FC"/>
    <w:rsid w:val="000D030F"/>
    <w:rsid w:val="000D0677"/>
    <w:rsid w:val="000D098D"/>
    <w:rsid w:val="000D0FDD"/>
    <w:rsid w:val="000D1510"/>
    <w:rsid w:val="000D16AF"/>
    <w:rsid w:val="000D1BE3"/>
    <w:rsid w:val="000D1CDF"/>
    <w:rsid w:val="000D1E0E"/>
    <w:rsid w:val="000D20A6"/>
    <w:rsid w:val="000D2229"/>
    <w:rsid w:val="000D237D"/>
    <w:rsid w:val="000D2A37"/>
    <w:rsid w:val="000D3135"/>
    <w:rsid w:val="000D3202"/>
    <w:rsid w:val="000D35A5"/>
    <w:rsid w:val="000D362F"/>
    <w:rsid w:val="000D39AB"/>
    <w:rsid w:val="000D3BB9"/>
    <w:rsid w:val="000D3FA7"/>
    <w:rsid w:val="000D4010"/>
    <w:rsid w:val="000D4145"/>
    <w:rsid w:val="000D42EA"/>
    <w:rsid w:val="000D4B32"/>
    <w:rsid w:val="000D4E19"/>
    <w:rsid w:val="000D5364"/>
    <w:rsid w:val="000D54F2"/>
    <w:rsid w:val="000D5825"/>
    <w:rsid w:val="000D5C24"/>
    <w:rsid w:val="000D5CB1"/>
    <w:rsid w:val="000D63AD"/>
    <w:rsid w:val="000D641F"/>
    <w:rsid w:val="000D6ADF"/>
    <w:rsid w:val="000D6F73"/>
    <w:rsid w:val="000D7098"/>
    <w:rsid w:val="000D72BE"/>
    <w:rsid w:val="000D75BA"/>
    <w:rsid w:val="000D7703"/>
    <w:rsid w:val="000D777E"/>
    <w:rsid w:val="000D78C0"/>
    <w:rsid w:val="000D7E12"/>
    <w:rsid w:val="000E0A1C"/>
    <w:rsid w:val="000E0F8C"/>
    <w:rsid w:val="000E12B6"/>
    <w:rsid w:val="000E1315"/>
    <w:rsid w:val="000E1653"/>
    <w:rsid w:val="000E1A4A"/>
    <w:rsid w:val="000E1AB5"/>
    <w:rsid w:val="000E1CD6"/>
    <w:rsid w:val="000E269C"/>
    <w:rsid w:val="000E2785"/>
    <w:rsid w:val="000E2869"/>
    <w:rsid w:val="000E30D4"/>
    <w:rsid w:val="000E3565"/>
    <w:rsid w:val="000E39C7"/>
    <w:rsid w:val="000E3D11"/>
    <w:rsid w:val="000E3D5F"/>
    <w:rsid w:val="000E3F77"/>
    <w:rsid w:val="000E4137"/>
    <w:rsid w:val="000E4140"/>
    <w:rsid w:val="000E44E8"/>
    <w:rsid w:val="000E52F2"/>
    <w:rsid w:val="000E545C"/>
    <w:rsid w:val="000E5A1C"/>
    <w:rsid w:val="000E5E45"/>
    <w:rsid w:val="000E68F8"/>
    <w:rsid w:val="000E7155"/>
    <w:rsid w:val="000E739D"/>
    <w:rsid w:val="000E74BE"/>
    <w:rsid w:val="000E7785"/>
    <w:rsid w:val="000E7941"/>
    <w:rsid w:val="000E7ADF"/>
    <w:rsid w:val="000E7C7E"/>
    <w:rsid w:val="000E7EBB"/>
    <w:rsid w:val="000F045F"/>
    <w:rsid w:val="000F0575"/>
    <w:rsid w:val="000F07BD"/>
    <w:rsid w:val="000F07D7"/>
    <w:rsid w:val="000F0C21"/>
    <w:rsid w:val="000F0E63"/>
    <w:rsid w:val="000F12BD"/>
    <w:rsid w:val="000F16C6"/>
    <w:rsid w:val="000F1F2C"/>
    <w:rsid w:val="000F208A"/>
    <w:rsid w:val="000F232F"/>
    <w:rsid w:val="000F278A"/>
    <w:rsid w:val="000F2D54"/>
    <w:rsid w:val="000F3AE8"/>
    <w:rsid w:val="000F3B26"/>
    <w:rsid w:val="000F3E8C"/>
    <w:rsid w:val="000F3F50"/>
    <w:rsid w:val="000F435E"/>
    <w:rsid w:val="000F44A3"/>
    <w:rsid w:val="000F45F4"/>
    <w:rsid w:val="000F46B1"/>
    <w:rsid w:val="000F47A8"/>
    <w:rsid w:val="000F4D26"/>
    <w:rsid w:val="000F5286"/>
    <w:rsid w:val="000F546A"/>
    <w:rsid w:val="000F5786"/>
    <w:rsid w:val="000F58A1"/>
    <w:rsid w:val="000F5B93"/>
    <w:rsid w:val="000F5E6B"/>
    <w:rsid w:val="000F5F53"/>
    <w:rsid w:val="000F6025"/>
    <w:rsid w:val="000F6240"/>
    <w:rsid w:val="000F6289"/>
    <w:rsid w:val="000F654F"/>
    <w:rsid w:val="000F6F5C"/>
    <w:rsid w:val="000F72C7"/>
    <w:rsid w:val="000F7405"/>
    <w:rsid w:val="000F74AE"/>
    <w:rsid w:val="000F7624"/>
    <w:rsid w:val="000F77A9"/>
    <w:rsid w:val="000F7971"/>
    <w:rsid w:val="000F7BD9"/>
    <w:rsid w:val="000F7F37"/>
    <w:rsid w:val="00100311"/>
    <w:rsid w:val="0010039A"/>
    <w:rsid w:val="001005F8"/>
    <w:rsid w:val="00100D3A"/>
    <w:rsid w:val="00101248"/>
    <w:rsid w:val="00101A45"/>
    <w:rsid w:val="00101A7A"/>
    <w:rsid w:val="00101DBA"/>
    <w:rsid w:val="00102052"/>
    <w:rsid w:val="00102889"/>
    <w:rsid w:val="00102F04"/>
    <w:rsid w:val="001037CE"/>
    <w:rsid w:val="00103A29"/>
    <w:rsid w:val="00103AB7"/>
    <w:rsid w:val="00103C0C"/>
    <w:rsid w:val="00103D30"/>
    <w:rsid w:val="00103E22"/>
    <w:rsid w:val="00103E3F"/>
    <w:rsid w:val="00104075"/>
    <w:rsid w:val="00104807"/>
    <w:rsid w:val="00104B32"/>
    <w:rsid w:val="00104E14"/>
    <w:rsid w:val="00104E5E"/>
    <w:rsid w:val="00104FA2"/>
    <w:rsid w:val="0010507A"/>
    <w:rsid w:val="00105E2E"/>
    <w:rsid w:val="001060DE"/>
    <w:rsid w:val="001067BE"/>
    <w:rsid w:val="0010688E"/>
    <w:rsid w:val="00106978"/>
    <w:rsid w:val="00106AE7"/>
    <w:rsid w:val="00107221"/>
    <w:rsid w:val="001078A9"/>
    <w:rsid w:val="00107AD4"/>
    <w:rsid w:val="001105E1"/>
    <w:rsid w:val="0011074A"/>
    <w:rsid w:val="00110980"/>
    <w:rsid w:val="00110B87"/>
    <w:rsid w:val="00110C72"/>
    <w:rsid w:val="00110F32"/>
    <w:rsid w:val="00111296"/>
    <w:rsid w:val="00111311"/>
    <w:rsid w:val="0011167E"/>
    <w:rsid w:val="00111B5B"/>
    <w:rsid w:val="001120B6"/>
    <w:rsid w:val="00112120"/>
    <w:rsid w:val="00112838"/>
    <w:rsid w:val="0011295D"/>
    <w:rsid w:val="00112D7F"/>
    <w:rsid w:val="00112DD2"/>
    <w:rsid w:val="00112EC9"/>
    <w:rsid w:val="001135E3"/>
    <w:rsid w:val="00113671"/>
    <w:rsid w:val="0011387D"/>
    <w:rsid w:val="00113908"/>
    <w:rsid w:val="001139AE"/>
    <w:rsid w:val="00113B8C"/>
    <w:rsid w:val="00114350"/>
    <w:rsid w:val="0011465D"/>
    <w:rsid w:val="001147D1"/>
    <w:rsid w:val="00114CCA"/>
    <w:rsid w:val="00114E87"/>
    <w:rsid w:val="00115103"/>
    <w:rsid w:val="001152F6"/>
    <w:rsid w:val="0011530F"/>
    <w:rsid w:val="00115504"/>
    <w:rsid w:val="00115538"/>
    <w:rsid w:val="00115818"/>
    <w:rsid w:val="001158A2"/>
    <w:rsid w:val="001158E0"/>
    <w:rsid w:val="00115F85"/>
    <w:rsid w:val="0011671D"/>
    <w:rsid w:val="00116A16"/>
    <w:rsid w:val="00116AE5"/>
    <w:rsid w:val="001170EF"/>
    <w:rsid w:val="00117913"/>
    <w:rsid w:val="00117945"/>
    <w:rsid w:val="00117B03"/>
    <w:rsid w:val="00117F1B"/>
    <w:rsid w:val="00120BCB"/>
    <w:rsid w:val="001210E6"/>
    <w:rsid w:val="00121390"/>
    <w:rsid w:val="001213BB"/>
    <w:rsid w:val="00121918"/>
    <w:rsid w:val="001225A2"/>
    <w:rsid w:val="00122E71"/>
    <w:rsid w:val="00123214"/>
    <w:rsid w:val="00123628"/>
    <w:rsid w:val="001237D7"/>
    <w:rsid w:val="001239B5"/>
    <w:rsid w:val="00123C33"/>
    <w:rsid w:val="00123E57"/>
    <w:rsid w:val="001240D3"/>
    <w:rsid w:val="0012448D"/>
    <w:rsid w:val="00124497"/>
    <w:rsid w:val="0012452D"/>
    <w:rsid w:val="00124549"/>
    <w:rsid w:val="001250C7"/>
    <w:rsid w:val="001251DF"/>
    <w:rsid w:val="00125718"/>
    <w:rsid w:val="001259EB"/>
    <w:rsid w:val="00125A83"/>
    <w:rsid w:val="00125AC6"/>
    <w:rsid w:val="00125BDD"/>
    <w:rsid w:val="00125F6E"/>
    <w:rsid w:val="00126C16"/>
    <w:rsid w:val="00127565"/>
    <w:rsid w:val="00127853"/>
    <w:rsid w:val="0012797F"/>
    <w:rsid w:val="00127AC0"/>
    <w:rsid w:val="00127C06"/>
    <w:rsid w:val="00127F08"/>
    <w:rsid w:val="001304FB"/>
    <w:rsid w:val="00130CE6"/>
    <w:rsid w:val="00130D5E"/>
    <w:rsid w:val="0013127C"/>
    <w:rsid w:val="00131A72"/>
    <w:rsid w:val="00131C65"/>
    <w:rsid w:val="00131D2C"/>
    <w:rsid w:val="0013222F"/>
    <w:rsid w:val="001328B6"/>
    <w:rsid w:val="00133508"/>
    <w:rsid w:val="0013374E"/>
    <w:rsid w:val="00133A8A"/>
    <w:rsid w:val="00133BDE"/>
    <w:rsid w:val="001340D6"/>
    <w:rsid w:val="0013428E"/>
    <w:rsid w:val="001343E8"/>
    <w:rsid w:val="00134532"/>
    <w:rsid w:val="001345B3"/>
    <w:rsid w:val="0013475F"/>
    <w:rsid w:val="0013487F"/>
    <w:rsid w:val="0013498F"/>
    <w:rsid w:val="00134A00"/>
    <w:rsid w:val="00134D04"/>
    <w:rsid w:val="00134D2C"/>
    <w:rsid w:val="001353ED"/>
    <w:rsid w:val="00135734"/>
    <w:rsid w:val="00135738"/>
    <w:rsid w:val="00135949"/>
    <w:rsid w:val="001359F5"/>
    <w:rsid w:val="00135B6F"/>
    <w:rsid w:val="00135DA9"/>
    <w:rsid w:val="0013605F"/>
    <w:rsid w:val="0013619F"/>
    <w:rsid w:val="00136993"/>
    <w:rsid w:val="00136C0C"/>
    <w:rsid w:val="00137623"/>
    <w:rsid w:val="00137681"/>
    <w:rsid w:val="00137CE1"/>
    <w:rsid w:val="00137ED7"/>
    <w:rsid w:val="00137ED8"/>
    <w:rsid w:val="00140002"/>
    <w:rsid w:val="00140057"/>
    <w:rsid w:val="00140442"/>
    <w:rsid w:val="00140787"/>
    <w:rsid w:val="001407BC"/>
    <w:rsid w:val="00140A22"/>
    <w:rsid w:val="001413DF"/>
    <w:rsid w:val="00141512"/>
    <w:rsid w:val="0014167B"/>
    <w:rsid w:val="00141D9C"/>
    <w:rsid w:val="00141F3E"/>
    <w:rsid w:val="00142102"/>
    <w:rsid w:val="00142441"/>
    <w:rsid w:val="0014249D"/>
    <w:rsid w:val="00142609"/>
    <w:rsid w:val="0014367C"/>
    <w:rsid w:val="001438F6"/>
    <w:rsid w:val="00143CE3"/>
    <w:rsid w:val="00143FB5"/>
    <w:rsid w:val="00144186"/>
    <w:rsid w:val="00144189"/>
    <w:rsid w:val="00144541"/>
    <w:rsid w:val="001446F7"/>
    <w:rsid w:val="001447C1"/>
    <w:rsid w:val="0014520D"/>
    <w:rsid w:val="00145277"/>
    <w:rsid w:val="00145400"/>
    <w:rsid w:val="00145838"/>
    <w:rsid w:val="00145C5F"/>
    <w:rsid w:val="0014628D"/>
    <w:rsid w:val="00146667"/>
    <w:rsid w:val="0014678E"/>
    <w:rsid w:val="00146865"/>
    <w:rsid w:val="00146915"/>
    <w:rsid w:val="00146D70"/>
    <w:rsid w:val="0014700B"/>
    <w:rsid w:val="00147077"/>
    <w:rsid w:val="00147373"/>
    <w:rsid w:val="0014750C"/>
    <w:rsid w:val="00147D28"/>
    <w:rsid w:val="0015024B"/>
    <w:rsid w:val="001508E2"/>
    <w:rsid w:val="00150C02"/>
    <w:rsid w:val="001511CB"/>
    <w:rsid w:val="0015132C"/>
    <w:rsid w:val="001515A2"/>
    <w:rsid w:val="00151863"/>
    <w:rsid w:val="001519E4"/>
    <w:rsid w:val="00151BB4"/>
    <w:rsid w:val="00152230"/>
    <w:rsid w:val="001524A5"/>
    <w:rsid w:val="00152602"/>
    <w:rsid w:val="0015271C"/>
    <w:rsid w:val="00152964"/>
    <w:rsid w:val="00152A69"/>
    <w:rsid w:val="00152FDD"/>
    <w:rsid w:val="00153308"/>
    <w:rsid w:val="001533D0"/>
    <w:rsid w:val="001536CF"/>
    <w:rsid w:val="0015403B"/>
    <w:rsid w:val="00154496"/>
    <w:rsid w:val="0015452E"/>
    <w:rsid w:val="001546DF"/>
    <w:rsid w:val="00154D4B"/>
    <w:rsid w:val="001550C5"/>
    <w:rsid w:val="001550FA"/>
    <w:rsid w:val="001551F7"/>
    <w:rsid w:val="001553F1"/>
    <w:rsid w:val="00155797"/>
    <w:rsid w:val="00155899"/>
    <w:rsid w:val="00155981"/>
    <w:rsid w:val="001563AA"/>
    <w:rsid w:val="0015688B"/>
    <w:rsid w:val="00156AD9"/>
    <w:rsid w:val="00156B0A"/>
    <w:rsid w:val="00156C18"/>
    <w:rsid w:val="00156E44"/>
    <w:rsid w:val="00156FD1"/>
    <w:rsid w:val="0015724F"/>
    <w:rsid w:val="001572FC"/>
    <w:rsid w:val="00157A2C"/>
    <w:rsid w:val="00160287"/>
    <w:rsid w:val="00160405"/>
    <w:rsid w:val="001608D6"/>
    <w:rsid w:val="0016091C"/>
    <w:rsid w:val="00160AF1"/>
    <w:rsid w:val="00160F7A"/>
    <w:rsid w:val="001610BD"/>
    <w:rsid w:val="001610BF"/>
    <w:rsid w:val="001614A3"/>
    <w:rsid w:val="0016193B"/>
    <w:rsid w:val="00161E39"/>
    <w:rsid w:val="00161EA1"/>
    <w:rsid w:val="001623FD"/>
    <w:rsid w:val="00162AF0"/>
    <w:rsid w:val="00162D0A"/>
    <w:rsid w:val="00162D4A"/>
    <w:rsid w:val="001633E0"/>
    <w:rsid w:val="00163708"/>
    <w:rsid w:val="001639AB"/>
    <w:rsid w:val="00163B50"/>
    <w:rsid w:val="00163D46"/>
    <w:rsid w:val="00164004"/>
    <w:rsid w:val="0016405A"/>
    <w:rsid w:val="00164076"/>
    <w:rsid w:val="00164285"/>
    <w:rsid w:val="00164363"/>
    <w:rsid w:val="0016484C"/>
    <w:rsid w:val="00164BDC"/>
    <w:rsid w:val="00164CC8"/>
    <w:rsid w:val="0016555A"/>
    <w:rsid w:val="00165CEC"/>
    <w:rsid w:val="001660A6"/>
    <w:rsid w:val="001669CB"/>
    <w:rsid w:val="00166CAE"/>
    <w:rsid w:val="00166D1A"/>
    <w:rsid w:val="00166F91"/>
    <w:rsid w:val="00166FC3"/>
    <w:rsid w:val="00166FCC"/>
    <w:rsid w:val="00167534"/>
    <w:rsid w:val="001678B0"/>
    <w:rsid w:val="00167B6F"/>
    <w:rsid w:val="00167E81"/>
    <w:rsid w:val="00167FF2"/>
    <w:rsid w:val="001701E4"/>
    <w:rsid w:val="001702F0"/>
    <w:rsid w:val="001707A8"/>
    <w:rsid w:val="001707D3"/>
    <w:rsid w:val="001708AA"/>
    <w:rsid w:val="0017106B"/>
    <w:rsid w:val="00171584"/>
    <w:rsid w:val="0017198E"/>
    <w:rsid w:val="001719EF"/>
    <w:rsid w:val="00171CE3"/>
    <w:rsid w:val="00171E6A"/>
    <w:rsid w:val="00171E9B"/>
    <w:rsid w:val="00171ED3"/>
    <w:rsid w:val="00171EE6"/>
    <w:rsid w:val="00171FE6"/>
    <w:rsid w:val="0017249B"/>
    <w:rsid w:val="001728F2"/>
    <w:rsid w:val="00172950"/>
    <w:rsid w:val="00172A27"/>
    <w:rsid w:val="00172B0B"/>
    <w:rsid w:val="00172C6D"/>
    <w:rsid w:val="00172C6E"/>
    <w:rsid w:val="0017312D"/>
    <w:rsid w:val="00173790"/>
    <w:rsid w:val="00173959"/>
    <w:rsid w:val="001739E9"/>
    <w:rsid w:val="00173E8A"/>
    <w:rsid w:val="0017419F"/>
    <w:rsid w:val="0017442E"/>
    <w:rsid w:val="0017476E"/>
    <w:rsid w:val="001748F5"/>
    <w:rsid w:val="00175952"/>
    <w:rsid w:val="00175AAA"/>
    <w:rsid w:val="00175B26"/>
    <w:rsid w:val="00175E4A"/>
    <w:rsid w:val="00176209"/>
    <w:rsid w:val="001764DA"/>
    <w:rsid w:val="00176873"/>
    <w:rsid w:val="00176AD7"/>
    <w:rsid w:val="00176D0E"/>
    <w:rsid w:val="0017700F"/>
    <w:rsid w:val="001778D5"/>
    <w:rsid w:val="00177900"/>
    <w:rsid w:val="00177C1A"/>
    <w:rsid w:val="00177F02"/>
    <w:rsid w:val="0018037C"/>
    <w:rsid w:val="001810DB"/>
    <w:rsid w:val="00181266"/>
    <w:rsid w:val="001812EE"/>
    <w:rsid w:val="00181671"/>
    <w:rsid w:val="001816FD"/>
    <w:rsid w:val="0018179B"/>
    <w:rsid w:val="001817B7"/>
    <w:rsid w:val="00181A32"/>
    <w:rsid w:val="00181CA5"/>
    <w:rsid w:val="00181D7C"/>
    <w:rsid w:val="00181F26"/>
    <w:rsid w:val="00181FAE"/>
    <w:rsid w:val="001820FD"/>
    <w:rsid w:val="00182664"/>
    <w:rsid w:val="00182761"/>
    <w:rsid w:val="00182AB4"/>
    <w:rsid w:val="00182E50"/>
    <w:rsid w:val="00182EC2"/>
    <w:rsid w:val="00182ECC"/>
    <w:rsid w:val="00182FFF"/>
    <w:rsid w:val="001830B0"/>
    <w:rsid w:val="001837FC"/>
    <w:rsid w:val="00183EEC"/>
    <w:rsid w:val="00183F01"/>
    <w:rsid w:val="00183FE5"/>
    <w:rsid w:val="0018434A"/>
    <w:rsid w:val="00184374"/>
    <w:rsid w:val="00184496"/>
    <w:rsid w:val="00184645"/>
    <w:rsid w:val="00184B3A"/>
    <w:rsid w:val="001850A7"/>
    <w:rsid w:val="00185313"/>
    <w:rsid w:val="0018569A"/>
    <w:rsid w:val="00185EE3"/>
    <w:rsid w:val="00185EFB"/>
    <w:rsid w:val="001860AF"/>
    <w:rsid w:val="001862A0"/>
    <w:rsid w:val="00186451"/>
    <w:rsid w:val="0018673E"/>
    <w:rsid w:val="001877E2"/>
    <w:rsid w:val="00187A06"/>
    <w:rsid w:val="00187A12"/>
    <w:rsid w:val="00187DF2"/>
    <w:rsid w:val="00187DFC"/>
    <w:rsid w:val="00187F44"/>
    <w:rsid w:val="001903FD"/>
    <w:rsid w:val="001905B1"/>
    <w:rsid w:val="001908A3"/>
    <w:rsid w:val="001915C5"/>
    <w:rsid w:val="00191663"/>
    <w:rsid w:val="00192069"/>
    <w:rsid w:val="001924BB"/>
    <w:rsid w:val="00192547"/>
    <w:rsid w:val="0019295D"/>
    <w:rsid w:val="00192B89"/>
    <w:rsid w:val="00192E15"/>
    <w:rsid w:val="001931B0"/>
    <w:rsid w:val="0019337D"/>
    <w:rsid w:val="001933F0"/>
    <w:rsid w:val="00193894"/>
    <w:rsid w:val="00193942"/>
    <w:rsid w:val="001940E2"/>
    <w:rsid w:val="00194403"/>
    <w:rsid w:val="00194575"/>
    <w:rsid w:val="00194823"/>
    <w:rsid w:val="001948A9"/>
    <w:rsid w:val="00194AB4"/>
    <w:rsid w:val="00194DDA"/>
    <w:rsid w:val="0019504F"/>
    <w:rsid w:val="00195280"/>
    <w:rsid w:val="00195687"/>
    <w:rsid w:val="00195846"/>
    <w:rsid w:val="00195968"/>
    <w:rsid w:val="00195BF0"/>
    <w:rsid w:val="001962D9"/>
    <w:rsid w:val="00196490"/>
    <w:rsid w:val="00196546"/>
    <w:rsid w:val="001967AD"/>
    <w:rsid w:val="00196958"/>
    <w:rsid w:val="00196AE0"/>
    <w:rsid w:val="00196D58"/>
    <w:rsid w:val="00196FF6"/>
    <w:rsid w:val="0019721A"/>
    <w:rsid w:val="001973BF"/>
    <w:rsid w:val="00197476"/>
    <w:rsid w:val="0019749E"/>
    <w:rsid w:val="0019759F"/>
    <w:rsid w:val="001975CB"/>
    <w:rsid w:val="0019781A"/>
    <w:rsid w:val="0019791A"/>
    <w:rsid w:val="001979E8"/>
    <w:rsid w:val="001A007B"/>
    <w:rsid w:val="001A01A3"/>
    <w:rsid w:val="001A077B"/>
    <w:rsid w:val="001A0B27"/>
    <w:rsid w:val="001A10EF"/>
    <w:rsid w:val="001A140C"/>
    <w:rsid w:val="001A1A48"/>
    <w:rsid w:val="001A2112"/>
    <w:rsid w:val="001A2377"/>
    <w:rsid w:val="001A23BF"/>
    <w:rsid w:val="001A2430"/>
    <w:rsid w:val="001A2895"/>
    <w:rsid w:val="001A2AF4"/>
    <w:rsid w:val="001A2BD0"/>
    <w:rsid w:val="001A2E32"/>
    <w:rsid w:val="001A3133"/>
    <w:rsid w:val="001A348A"/>
    <w:rsid w:val="001A386D"/>
    <w:rsid w:val="001A3880"/>
    <w:rsid w:val="001A38A2"/>
    <w:rsid w:val="001A3A32"/>
    <w:rsid w:val="001A3C60"/>
    <w:rsid w:val="001A3C8E"/>
    <w:rsid w:val="001A3E62"/>
    <w:rsid w:val="001A3EA2"/>
    <w:rsid w:val="001A435D"/>
    <w:rsid w:val="001A4F33"/>
    <w:rsid w:val="001A556B"/>
    <w:rsid w:val="001A5612"/>
    <w:rsid w:val="001A5993"/>
    <w:rsid w:val="001A5C5B"/>
    <w:rsid w:val="001A5CC4"/>
    <w:rsid w:val="001A5EB5"/>
    <w:rsid w:val="001A608A"/>
    <w:rsid w:val="001A62E8"/>
    <w:rsid w:val="001A6768"/>
    <w:rsid w:val="001A6BBE"/>
    <w:rsid w:val="001A6DB3"/>
    <w:rsid w:val="001A6F08"/>
    <w:rsid w:val="001A7353"/>
    <w:rsid w:val="001A7423"/>
    <w:rsid w:val="001A7563"/>
    <w:rsid w:val="001A7850"/>
    <w:rsid w:val="001A7885"/>
    <w:rsid w:val="001B024D"/>
    <w:rsid w:val="001B09A4"/>
    <w:rsid w:val="001B0B9B"/>
    <w:rsid w:val="001B0E0E"/>
    <w:rsid w:val="001B1082"/>
    <w:rsid w:val="001B1400"/>
    <w:rsid w:val="001B153B"/>
    <w:rsid w:val="001B169E"/>
    <w:rsid w:val="001B1B5C"/>
    <w:rsid w:val="001B1D65"/>
    <w:rsid w:val="001B2257"/>
    <w:rsid w:val="001B246D"/>
    <w:rsid w:val="001B25AE"/>
    <w:rsid w:val="001B2788"/>
    <w:rsid w:val="001B2B21"/>
    <w:rsid w:val="001B2B75"/>
    <w:rsid w:val="001B2B76"/>
    <w:rsid w:val="001B2CB1"/>
    <w:rsid w:val="001B2D2E"/>
    <w:rsid w:val="001B2E23"/>
    <w:rsid w:val="001B3155"/>
    <w:rsid w:val="001B3186"/>
    <w:rsid w:val="001B3D7C"/>
    <w:rsid w:val="001B3DD4"/>
    <w:rsid w:val="001B426E"/>
    <w:rsid w:val="001B4364"/>
    <w:rsid w:val="001B4398"/>
    <w:rsid w:val="001B442E"/>
    <w:rsid w:val="001B44A6"/>
    <w:rsid w:val="001B47FC"/>
    <w:rsid w:val="001B4A71"/>
    <w:rsid w:val="001B4BC1"/>
    <w:rsid w:val="001B5035"/>
    <w:rsid w:val="001B5116"/>
    <w:rsid w:val="001B520E"/>
    <w:rsid w:val="001B54F0"/>
    <w:rsid w:val="001B5A42"/>
    <w:rsid w:val="001B5ADA"/>
    <w:rsid w:val="001B5D5A"/>
    <w:rsid w:val="001B5FE0"/>
    <w:rsid w:val="001B62A1"/>
    <w:rsid w:val="001B6637"/>
    <w:rsid w:val="001B686D"/>
    <w:rsid w:val="001B729D"/>
    <w:rsid w:val="001B7714"/>
    <w:rsid w:val="001B7717"/>
    <w:rsid w:val="001B7754"/>
    <w:rsid w:val="001B7966"/>
    <w:rsid w:val="001B7B2E"/>
    <w:rsid w:val="001B7D34"/>
    <w:rsid w:val="001C02EF"/>
    <w:rsid w:val="001C0C22"/>
    <w:rsid w:val="001C0ED6"/>
    <w:rsid w:val="001C0EDD"/>
    <w:rsid w:val="001C1200"/>
    <w:rsid w:val="001C15EA"/>
    <w:rsid w:val="001C16F4"/>
    <w:rsid w:val="001C1821"/>
    <w:rsid w:val="001C1A26"/>
    <w:rsid w:val="001C23E0"/>
    <w:rsid w:val="001C301F"/>
    <w:rsid w:val="001C325A"/>
    <w:rsid w:val="001C34EA"/>
    <w:rsid w:val="001C3537"/>
    <w:rsid w:val="001C44C3"/>
    <w:rsid w:val="001C5484"/>
    <w:rsid w:val="001C5559"/>
    <w:rsid w:val="001C5B83"/>
    <w:rsid w:val="001C5C5F"/>
    <w:rsid w:val="001C6016"/>
    <w:rsid w:val="001C64D1"/>
    <w:rsid w:val="001C6687"/>
    <w:rsid w:val="001C6921"/>
    <w:rsid w:val="001C6E65"/>
    <w:rsid w:val="001C75D9"/>
    <w:rsid w:val="001C7775"/>
    <w:rsid w:val="001C7833"/>
    <w:rsid w:val="001C79F1"/>
    <w:rsid w:val="001C7CA8"/>
    <w:rsid w:val="001C7E16"/>
    <w:rsid w:val="001D01A1"/>
    <w:rsid w:val="001D0642"/>
    <w:rsid w:val="001D06F8"/>
    <w:rsid w:val="001D0900"/>
    <w:rsid w:val="001D0C55"/>
    <w:rsid w:val="001D0FD0"/>
    <w:rsid w:val="001D1CD1"/>
    <w:rsid w:val="001D1D41"/>
    <w:rsid w:val="001D1ED7"/>
    <w:rsid w:val="001D228F"/>
    <w:rsid w:val="001D229A"/>
    <w:rsid w:val="001D237B"/>
    <w:rsid w:val="001D2880"/>
    <w:rsid w:val="001D2CC0"/>
    <w:rsid w:val="001D31CB"/>
    <w:rsid w:val="001D3240"/>
    <w:rsid w:val="001D330C"/>
    <w:rsid w:val="001D348B"/>
    <w:rsid w:val="001D37A1"/>
    <w:rsid w:val="001D3BBC"/>
    <w:rsid w:val="001D3C6E"/>
    <w:rsid w:val="001D4123"/>
    <w:rsid w:val="001D445A"/>
    <w:rsid w:val="001D487C"/>
    <w:rsid w:val="001D49D6"/>
    <w:rsid w:val="001D4BE8"/>
    <w:rsid w:val="001D4E11"/>
    <w:rsid w:val="001D528A"/>
    <w:rsid w:val="001D5484"/>
    <w:rsid w:val="001D5700"/>
    <w:rsid w:val="001D5F5B"/>
    <w:rsid w:val="001D606D"/>
    <w:rsid w:val="001D60C3"/>
    <w:rsid w:val="001D616C"/>
    <w:rsid w:val="001D6379"/>
    <w:rsid w:val="001D654F"/>
    <w:rsid w:val="001D6813"/>
    <w:rsid w:val="001D6A08"/>
    <w:rsid w:val="001D6AD0"/>
    <w:rsid w:val="001D6E7F"/>
    <w:rsid w:val="001D7200"/>
    <w:rsid w:val="001D7B1E"/>
    <w:rsid w:val="001D7D41"/>
    <w:rsid w:val="001E00E9"/>
    <w:rsid w:val="001E0125"/>
    <w:rsid w:val="001E027F"/>
    <w:rsid w:val="001E03E5"/>
    <w:rsid w:val="001E046C"/>
    <w:rsid w:val="001E13F2"/>
    <w:rsid w:val="001E1955"/>
    <w:rsid w:val="001E1E13"/>
    <w:rsid w:val="001E27BB"/>
    <w:rsid w:val="001E31C2"/>
    <w:rsid w:val="001E35F7"/>
    <w:rsid w:val="001E3614"/>
    <w:rsid w:val="001E364A"/>
    <w:rsid w:val="001E3E1F"/>
    <w:rsid w:val="001E3E89"/>
    <w:rsid w:val="001E42BE"/>
    <w:rsid w:val="001E42D0"/>
    <w:rsid w:val="001E4488"/>
    <w:rsid w:val="001E4C80"/>
    <w:rsid w:val="001E5313"/>
    <w:rsid w:val="001E5873"/>
    <w:rsid w:val="001E5BB3"/>
    <w:rsid w:val="001E5E5D"/>
    <w:rsid w:val="001E5FFC"/>
    <w:rsid w:val="001E6125"/>
    <w:rsid w:val="001E62E2"/>
    <w:rsid w:val="001E6852"/>
    <w:rsid w:val="001E73E2"/>
    <w:rsid w:val="001E752F"/>
    <w:rsid w:val="001E77ED"/>
    <w:rsid w:val="001F002D"/>
    <w:rsid w:val="001F033F"/>
    <w:rsid w:val="001F0345"/>
    <w:rsid w:val="001F056E"/>
    <w:rsid w:val="001F0C69"/>
    <w:rsid w:val="001F0DD2"/>
    <w:rsid w:val="001F1106"/>
    <w:rsid w:val="001F11F5"/>
    <w:rsid w:val="001F129C"/>
    <w:rsid w:val="001F13A6"/>
    <w:rsid w:val="001F15F4"/>
    <w:rsid w:val="001F173C"/>
    <w:rsid w:val="001F1AC9"/>
    <w:rsid w:val="001F211E"/>
    <w:rsid w:val="001F22DE"/>
    <w:rsid w:val="001F2718"/>
    <w:rsid w:val="001F2885"/>
    <w:rsid w:val="001F2A9B"/>
    <w:rsid w:val="001F2CA2"/>
    <w:rsid w:val="001F2F87"/>
    <w:rsid w:val="001F311B"/>
    <w:rsid w:val="001F456F"/>
    <w:rsid w:val="001F463C"/>
    <w:rsid w:val="001F504C"/>
    <w:rsid w:val="001F510A"/>
    <w:rsid w:val="001F5123"/>
    <w:rsid w:val="001F5206"/>
    <w:rsid w:val="001F54F8"/>
    <w:rsid w:val="001F56E7"/>
    <w:rsid w:val="001F5E7E"/>
    <w:rsid w:val="001F6251"/>
    <w:rsid w:val="001F697B"/>
    <w:rsid w:val="001F6D13"/>
    <w:rsid w:val="001F6E37"/>
    <w:rsid w:val="001F7754"/>
    <w:rsid w:val="001F7892"/>
    <w:rsid w:val="001F7E5A"/>
    <w:rsid w:val="00200251"/>
    <w:rsid w:val="00200597"/>
    <w:rsid w:val="00200720"/>
    <w:rsid w:val="0020084C"/>
    <w:rsid w:val="00200952"/>
    <w:rsid w:val="00200EA5"/>
    <w:rsid w:val="002013BB"/>
    <w:rsid w:val="002013FA"/>
    <w:rsid w:val="00201CC0"/>
    <w:rsid w:val="00201E59"/>
    <w:rsid w:val="0020226E"/>
    <w:rsid w:val="0020256F"/>
    <w:rsid w:val="00202659"/>
    <w:rsid w:val="002033FF"/>
    <w:rsid w:val="00203460"/>
    <w:rsid w:val="002035AD"/>
    <w:rsid w:val="00203894"/>
    <w:rsid w:val="002038C6"/>
    <w:rsid w:val="00203944"/>
    <w:rsid w:val="00203B9B"/>
    <w:rsid w:val="00203B9F"/>
    <w:rsid w:val="002040BA"/>
    <w:rsid w:val="0020416E"/>
    <w:rsid w:val="002044C5"/>
    <w:rsid w:val="00204906"/>
    <w:rsid w:val="00204907"/>
    <w:rsid w:val="00204939"/>
    <w:rsid w:val="00204D24"/>
    <w:rsid w:val="00204E52"/>
    <w:rsid w:val="002050C0"/>
    <w:rsid w:val="0020537B"/>
    <w:rsid w:val="00205B3C"/>
    <w:rsid w:val="00205BF3"/>
    <w:rsid w:val="00205E33"/>
    <w:rsid w:val="002062CB"/>
    <w:rsid w:val="002067C7"/>
    <w:rsid w:val="002068DC"/>
    <w:rsid w:val="00206B74"/>
    <w:rsid w:val="00206EEC"/>
    <w:rsid w:val="0020766F"/>
    <w:rsid w:val="002103C5"/>
    <w:rsid w:val="00210408"/>
    <w:rsid w:val="00211296"/>
    <w:rsid w:val="002116F2"/>
    <w:rsid w:val="00211B15"/>
    <w:rsid w:val="00211CBC"/>
    <w:rsid w:val="00211D30"/>
    <w:rsid w:val="002120A5"/>
    <w:rsid w:val="002121E5"/>
    <w:rsid w:val="00212591"/>
    <w:rsid w:val="002128A5"/>
    <w:rsid w:val="00212C14"/>
    <w:rsid w:val="00212D1B"/>
    <w:rsid w:val="00212E9B"/>
    <w:rsid w:val="00213258"/>
    <w:rsid w:val="00213774"/>
    <w:rsid w:val="00213DA1"/>
    <w:rsid w:val="00213EA8"/>
    <w:rsid w:val="00214295"/>
    <w:rsid w:val="00214447"/>
    <w:rsid w:val="002144B3"/>
    <w:rsid w:val="00214597"/>
    <w:rsid w:val="002149CD"/>
    <w:rsid w:val="00215A47"/>
    <w:rsid w:val="00215CF1"/>
    <w:rsid w:val="0021602D"/>
    <w:rsid w:val="00216129"/>
    <w:rsid w:val="00216260"/>
    <w:rsid w:val="0021627C"/>
    <w:rsid w:val="002165BB"/>
    <w:rsid w:val="00216C51"/>
    <w:rsid w:val="00216FB3"/>
    <w:rsid w:val="0021714A"/>
    <w:rsid w:val="00217175"/>
    <w:rsid w:val="0021777B"/>
    <w:rsid w:val="002179A4"/>
    <w:rsid w:val="00217A1D"/>
    <w:rsid w:val="00217A78"/>
    <w:rsid w:val="00217B94"/>
    <w:rsid w:val="00217D5A"/>
    <w:rsid w:val="00217D88"/>
    <w:rsid w:val="002203A2"/>
    <w:rsid w:val="0022055A"/>
    <w:rsid w:val="002206F0"/>
    <w:rsid w:val="00220EEE"/>
    <w:rsid w:val="002210FC"/>
    <w:rsid w:val="0022130C"/>
    <w:rsid w:val="00221D37"/>
    <w:rsid w:val="00221EBA"/>
    <w:rsid w:val="00221F81"/>
    <w:rsid w:val="0022233C"/>
    <w:rsid w:val="002227C9"/>
    <w:rsid w:val="00222ED7"/>
    <w:rsid w:val="00223245"/>
    <w:rsid w:val="0022371F"/>
    <w:rsid w:val="00223B24"/>
    <w:rsid w:val="00223BCB"/>
    <w:rsid w:val="00223D05"/>
    <w:rsid w:val="00223EFF"/>
    <w:rsid w:val="00223F1E"/>
    <w:rsid w:val="002241D3"/>
    <w:rsid w:val="0022467D"/>
    <w:rsid w:val="00224849"/>
    <w:rsid w:val="00224902"/>
    <w:rsid w:val="00224975"/>
    <w:rsid w:val="00224A8B"/>
    <w:rsid w:val="00224FEE"/>
    <w:rsid w:val="0022509C"/>
    <w:rsid w:val="00225656"/>
    <w:rsid w:val="00225B49"/>
    <w:rsid w:val="00225FF9"/>
    <w:rsid w:val="0022654F"/>
    <w:rsid w:val="0022693C"/>
    <w:rsid w:val="00226B30"/>
    <w:rsid w:val="00226F1C"/>
    <w:rsid w:val="0022726A"/>
    <w:rsid w:val="00227358"/>
    <w:rsid w:val="002273AE"/>
    <w:rsid w:val="002273D5"/>
    <w:rsid w:val="0022742E"/>
    <w:rsid w:val="0022747C"/>
    <w:rsid w:val="00227918"/>
    <w:rsid w:val="0022793E"/>
    <w:rsid w:val="00227BA2"/>
    <w:rsid w:val="00227C08"/>
    <w:rsid w:val="00227C49"/>
    <w:rsid w:val="00227E89"/>
    <w:rsid w:val="00227FED"/>
    <w:rsid w:val="0023014B"/>
    <w:rsid w:val="002301A5"/>
    <w:rsid w:val="0023020C"/>
    <w:rsid w:val="00230222"/>
    <w:rsid w:val="00230363"/>
    <w:rsid w:val="00230AAD"/>
    <w:rsid w:val="00230C2C"/>
    <w:rsid w:val="00230CB5"/>
    <w:rsid w:val="00230FE7"/>
    <w:rsid w:val="00230FFE"/>
    <w:rsid w:val="00231098"/>
    <w:rsid w:val="0023115F"/>
    <w:rsid w:val="00231487"/>
    <w:rsid w:val="002316C0"/>
    <w:rsid w:val="00232208"/>
    <w:rsid w:val="00232641"/>
    <w:rsid w:val="00232AD0"/>
    <w:rsid w:val="00232D91"/>
    <w:rsid w:val="00232E85"/>
    <w:rsid w:val="0023326F"/>
    <w:rsid w:val="00233287"/>
    <w:rsid w:val="002333A7"/>
    <w:rsid w:val="00233695"/>
    <w:rsid w:val="00233809"/>
    <w:rsid w:val="002338E8"/>
    <w:rsid w:val="0023392C"/>
    <w:rsid w:val="00233B2E"/>
    <w:rsid w:val="00233B4A"/>
    <w:rsid w:val="00233E1A"/>
    <w:rsid w:val="00234029"/>
    <w:rsid w:val="002343C3"/>
    <w:rsid w:val="0023443E"/>
    <w:rsid w:val="0023454A"/>
    <w:rsid w:val="002346B8"/>
    <w:rsid w:val="00234AF9"/>
    <w:rsid w:val="00234B82"/>
    <w:rsid w:val="00234D92"/>
    <w:rsid w:val="00234DE7"/>
    <w:rsid w:val="00235449"/>
    <w:rsid w:val="002354D4"/>
    <w:rsid w:val="00235708"/>
    <w:rsid w:val="00235D1C"/>
    <w:rsid w:val="00235F26"/>
    <w:rsid w:val="00235F95"/>
    <w:rsid w:val="00236729"/>
    <w:rsid w:val="002369D2"/>
    <w:rsid w:val="00236BBA"/>
    <w:rsid w:val="00236DD9"/>
    <w:rsid w:val="00236FB1"/>
    <w:rsid w:val="00237284"/>
    <w:rsid w:val="0023744B"/>
    <w:rsid w:val="002375B3"/>
    <w:rsid w:val="002377F4"/>
    <w:rsid w:val="0024015D"/>
    <w:rsid w:val="00240243"/>
    <w:rsid w:val="002405F7"/>
    <w:rsid w:val="00240611"/>
    <w:rsid w:val="002409B1"/>
    <w:rsid w:val="00240C6F"/>
    <w:rsid w:val="00240C9E"/>
    <w:rsid w:val="00240F28"/>
    <w:rsid w:val="00241721"/>
    <w:rsid w:val="00241FAA"/>
    <w:rsid w:val="002421C7"/>
    <w:rsid w:val="002424B7"/>
    <w:rsid w:val="00242752"/>
    <w:rsid w:val="00242DED"/>
    <w:rsid w:val="0024372F"/>
    <w:rsid w:val="00243F85"/>
    <w:rsid w:val="00244080"/>
    <w:rsid w:val="00244254"/>
    <w:rsid w:val="0024456C"/>
    <w:rsid w:val="00244F4C"/>
    <w:rsid w:val="0024505A"/>
    <w:rsid w:val="002452BD"/>
    <w:rsid w:val="002460EE"/>
    <w:rsid w:val="002463EB"/>
    <w:rsid w:val="002465B4"/>
    <w:rsid w:val="00246651"/>
    <w:rsid w:val="00246918"/>
    <w:rsid w:val="0024709F"/>
    <w:rsid w:val="00247318"/>
    <w:rsid w:val="00247B40"/>
    <w:rsid w:val="00247BB8"/>
    <w:rsid w:val="00250DBA"/>
    <w:rsid w:val="00250EC5"/>
    <w:rsid w:val="00250F23"/>
    <w:rsid w:val="002511D2"/>
    <w:rsid w:val="002512FC"/>
    <w:rsid w:val="00251A60"/>
    <w:rsid w:val="00251B0C"/>
    <w:rsid w:val="00251DC2"/>
    <w:rsid w:val="00251E11"/>
    <w:rsid w:val="00251E51"/>
    <w:rsid w:val="00251F70"/>
    <w:rsid w:val="00252425"/>
    <w:rsid w:val="00252582"/>
    <w:rsid w:val="00252922"/>
    <w:rsid w:val="002529D3"/>
    <w:rsid w:val="00252B5B"/>
    <w:rsid w:val="00252B77"/>
    <w:rsid w:val="00252F33"/>
    <w:rsid w:val="00253176"/>
    <w:rsid w:val="002533ED"/>
    <w:rsid w:val="00253493"/>
    <w:rsid w:val="00253593"/>
    <w:rsid w:val="0025367F"/>
    <w:rsid w:val="00253760"/>
    <w:rsid w:val="002538B9"/>
    <w:rsid w:val="00253A46"/>
    <w:rsid w:val="00253A61"/>
    <w:rsid w:val="00253A62"/>
    <w:rsid w:val="00253A7C"/>
    <w:rsid w:val="00253D69"/>
    <w:rsid w:val="00253E3F"/>
    <w:rsid w:val="00254642"/>
    <w:rsid w:val="00254BE4"/>
    <w:rsid w:val="00255059"/>
    <w:rsid w:val="00255171"/>
    <w:rsid w:val="0025575B"/>
    <w:rsid w:val="002557EE"/>
    <w:rsid w:val="002558BA"/>
    <w:rsid w:val="002558DC"/>
    <w:rsid w:val="0025593E"/>
    <w:rsid w:val="00255AEA"/>
    <w:rsid w:val="00255D5B"/>
    <w:rsid w:val="00256253"/>
    <w:rsid w:val="0025667A"/>
    <w:rsid w:val="00256866"/>
    <w:rsid w:val="00256BDD"/>
    <w:rsid w:val="00256D7B"/>
    <w:rsid w:val="00257127"/>
    <w:rsid w:val="00257B90"/>
    <w:rsid w:val="00257BEA"/>
    <w:rsid w:val="0026027A"/>
    <w:rsid w:val="0026032B"/>
    <w:rsid w:val="00260D59"/>
    <w:rsid w:val="00261AD8"/>
    <w:rsid w:val="00261EB2"/>
    <w:rsid w:val="002625DE"/>
    <w:rsid w:val="002628A4"/>
    <w:rsid w:val="00262945"/>
    <w:rsid w:val="00262FA9"/>
    <w:rsid w:val="0026300B"/>
    <w:rsid w:val="00263219"/>
    <w:rsid w:val="0026343B"/>
    <w:rsid w:val="00263845"/>
    <w:rsid w:val="00263A6D"/>
    <w:rsid w:val="00263CA7"/>
    <w:rsid w:val="00264446"/>
    <w:rsid w:val="00264870"/>
    <w:rsid w:val="00264918"/>
    <w:rsid w:val="002649AA"/>
    <w:rsid w:val="00265264"/>
    <w:rsid w:val="002652DF"/>
    <w:rsid w:val="002659B0"/>
    <w:rsid w:val="00265C05"/>
    <w:rsid w:val="00265EAF"/>
    <w:rsid w:val="00266060"/>
    <w:rsid w:val="002666D1"/>
    <w:rsid w:val="002666F3"/>
    <w:rsid w:val="00266D83"/>
    <w:rsid w:val="00267450"/>
    <w:rsid w:val="002675E2"/>
    <w:rsid w:val="00267BE7"/>
    <w:rsid w:val="00270139"/>
    <w:rsid w:val="00270386"/>
    <w:rsid w:val="00270C86"/>
    <w:rsid w:val="002715F9"/>
    <w:rsid w:val="00271A0B"/>
    <w:rsid w:val="00271D8D"/>
    <w:rsid w:val="00271E7F"/>
    <w:rsid w:val="0027206D"/>
    <w:rsid w:val="0027215C"/>
    <w:rsid w:val="002721AE"/>
    <w:rsid w:val="002726E6"/>
    <w:rsid w:val="00272711"/>
    <w:rsid w:val="00272BDE"/>
    <w:rsid w:val="00272CCB"/>
    <w:rsid w:val="00272CED"/>
    <w:rsid w:val="00273201"/>
    <w:rsid w:val="0027356C"/>
    <w:rsid w:val="00273650"/>
    <w:rsid w:val="00273A81"/>
    <w:rsid w:val="00273B80"/>
    <w:rsid w:val="0027479E"/>
    <w:rsid w:val="00274ABC"/>
    <w:rsid w:val="002753BB"/>
    <w:rsid w:val="00275928"/>
    <w:rsid w:val="0027598C"/>
    <w:rsid w:val="00275DCC"/>
    <w:rsid w:val="00275FDC"/>
    <w:rsid w:val="002762EC"/>
    <w:rsid w:val="002765AE"/>
    <w:rsid w:val="00276AC4"/>
    <w:rsid w:val="0027723D"/>
    <w:rsid w:val="00277529"/>
    <w:rsid w:val="002776CB"/>
    <w:rsid w:val="00277B75"/>
    <w:rsid w:val="00277C1B"/>
    <w:rsid w:val="00280203"/>
    <w:rsid w:val="002806BA"/>
    <w:rsid w:val="002807C9"/>
    <w:rsid w:val="00280892"/>
    <w:rsid w:val="00280B61"/>
    <w:rsid w:val="00281469"/>
    <w:rsid w:val="002815DD"/>
    <w:rsid w:val="00281697"/>
    <w:rsid w:val="0028198B"/>
    <w:rsid w:val="002819C0"/>
    <w:rsid w:val="00281C37"/>
    <w:rsid w:val="00281DCF"/>
    <w:rsid w:val="00282003"/>
    <w:rsid w:val="00282215"/>
    <w:rsid w:val="00282217"/>
    <w:rsid w:val="002827BF"/>
    <w:rsid w:val="00282BC0"/>
    <w:rsid w:val="00282BE4"/>
    <w:rsid w:val="00282FAC"/>
    <w:rsid w:val="002833A4"/>
    <w:rsid w:val="00283527"/>
    <w:rsid w:val="00283716"/>
    <w:rsid w:val="00283C9D"/>
    <w:rsid w:val="00283CCE"/>
    <w:rsid w:val="00283F1C"/>
    <w:rsid w:val="002842DD"/>
    <w:rsid w:val="0028475C"/>
    <w:rsid w:val="00284ABA"/>
    <w:rsid w:val="00284C9F"/>
    <w:rsid w:val="00284E57"/>
    <w:rsid w:val="002851E5"/>
    <w:rsid w:val="00285374"/>
    <w:rsid w:val="002855A1"/>
    <w:rsid w:val="002855DA"/>
    <w:rsid w:val="0028570C"/>
    <w:rsid w:val="0028591E"/>
    <w:rsid w:val="00285ABE"/>
    <w:rsid w:val="00285AD8"/>
    <w:rsid w:val="00286028"/>
    <w:rsid w:val="002861FF"/>
    <w:rsid w:val="002863DD"/>
    <w:rsid w:val="002864F0"/>
    <w:rsid w:val="0028660F"/>
    <w:rsid w:val="0028699A"/>
    <w:rsid w:val="002869D7"/>
    <w:rsid w:val="0028709C"/>
    <w:rsid w:val="00287621"/>
    <w:rsid w:val="002876CD"/>
    <w:rsid w:val="00287A79"/>
    <w:rsid w:val="00287B8B"/>
    <w:rsid w:val="00290142"/>
    <w:rsid w:val="00290246"/>
    <w:rsid w:val="00290255"/>
    <w:rsid w:val="0029037E"/>
    <w:rsid w:val="00290556"/>
    <w:rsid w:val="0029074E"/>
    <w:rsid w:val="0029078F"/>
    <w:rsid w:val="00290843"/>
    <w:rsid w:val="00290DA8"/>
    <w:rsid w:val="00290E54"/>
    <w:rsid w:val="00290EBF"/>
    <w:rsid w:val="00291409"/>
    <w:rsid w:val="00291465"/>
    <w:rsid w:val="00291478"/>
    <w:rsid w:val="00291499"/>
    <w:rsid w:val="00291563"/>
    <w:rsid w:val="0029183D"/>
    <w:rsid w:val="00291931"/>
    <w:rsid w:val="00291D60"/>
    <w:rsid w:val="0029204A"/>
    <w:rsid w:val="002920B0"/>
    <w:rsid w:val="002920D5"/>
    <w:rsid w:val="0029219B"/>
    <w:rsid w:val="00292790"/>
    <w:rsid w:val="0029283C"/>
    <w:rsid w:val="0029287A"/>
    <w:rsid w:val="00292B9A"/>
    <w:rsid w:val="00292E23"/>
    <w:rsid w:val="00292EFB"/>
    <w:rsid w:val="002930B5"/>
    <w:rsid w:val="00293417"/>
    <w:rsid w:val="00293444"/>
    <w:rsid w:val="00293C5C"/>
    <w:rsid w:val="00293C80"/>
    <w:rsid w:val="00294836"/>
    <w:rsid w:val="00294C35"/>
    <w:rsid w:val="00294C5E"/>
    <w:rsid w:val="00294D02"/>
    <w:rsid w:val="00294E2E"/>
    <w:rsid w:val="00295173"/>
    <w:rsid w:val="002956BF"/>
    <w:rsid w:val="00296695"/>
    <w:rsid w:val="0029690F"/>
    <w:rsid w:val="002969CB"/>
    <w:rsid w:val="00296A0A"/>
    <w:rsid w:val="00296C39"/>
    <w:rsid w:val="0029734A"/>
    <w:rsid w:val="002978E3"/>
    <w:rsid w:val="00297A78"/>
    <w:rsid w:val="00297B02"/>
    <w:rsid w:val="00297C99"/>
    <w:rsid w:val="002A09CB"/>
    <w:rsid w:val="002A0DF1"/>
    <w:rsid w:val="002A0E2E"/>
    <w:rsid w:val="002A0EAD"/>
    <w:rsid w:val="002A1150"/>
    <w:rsid w:val="002A1903"/>
    <w:rsid w:val="002A1A5B"/>
    <w:rsid w:val="002A1BAE"/>
    <w:rsid w:val="002A1C28"/>
    <w:rsid w:val="002A1E10"/>
    <w:rsid w:val="002A21B0"/>
    <w:rsid w:val="002A26B0"/>
    <w:rsid w:val="002A2C55"/>
    <w:rsid w:val="002A3137"/>
    <w:rsid w:val="002A389E"/>
    <w:rsid w:val="002A3A2B"/>
    <w:rsid w:val="002A4580"/>
    <w:rsid w:val="002A4615"/>
    <w:rsid w:val="002A47E3"/>
    <w:rsid w:val="002A4FF3"/>
    <w:rsid w:val="002A51CA"/>
    <w:rsid w:val="002A5240"/>
    <w:rsid w:val="002A528B"/>
    <w:rsid w:val="002A5958"/>
    <w:rsid w:val="002A5C7F"/>
    <w:rsid w:val="002A5D23"/>
    <w:rsid w:val="002A5E05"/>
    <w:rsid w:val="002A6589"/>
    <w:rsid w:val="002A67B9"/>
    <w:rsid w:val="002A683F"/>
    <w:rsid w:val="002A6BB8"/>
    <w:rsid w:val="002A6DBB"/>
    <w:rsid w:val="002A6F38"/>
    <w:rsid w:val="002A6F86"/>
    <w:rsid w:val="002A72E0"/>
    <w:rsid w:val="002A75A5"/>
    <w:rsid w:val="002A7A81"/>
    <w:rsid w:val="002A7E65"/>
    <w:rsid w:val="002A7FC8"/>
    <w:rsid w:val="002B072E"/>
    <w:rsid w:val="002B0C6B"/>
    <w:rsid w:val="002B105E"/>
    <w:rsid w:val="002B10E2"/>
    <w:rsid w:val="002B1164"/>
    <w:rsid w:val="002B117C"/>
    <w:rsid w:val="002B131F"/>
    <w:rsid w:val="002B16B3"/>
    <w:rsid w:val="002B16D7"/>
    <w:rsid w:val="002B1741"/>
    <w:rsid w:val="002B17BE"/>
    <w:rsid w:val="002B18A1"/>
    <w:rsid w:val="002B1E5B"/>
    <w:rsid w:val="002B20DD"/>
    <w:rsid w:val="002B21B7"/>
    <w:rsid w:val="002B23CC"/>
    <w:rsid w:val="002B29AD"/>
    <w:rsid w:val="002B2F54"/>
    <w:rsid w:val="002B2FBA"/>
    <w:rsid w:val="002B31B4"/>
    <w:rsid w:val="002B32CE"/>
    <w:rsid w:val="002B32DB"/>
    <w:rsid w:val="002B33A7"/>
    <w:rsid w:val="002B35B9"/>
    <w:rsid w:val="002B387D"/>
    <w:rsid w:val="002B38F3"/>
    <w:rsid w:val="002B3D4B"/>
    <w:rsid w:val="002B42D5"/>
    <w:rsid w:val="002B43BB"/>
    <w:rsid w:val="002B47C2"/>
    <w:rsid w:val="002B4959"/>
    <w:rsid w:val="002B4995"/>
    <w:rsid w:val="002B4ABC"/>
    <w:rsid w:val="002B4EC5"/>
    <w:rsid w:val="002B515E"/>
    <w:rsid w:val="002B5823"/>
    <w:rsid w:val="002B5A49"/>
    <w:rsid w:val="002B5BBC"/>
    <w:rsid w:val="002B5EDF"/>
    <w:rsid w:val="002B60DD"/>
    <w:rsid w:val="002B65C4"/>
    <w:rsid w:val="002B6688"/>
    <w:rsid w:val="002B6A55"/>
    <w:rsid w:val="002B6DF3"/>
    <w:rsid w:val="002B7098"/>
    <w:rsid w:val="002B7316"/>
    <w:rsid w:val="002B7389"/>
    <w:rsid w:val="002B7708"/>
    <w:rsid w:val="002C0097"/>
    <w:rsid w:val="002C07A3"/>
    <w:rsid w:val="002C093F"/>
    <w:rsid w:val="002C0C85"/>
    <w:rsid w:val="002C0D2C"/>
    <w:rsid w:val="002C11C9"/>
    <w:rsid w:val="002C1D07"/>
    <w:rsid w:val="002C1E2E"/>
    <w:rsid w:val="002C21AD"/>
    <w:rsid w:val="002C278A"/>
    <w:rsid w:val="002C2995"/>
    <w:rsid w:val="002C2C04"/>
    <w:rsid w:val="002C2D52"/>
    <w:rsid w:val="002C2F93"/>
    <w:rsid w:val="002C331D"/>
    <w:rsid w:val="002C3419"/>
    <w:rsid w:val="002C3A14"/>
    <w:rsid w:val="002C3B7F"/>
    <w:rsid w:val="002C3F04"/>
    <w:rsid w:val="002C4664"/>
    <w:rsid w:val="002C4C37"/>
    <w:rsid w:val="002C4E03"/>
    <w:rsid w:val="002C4E3B"/>
    <w:rsid w:val="002C5555"/>
    <w:rsid w:val="002C563F"/>
    <w:rsid w:val="002C57B0"/>
    <w:rsid w:val="002C60C8"/>
    <w:rsid w:val="002C6524"/>
    <w:rsid w:val="002C65CB"/>
    <w:rsid w:val="002C676B"/>
    <w:rsid w:val="002C6E87"/>
    <w:rsid w:val="002C733C"/>
    <w:rsid w:val="002C7557"/>
    <w:rsid w:val="002C78BF"/>
    <w:rsid w:val="002C7BD3"/>
    <w:rsid w:val="002C7D70"/>
    <w:rsid w:val="002D056F"/>
    <w:rsid w:val="002D0997"/>
    <w:rsid w:val="002D09C3"/>
    <w:rsid w:val="002D09ED"/>
    <w:rsid w:val="002D1109"/>
    <w:rsid w:val="002D11D8"/>
    <w:rsid w:val="002D11E9"/>
    <w:rsid w:val="002D1237"/>
    <w:rsid w:val="002D12E3"/>
    <w:rsid w:val="002D134A"/>
    <w:rsid w:val="002D15AB"/>
    <w:rsid w:val="002D1617"/>
    <w:rsid w:val="002D18A7"/>
    <w:rsid w:val="002D18F3"/>
    <w:rsid w:val="002D1B83"/>
    <w:rsid w:val="002D1BC3"/>
    <w:rsid w:val="002D1CCA"/>
    <w:rsid w:val="002D21FF"/>
    <w:rsid w:val="002D25E3"/>
    <w:rsid w:val="002D2B51"/>
    <w:rsid w:val="002D2BE3"/>
    <w:rsid w:val="002D2CDE"/>
    <w:rsid w:val="002D2E6B"/>
    <w:rsid w:val="002D2F68"/>
    <w:rsid w:val="002D2FA3"/>
    <w:rsid w:val="002D32A1"/>
    <w:rsid w:val="002D33E5"/>
    <w:rsid w:val="002D345F"/>
    <w:rsid w:val="002D36BB"/>
    <w:rsid w:val="002D3B05"/>
    <w:rsid w:val="002D3BFA"/>
    <w:rsid w:val="002D3CD0"/>
    <w:rsid w:val="002D3D4C"/>
    <w:rsid w:val="002D3DB5"/>
    <w:rsid w:val="002D3DEF"/>
    <w:rsid w:val="002D3F1A"/>
    <w:rsid w:val="002D40EC"/>
    <w:rsid w:val="002D41F0"/>
    <w:rsid w:val="002D4367"/>
    <w:rsid w:val="002D475A"/>
    <w:rsid w:val="002D4A04"/>
    <w:rsid w:val="002D4D63"/>
    <w:rsid w:val="002D4D6A"/>
    <w:rsid w:val="002D58A6"/>
    <w:rsid w:val="002D606F"/>
    <w:rsid w:val="002D61B4"/>
    <w:rsid w:val="002D6546"/>
    <w:rsid w:val="002D65D5"/>
    <w:rsid w:val="002D6B51"/>
    <w:rsid w:val="002D6BCC"/>
    <w:rsid w:val="002D6CA6"/>
    <w:rsid w:val="002D6E91"/>
    <w:rsid w:val="002D6F58"/>
    <w:rsid w:val="002D70A0"/>
    <w:rsid w:val="002D70A4"/>
    <w:rsid w:val="002D734D"/>
    <w:rsid w:val="002D7905"/>
    <w:rsid w:val="002E0269"/>
    <w:rsid w:val="002E047B"/>
    <w:rsid w:val="002E0670"/>
    <w:rsid w:val="002E075F"/>
    <w:rsid w:val="002E0A66"/>
    <w:rsid w:val="002E0BB8"/>
    <w:rsid w:val="002E0F5D"/>
    <w:rsid w:val="002E1017"/>
    <w:rsid w:val="002E1174"/>
    <w:rsid w:val="002E1207"/>
    <w:rsid w:val="002E120F"/>
    <w:rsid w:val="002E1462"/>
    <w:rsid w:val="002E1785"/>
    <w:rsid w:val="002E188F"/>
    <w:rsid w:val="002E19C1"/>
    <w:rsid w:val="002E1B0A"/>
    <w:rsid w:val="002E1B97"/>
    <w:rsid w:val="002E1C3F"/>
    <w:rsid w:val="002E1F88"/>
    <w:rsid w:val="002E23D9"/>
    <w:rsid w:val="002E259B"/>
    <w:rsid w:val="002E263E"/>
    <w:rsid w:val="002E29C3"/>
    <w:rsid w:val="002E2E29"/>
    <w:rsid w:val="002E32EB"/>
    <w:rsid w:val="002E3785"/>
    <w:rsid w:val="002E3C5E"/>
    <w:rsid w:val="002E4076"/>
    <w:rsid w:val="002E450B"/>
    <w:rsid w:val="002E4591"/>
    <w:rsid w:val="002E45FC"/>
    <w:rsid w:val="002E4964"/>
    <w:rsid w:val="002E4AB9"/>
    <w:rsid w:val="002E4B6F"/>
    <w:rsid w:val="002E4C0A"/>
    <w:rsid w:val="002E4DCE"/>
    <w:rsid w:val="002E4F0B"/>
    <w:rsid w:val="002E5148"/>
    <w:rsid w:val="002E5324"/>
    <w:rsid w:val="002E53AA"/>
    <w:rsid w:val="002E5680"/>
    <w:rsid w:val="002E5EB2"/>
    <w:rsid w:val="002E64AD"/>
    <w:rsid w:val="002E656D"/>
    <w:rsid w:val="002E6734"/>
    <w:rsid w:val="002E68BD"/>
    <w:rsid w:val="002E6CDD"/>
    <w:rsid w:val="002E6E98"/>
    <w:rsid w:val="002E7741"/>
    <w:rsid w:val="002E7795"/>
    <w:rsid w:val="002E7960"/>
    <w:rsid w:val="002E79EF"/>
    <w:rsid w:val="002E7F1F"/>
    <w:rsid w:val="002E7F57"/>
    <w:rsid w:val="002F01FE"/>
    <w:rsid w:val="002F0337"/>
    <w:rsid w:val="002F06F1"/>
    <w:rsid w:val="002F0973"/>
    <w:rsid w:val="002F0BA9"/>
    <w:rsid w:val="002F1243"/>
    <w:rsid w:val="002F18D5"/>
    <w:rsid w:val="002F1B4C"/>
    <w:rsid w:val="002F1C34"/>
    <w:rsid w:val="002F28F2"/>
    <w:rsid w:val="002F29F2"/>
    <w:rsid w:val="002F2CAB"/>
    <w:rsid w:val="002F2EB8"/>
    <w:rsid w:val="002F3226"/>
    <w:rsid w:val="002F3382"/>
    <w:rsid w:val="002F33B3"/>
    <w:rsid w:val="002F3410"/>
    <w:rsid w:val="002F350B"/>
    <w:rsid w:val="002F37C1"/>
    <w:rsid w:val="002F3F69"/>
    <w:rsid w:val="002F3FDF"/>
    <w:rsid w:val="002F4070"/>
    <w:rsid w:val="002F40B7"/>
    <w:rsid w:val="002F43AD"/>
    <w:rsid w:val="002F48D1"/>
    <w:rsid w:val="002F4B94"/>
    <w:rsid w:val="002F4F24"/>
    <w:rsid w:val="002F50A1"/>
    <w:rsid w:val="002F5169"/>
    <w:rsid w:val="002F516C"/>
    <w:rsid w:val="002F5A0F"/>
    <w:rsid w:val="002F5A97"/>
    <w:rsid w:val="002F5BC0"/>
    <w:rsid w:val="002F5E55"/>
    <w:rsid w:val="002F5F0E"/>
    <w:rsid w:val="002F602B"/>
    <w:rsid w:val="002F6496"/>
    <w:rsid w:val="002F69B1"/>
    <w:rsid w:val="002F7013"/>
    <w:rsid w:val="002F7029"/>
    <w:rsid w:val="002F7042"/>
    <w:rsid w:val="002F7260"/>
    <w:rsid w:val="002F728E"/>
    <w:rsid w:val="002F7A75"/>
    <w:rsid w:val="002F7F8B"/>
    <w:rsid w:val="002F7FA9"/>
    <w:rsid w:val="00300188"/>
    <w:rsid w:val="003003B2"/>
    <w:rsid w:val="00300461"/>
    <w:rsid w:val="003007EE"/>
    <w:rsid w:val="00300A47"/>
    <w:rsid w:val="003011FC"/>
    <w:rsid w:val="00301210"/>
    <w:rsid w:val="003014E9"/>
    <w:rsid w:val="00301768"/>
    <w:rsid w:val="00301B8E"/>
    <w:rsid w:val="0030233F"/>
    <w:rsid w:val="0030238D"/>
    <w:rsid w:val="0030251E"/>
    <w:rsid w:val="003025B2"/>
    <w:rsid w:val="0030295E"/>
    <w:rsid w:val="00302F54"/>
    <w:rsid w:val="00303095"/>
    <w:rsid w:val="003031FB"/>
    <w:rsid w:val="00303514"/>
    <w:rsid w:val="00303970"/>
    <w:rsid w:val="00303AA4"/>
    <w:rsid w:val="003047E8"/>
    <w:rsid w:val="00304D93"/>
    <w:rsid w:val="00304ECB"/>
    <w:rsid w:val="0030582C"/>
    <w:rsid w:val="00305CAA"/>
    <w:rsid w:val="00305D6D"/>
    <w:rsid w:val="003060B7"/>
    <w:rsid w:val="003060D4"/>
    <w:rsid w:val="003064FC"/>
    <w:rsid w:val="00306501"/>
    <w:rsid w:val="00306B4B"/>
    <w:rsid w:val="00306C0C"/>
    <w:rsid w:val="00306D24"/>
    <w:rsid w:val="00306E86"/>
    <w:rsid w:val="003073C3"/>
    <w:rsid w:val="0030765E"/>
    <w:rsid w:val="00307845"/>
    <w:rsid w:val="0030799E"/>
    <w:rsid w:val="00310098"/>
    <w:rsid w:val="003100B2"/>
    <w:rsid w:val="00310133"/>
    <w:rsid w:val="0031042A"/>
    <w:rsid w:val="003104B6"/>
    <w:rsid w:val="003106F7"/>
    <w:rsid w:val="003109D4"/>
    <w:rsid w:val="00310A30"/>
    <w:rsid w:val="003110E3"/>
    <w:rsid w:val="003110ED"/>
    <w:rsid w:val="00311439"/>
    <w:rsid w:val="00311579"/>
    <w:rsid w:val="003115D8"/>
    <w:rsid w:val="00311710"/>
    <w:rsid w:val="00311814"/>
    <w:rsid w:val="00311D2E"/>
    <w:rsid w:val="00312056"/>
    <w:rsid w:val="0031214F"/>
    <w:rsid w:val="00312638"/>
    <w:rsid w:val="0031263F"/>
    <w:rsid w:val="00312870"/>
    <w:rsid w:val="00312A7C"/>
    <w:rsid w:val="00313249"/>
    <w:rsid w:val="00313AB2"/>
    <w:rsid w:val="00314126"/>
    <w:rsid w:val="00314353"/>
    <w:rsid w:val="00314427"/>
    <w:rsid w:val="003144F0"/>
    <w:rsid w:val="00314771"/>
    <w:rsid w:val="003147B1"/>
    <w:rsid w:val="003147DF"/>
    <w:rsid w:val="00314B3B"/>
    <w:rsid w:val="00314CFA"/>
    <w:rsid w:val="0031503D"/>
    <w:rsid w:val="00315340"/>
    <w:rsid w:val="003153FF"/>
    <w:rsid w:val="00315575"/>
    <w:rsid w:val="003155B3"/>
    <w:rsid w:val="0031569D"/>
    <w:rsid w:val="00315B91"/>
    <w:rsid w:val="00315F95"/>
    <w:rsid w:val="0031678C"/>
    <w:rsid w:val="00316CDF"/>
    <w:rsid w:val="003173F6"/>
    <w:rsid w:val="00317B3D"/>
    <w:rsid w:val="00317DC2"/>
    <w:rsid w:val="00320546"/>
    <w:rsid w:val="0032054D"/>
    <w:rsid w:val="00320967"/>
    <w:rsid w:val="00320A33"/>
    <w:rsid w:val="00320C05"/>
    <w:rsid w:val="00320C5B"/>
    <w:rsid w:val="00321017"/>
    <w:rsid w:val="00321275"/>
    <w:rsid w:val="00321877"/>
    <w:rsid w:val="00322346"/>
    <w:rsid w:val="00322596"/>
    <w:rsid w:val="00322822"/>
    <w:rsid w:val="00322AC6"/>
    <w:rsid w:val="00322B4C"/>
    <w:rsid w:val="00322E15"/>
    <w:rsid w:val="00322ECB"/>
    <w:rsid w:val="00322FBF"/>
    <w:rsid w:val="00323078"/>
    <w:rsid w:val="0032312F"/>
    <w:rsid w:val="003232A3"/>
    <w:rsid w:val="003233E8"/>
    <w:rsid w:val="00323457"/>
    <w:rsid w:val="0032369C"/>
    <w:rsid w:val="00323A82"/>
    <w:rsid w:val="00323B59"/>
    <w:rsid w:val="00323B5D"/>
    <w:rsid w:val="00323DCC"/>
    <w:rsid w:val="00323FDF"/>
    <w:rsid w:val="0032433F"/>
    <w:rsid w:val="003247EC"/>
    <w:rsid w:val="0032480F"/>
    <w:rsid w:val="00324AB4"/>
    <w:rsid w:val="00325013"/>
    <w:rsid w:val="00325363"/>
    <w:rsid w:val="0032565C"/>
    <w:rsid w:val="00325EBA"/>
    <w:rsid w:val="00326286"/>
    <w:rsid w:val="00326303"/>
    <w:rsid w:val="00326415"/>
    <w:rsid w:val="00326552"/>
    <w:rsid w:val="00326799"/>
    <w:rsid w:val="0032683A"/>
    <w:rsid w:val="00326A54"/>
    <w:rsid w:val="00326F5F"/>
    <w:rsid w:val="00327480"/>
    <w:rsid w:val="0032756B"/>
    <w:rsid w:val="0032756F"/>
    <w:rsid w:val="00327983"/>
    <w:rsid w:val="003304E8"/>
    <w:rsid w:val="00330869"/>
    <w:rsid w:val="0033119D"/>
    <w:rsid w:val="0033165A"/>
    <w:rsid w:val="00331AF4"/>
    <w:rsid w:val="00331BFD"/>
    <w:rsid w:val="00331EAE"/>
    <w:rsid w:val="00331F4F"/>
    <w:rsid w:val="003324E4"/>
    <w:rsid w:val="00332CFF"/>
    <w:rsid w:val="0033320A"/>
    <w:rsid w:val="0033360D"/>
    <w:rsid w:val="00333646"/>
    <w:rsid w:val="003339C3"/>
    <w:rsid w:val="00333ABD"/>
    <w:rsid w:val="00333B13"/>
    <w:rsid w:val="0033483D"/>
    <w:rsid w:val="00334A14"/>
    <w:rsid w:val="00335255"/>
    <w:rsid w:val="003352E7"/>
    <w:rsid w:val="00335C08"/>
    <w:rsid w:val="0033667A"/>
    <w:rsid w:val="00336A2D"/>
    <w:rsid w:val="00336B92"/>
    <w:rsid w:val="00336EEE"/>
    <w:rsid w:val="003371FF"/>
    <w:rsid w:val="00337752"/>
    <w:rsid w:val="00337A55"/>
    <w:rsid w:val="00340044"/>
    <w:rsid w:val="00340334"/>
    <w:rsid w:val="00340374"/>
    <w:rsid w:val="0034048E"/>
    <w:rsid w:val="0034049B"/>
    <w:rsid w:val="003404F7"/>
    <w:rsid w:val="00340682"/>
    <w:rsid w:val="0034075E"/>
    <w:rsid w:val="00340B8D"/>
    <w:rsid w:val="00340BB5"/>
    <w:rsid w:val="00340EDA"/>
    <w:rsid w:val="00341089"/>
    <w:rsid w:val="003413BB"/>
    <w:rsid w:val="003415EC"/>
    <w:rsid w:val="00341824"/>
    <w:rsid w:val="0034196E"/>
    <w:rsid w:val="00341CFF"/>
    <w:rsid w:val="00341F22"/>
    <w:rsid w:val="003425A0"/>
    <w:rsid w:val="003425A9"/>
    <w:rsid w:val="003426EE"/>
    <w:rsid w:val="00342720"/>
    <w:rsid w:val="003427A8"/>
    <w:rsid w:val="00342EF7"/>
    <w:rsid w:val="00343422"/>
    <w:rsid w:val="00343843"/>
    <w:rsid w:val="00343A06"/>
    <w:rsid w:val="00344269"/>
    <w:rsid w:val="0034461A"/>
    <w:rsid w:val="00344CAC"/>
    <w:rsid w:val="00345576"/>
    <w:rsid w:val="00345733"/>
    <w:rsid w:val="00345798"/>
    <w:rsid w:val="00345836"/>
    <w:rsid w:val="00345E4C"/>
    <w:rsid w:val="00345EF3"/>
    <w:rsid w:val="00345F93"/>
    <w:rsid w:val="003463F6"/>
    <w:rsid w:val="00346D5E"/>
    <w:rsid w:val="00346E5F"/>
    <w:rsid w:val="00347021"/>
    <w:rsid w:val="00347955"/>
    <w:rsid w:val="00347C06"/>
    <w:rsid w:val="00350103"/>
    <w:rsid w:val="0035027F"/>
    <w:rsid w:val="003505D7"/>
    <w:rsid w:val="00350867"/>
    <w:rsid w:val="00350CFF"/>
    <w:rsid w:val="00351081"/>
    <w:rsid w:val="00351489"/>
    <w:rsid w:val="00351620"/>
    <w:rsid w:val="0035190F"/>
    <w:rsid w:val="003519BB"/>
    <w:rsid w:val="003519CD"/>
    <w:rsid w:val="00351F8D"/>
    <w:rsid w:val="00352331"/>
    <w:rsid w:val="00352593"/>
    <w:rsid w:val="0035261D"/>
    <w:rsid w:val="003526F8"/>
    <w:rsid w:val="0035278B"/>
    <w:rsid w:val="0035280E"/>
    <w:rsid w:val="00352AEA"/>
    <w:rsid w:val="00352B8A"/>
    <w:rsid w:val="003533C6"/>
    <w:rsid w:val="00353DFA"/>
    <w:rsid w:val="003540EE"/>
    <w:rsid w:val="0035455E"/>
    <w:rsid w:val="00354997"/>
    <w:rsid w:val="00354E5D"/>
    <w:rsid w:val="0035507E"/>
    <w:rsid w:val="00355149"/>
    <w:rsid w:val="00355387"/>
    <w:rsid w:val="00355433"/>
    <w:rsid w:val="00355453"/>
    <w:rsid w:val="00355640"/>
    <w:rsid w:val="0035569E"/>
    <w:rsid w:val="003556BD"/>
    <w:rsid w:val="00355E67"/>
    <w:rsid w:val="00355F89"/>
    <w:rsid w:val="00355FDF"/>
    <w:rsid w:val="003561EC"/>
    <w:rsid w:val="0035659F"/>
    <w:rsid w:val="00356872"/>
    <w:rsid w:val="00356882"/>
    <w:rsid w:val="00356922"/>
    <w:rsid w:val="00356EF3"/>
    <w:rsid w:val="0035758E"/>
    <w:rsid w:val="0035775B"/>
    <w:rsid w:val="00357B98"/>
    <w:rsid w:val="00357E12"/>
    <w:rsid w:val="003606D1"/>
    <w:rsid w:val="003607F7"/>
    <w:rsid w:val="00360A14"/>
    <w:rsid w:val="00361239"/>
    <w:rsid w:val="003615A3"/>
    <w:rsid w:val="00361CCD"/>
    <w:rsid w:val="0036238C"/>
    <w:rsid w:val="00362778"/>
    <w:rsid w:val="003627C9"/>
    <w:rsid w:val="00362C75"/>
    <w:rsid w:val="00363099"/>
    <w:rsid w:val="00363B7D"/>
    <w:rsid w:val="00363D78"/>
    <w:rsid w:val="00363DB9"/>
    <w:rsid w:val="003649CF"/>
    <w:rsid w:val="00364D6C"/>
    <w:rsid w:val="00364F20"/>
    <w:rsid w:val="003651FA"/>
    <w:rsid w:val="00365B17"/>
    <w:rsid w:val="00365BD1"/>
    <w:rsid w:val="003661BC"/>
    <w:rsid w:val="003661FF"/>
    <w:rsid w:val="0036646E"/>
    <w:rsid w:val="003667FF"/>
    <w:rsid w:val="00367178"/>
    <w:rsid w:val="0036774C"/>
    <w:rsid w:val="00367A2D"/>
    <w:rsid w:val="00367CAD"/>
    <w:rsid w:val="00367D78"/>
    <w:rsid w:val="00370449"/>
    <w:rsid w:val="003704C0"/>
    <w:rsid w:val="0037050D"/>
    <w:rsid w:val="003707B6"/>
    <w:rsid w:val="00370FF9"/>
    <w:rsid w:val="0037108B"/>
    <w:rsid w:val="00371191"/>
    <w:rsid w:val="003713F3"/>
    <w:rsid w:val="003715C5"/>
    <w:rsid w:val="00371611"/>
    <w:rsid w:val="00371824"/>
    <w:rsid w:val="003719C2"/>
    <w:rsid w:val="00371B1B"/>
    <w:rsid w:val="00371DF7"/>
    <w:rsid w:val="003723C2"/>
    <w:rsid w:val="00372638"/>
    <w:rsid w:val="00372B87"/>
    <w:rsid w:val="00372FA0"/>
    <w:rsid w:val="00373171"/>
    <w:rsid w:val="00373B51"/>
    <w:rsid w:val="0037431B"/>
    <w:rsid w:val="00374333"/>
    <w:rsid w:val="003746D2"/>
    <w:rsid w:val="00374F55"/>
    <w:rsid w:val="00375380"/>
    <w:rsid w:val="0037553D"/>
    <w:rsid w:val="00375E80"/>
    <w:rsid w:val="003762AF"/>
    <w:rsid w:val="003763FD"/>
    <w:rsid w:val="00376E86"/>
    <w:rsid w:val="003778EB"/>
    <w:rsid w:val="00377D45"/>
    <w:rsid w:val="00377E36"/>
    <w:rsid w:val="00377E4F"/>
    <w:rsid w:val="003802A5"/>
    <w:rsid w:val="0038066F"/>
    <w:rsid w:val="0038096A"/>
    <w:rsid w:val="00380C17"/>
    <w:rsid w:val="00380CBD"/>
    <w:rsid w:val="00380CF2"/>
    <w:rsid w:val="00380D59"/>
    <w:rsid w:val="003815FE"/>
    <w:rsid w:val="0038202D"/>
    <w:rsid w:val="003823F2"/>
    <w:rsid w:val="00382564"/>
    <w:rsid w:val="00382828"/>
    <w:rsid w:val="00382AF7"/>
    <w:rsid w:val="00382FF9"/>
    <w:rsid w:val="00383135"/>
    <w:rsid w:val="003833E7"/>
    <w:rsid w:val="003834BC"/>
    <w:rsid w:val="003835A8"/>
    <w:rsid w:val="00383A60"/>
    <w:rsid w:val="00384491"/>
    <w:rsid w:val="003845FF"/>
    <w:rsid w:val="00384CAC"/>
    <w:rsid w:val="00384F2D"/>
    <w:rsid w:val="00384F94"/>
    <w:rsid w:val="003856BF"/>
    <w:rsid w:val="00385B35"/>
    <w:rsid w:val="00385D07"/>
    <w:rsid w:val="00386027"/>
    <w:rsid w:val="0038636F"/>
    <w:rsid w:val="00386587"/>
    <w:rsid w:val="003865E3"/>
    <w:rsid w:val="00386624"/>
    <w:rsid w:val="003868E3"/>
    <w:rsid w:val="003871C4"/>
    <w:rsid w:val="00387287"/>
    <w:rsid w:val="00387347"/>
    <w:rsid w:val="00387607"/>
    <w:rsid w:val="00387907"/>
    <w:rsid w:val="00387A9F"/>
    <w:rsid w:val="00387C54"/>
    <w:rsid w:val="00387DF0"/>
    <w:rsid w:val="003903FC"/>
    <w:rsid w:val="00390869"/>
    <w:rsid w:val="003909CC"/>
    <w:rsid w:val="0039114E"/>
    <w:rsid w:val="003912A5"/>
    <w:rsid w:val="003918F6"/>
    <w:rsid w:val="00391A93"/>
    <w:rsid w:val="00391D81"/>
    <w:rsid w:val="00391EC7"/>
    <w:rsid w:val="003926AA"/>
    <w:rsid w:val="0039276B"/>
    <w:rsid w:val="003927EB"/>
    <w:rsid w:val="00392905"/>
    <w:rsid w:val="00392C38"/>
    <w:rsid w:val="00392E49"/>
    <w:rsid w:val="00392FB6"/>
    <w:rsid w:val="003934A1"/>
    <w:rsid w:val="00393751"/>
    <w:rsid w:val="00393873"/>
    <w:rsid w:val="00393B0A"/>
    <w:rsid w:val="00393E8A"/>
    <w:rsid w:val="00393F28"/>
    <w:rsid w:val="003941B5"/>
    <w:rsid w:val="0039424D"/>
    <w:rsid w:val="00394D29"/>
    <w:rsid w:val="00394F8A"/>
    <w:rsid w:val="00395016"/>
    <w:rsid w:val="003950DC"/>
    <w:rsid w:val="003950E7"/>
    <w:rsid w:val="0039535E"/>
    <w:rsid w:val="00395B27"/>
    <w:rsid w:val="00395DA9"/>
    <w:rsid w:val="00395E54"/>
    <w:rsid w:val="00396076"/>
    <w:rsid w:val="00396291"/>
    <w:rsid w:val="003964D9"/>
    <w:rsid w:val="0039650A"/>
    <w:rsid w:val="0039657C"/>
    <w:rsid w:val="003966DC"/>
    <w:rsid w:val="003966E0"/>
    <w:rsid w:val="0039679F"/>
    <w:rsid w:val="00396CEA"/>
    <w:rsid w:val="00396D7E"/>
    <w:rsid w:val="00396F6F"/>
    <w:rsid w:val="0039720A"/>
    <w:rsid w:val="00397329"/>
    <w:rsid w:val="0039759C"/>
    <w:rsid w:val="003A02B4"/>
    <w:rsid w:val="003A0A11"/>
    <w:rsid w:val="003A0C70"/>
    <w:rsid w:val="003A0CA7"/>
    <w:rsid w:val="003A0D46"/>
    <w:rsid w:val="003A0E13"/>
    <w:rsid w:val="003A0E97"/>
    <w:rsid w:val="003A0FCE"/>
    <w:rsid w:val="003A199E"/>
    <w:rsid w:val="003A1B88"/>
    <w:rsid w:val="003A1F6B"/>
    <w:rsid w:val="003A219C"/>
    <w:rsid w:val="003A28CD"/>
    <w:rsid w:val="003A2B51"/>
    <w:rsid w:val="003A2DF6"/>
    <w:rsid w:val="003A3023"/>
    <w:rsid w:val="003A32F8"/>
    <w:rsid w:val="003A3382"/>
    <w:rsid w:val="003A34CD"/>
    <w:rsid w:val="003A356C"/>
    <w:rsid w:val="003A39EA"/>
    <w:rsid w:val="003A3A7A"/>
    <w:rsid w:val="003A3CAD"/>
    <w:rsid w:val="003A3DC8"/>
    <w:rsid w:val="003A3EA2"/>
    <w:rsid w:val="003A4A28"/>
    <w:rsid w:val="003A55AD"/>
    <w:rsid w:val="003A5681"/>
    <w:rsid w:val="003A6401"/>
    <w:rsid w:val="003A64EA"/>
    <w:rsid w:val="003A6533"/>
    <w:rsid w:val="003A715F"/>
    <w:rsid w:val="003A73B3"/>
    <w:rsid w:val="003A765B"/>
    <w:rsid w:val="003A77A8"/>
    <w:rsid w:val="003A7A18"/>
    <w:rsid w:val="003A7B2F"/>
    <w:rsid w:val="003A7CE7"/>
    <w:rsid w:val="003A7D1B"/>
    <w:rsid w:val="003A7F1B"/>
    <w:rsid w:val="003B03A6"/>
    <w:rsid w:val="003B04A3"/>
    <w:rsid w:val="003B054C"/>
    <w:rsid w:val="003B0851"/>
    <w:rsid w:val="003B0CE9"/>
    <w:rsid w:val="003B0D18"/>
    <w:rsid w:val="003B0EBF"/>
    <w:rsid w:val="003B1220"/>
    <w:rsid w:val="003B12B5"/>
    <w:rsid w:val="003B1365"/>
    <w:rsid w:val="003B13BA"/>
    <w:rsid w:val="003B18D7"/>
    <w:rsid w:val="003B1FED"/>
    <w:rsid w:val="003B2070"/>
    <w:rsid w:val="003B2348"/>
    <w:rsid w:val="003B24BB"/>
    <w:rsid w:val="003B260A"/>
    <w:rsid w:val="003B27B2"/>
    <w:rsid w:val="003B3247"/>
    <w:rsid w:val="003B3748"/>
    <w:rsid w:val="003B3A4C"/>
    <w:rsid w:val="003B40F0"/>
    <w:rsid w:val="003B466B"/>
    <w:rsid w:val="003B4717"/>
    <w:rsid w:val="003B4E52"/>
    <w:rsid w:val="003B4EEE"/>
    <w:rsid w:val="003B5427"/>
    <w:rsid w:val="003B5D99"/>
    <w:rsid w:val="003B5E1B"/>
    <w:rsid w:val="003B5E74"/>
    <w:rsid w:val="003B6315"/>
    <w:rsid w:val="003B7157"/>
    <w:rsid w:val="003B7358"/>
    <w:rsid w:val="003B7550"/>
    <w:rsid w:val="003B7561"/>
    <w:rsid w:val="003B75FF"/>
    <w:rsid w:val="003B7C18"/>
    <w:rsid w:val="003B7E51"/>
    <w:rsid w:val="003C01A2"/>
    <w:rsid w:val="003C0207"/>
    <w:rsid w:val="003C03DA"/>
    <w:rsid w:val="003C042B"/>
    <w:rsid w:val="003C06DF"/>
    <w:rsid w:val="003C10C5"/>
    <w:rsid w:val="003C1123"/>
    <w:rsid w:val="003C1260"/>
    <w:rsid w:val="003C12E6"/>
    <w:rsid w:val="003C13FA"/>
    <w:rsid w:val="003C1542"/>
    <w:rsid w:val="003C1A10"/>
    <w:rsid w:val="003C1A67"/>
    <w:rsid w:val="003C1EA0"/>
    <w:rsid w:val="003C208A"/>
    <w:rsid w:val="003C2161"/>
    <w:rsid w:val="003C22EB"/>
    <w:rsid w:val="003C2616"/>
    <w:rsid w:val="003C2909"/>
    <w:rsid w:val="003C2A29"/>
    <w:rsid w:val="003C2D26"/>
    <w:rsid w:val="003C30A9"/>
    <w:rsid w:val="003C3242"/>
    <w:rsid w:val="003C32A6"/>
    <w:rsid w:val="003C363F"/>
    <w:rsid w:val="003C36DD"/>
    <w:rsid w:val="003C380F"/>
    <w:rsid w:val="003C3D71"/>
    <w:rsid w:val="003C3E17"/>
    <w:rsid w:val="003C3E85"/>
    <w:rsid w:val="003C42C3"/>
    <w:rsid w:val="003C464F"/>
    <w:rsid w:val="003C4F49"/>
    <w:rsid w:val="003C5033"/>
    <w:rsid w:val="003C5B3E"/>
    <w:rsid w:val="003C622E"/>
    <w:rsid w:val="003C66C3"/>
    <w:rsid w:val="003C673A"/>
    <w:rsid w:val="003C6D6F"/>
    <w:rsid w:val="003C7098"/>
    <w:rsid w:val="003C7AFD"/>
    <w:rsid w:val="003C7B92"/>
    <w:rsid w:val="003D0026"/>
    <w:rsid w:val="003D00D6"/>
    <w:rsid w:val="003D0116"/>
    <w:rsid w:val="003D052F"/>
    <w:rsid w:val="003D1101"/>
    <w:rsid w:val="003D12E0"/>
    <w:rsid w:val="003D1570"/>
    <w:rsid w:val="003D15F4"/>
    <w:rsid w:val="003D1876"/>
    <w:rsid w:val="003D1A11"/>
    <w:rsid w:val="003D1E8B"/>
    <w:rsid w:val="003D21A4"/>
    <w:rsid w:val="003D22B1"/>
    <w:rsid w:val="003D231A"/>
    <w:rsid w:val="003D2801"/>
    <w:rsid w:val="003D285E"/>
    <w:rsid w:val="003D28F4"/>
    <w:rsid w:val="003D298C"/>
    <w:rsid w:val="003D2BBF"/>
    <w:rsid w:val="003D2E07"/>
    <w:rsid w:val="003D3195"/>
    <w:rsid w:val="003D3A53"/>
    <w:rsid w:val="003D3B43"/>
    <w:rsid w:val="003D3C9D"/>
    <w:rsid w:val="003D3F6D"/>
    <w:rsid w:val="003D41AD"/>
    <w:rsid w:val="003D42A1"/>
    <w:rsid w:val="003D42F3"/>
    <w:rsid w:val="003D4525"/>
    <w:rsid w:val="003D47A7"/>
    <w:rsid w:val="003D4A46"/>
    <w:rsid w:val="003D4AAC"/>
    <w:rsid w:val="003D4F36"/>
    <w:rsid w:val="003D52A7"/>
    <w:rsid w:val="003D57BA"/>
    <w:rsid w:val="003D5967"/>
    <w:rsid w:val="003D5994"/>
    <w:rsid w:val="003D604E"/>
    <w:rsid w:val="003D606D"/>
    <w:rsid w:val="003D614D"/>
    <w:rsid w:val="003D674B"/>
    <w:rsid w:val="003D6948"/>
    <w:rsid w:val="003D69F9"/>
    <w:rsid w:val="003D6DDD"/>
    <w:rsid w:val="003D7914"/>
    <w:rsid w:val="003D7BD9"/>
    <w:rsid w:val="003E014D"/>
    <w:rsid w:val="003E0275"/>
    <w:rsid w:val="003E0629"/>
    <w:rsid w:val="003E06EF"/>
    <w:rsid w:val="003E0831"/>
    <w:rsid w:val="003E093C"/>
    <w:rsid w:val="003E0CA5"/>
    <w:rsid w:val="003E0CF8"/>
    <w:rsid w:val="003E0F93"/>
    <w:rsid w:val="003E11B6"/>
    <w:rsid w:val="003E132D"/>
    <w:rsid w:val="003E147A"/>
    <w:rsid w:val="003E1488"/>
    <w:rsid w:val="003E15B9"/>
    <w:rsid w:val="003E193C"/>
    <w:rsid w:val="003E196C"/>
    <w:rsid w:val="003E19AB"/>
    <w:rsid w:val="003E1A97"/>
    <w:rsid w:val="003E1CB0"/>
    <w:rsid w:val="003E230F"/>
    <w:rsid w:val="003E23CB"/>
    <w:rsid w:val="003E256B"/>
    <w:rsid w:val="003E26EC"/>
    <w:rsid w:val="003E2832"/>
    <w:rsid w:val="003E2C9E"/>
    <w:rsid w:val="003E2DA8"/>
    <w:rsid w:val="003E2F7E"/>
    <w:rsid w:val="003E2FE3"/>
    <w:rsid w:val="003E3290"/>
    <w:rsid w:val="003E3338"/>
    <w:rsid w:val="003E339E"/>
    <w:rsid w:val="003E33A5"/>
    <w:rsid w:val="003E34FE"/>
    <w:rsid w:val="003E35DA"/>
    <w:rsid w:val="003E3DF8"/>
    <w:rsid w:val="003E40B2"/>
    <w:rsid w:val="003E456E"/>
    <w:rsid w:val="003E4694"/>
    <w:rsid w:val="003E4B0D"/>
    <w:rsid w:val="003E4BAA"/>
    <w:rsid w:val="003E4EAE"/>
    <w:rsid w:val="003E566A"/>
    <w:rsid w:val="003E5B40"/>
    <w:rsid w:val="003E60DF"/>
    <w:rsid w:val="003E6106"/>
    <w:rsid w:val="003E64B1"/>
    <w:rsid w:val="003E6883"/>
    <w:rsid w:val="003E6AC9"/>
    <w:rsid w:val="003E7618"/>
    <w:rsid w:val="003E7B0D"/>
    <w:rsid w:val="003E7FC2"/>
    <w:rsid w:val="003F0789"/>
    <w:rsid w:val="003F0E2F"/>
    <w:rsid w:val="003F11C3"/>
    <w:rsid w:val="003F1639"/>
    <w:rsid w:val="003F1674"/>
    <w:rsid w:val="003F168A"/>
    <w:rsid w:val="003F184C"/>
    <w:rsid w:val="003F1A2F"/>
    <w:rsid w:val="003F1A3D"/>
    <w:rsid w:val="003F1B97"/>
    <w:rsid w:val="003F1EC2"/>
    <w:rsid w:val="003F1F7F"/>
    <w:rsid w:val="003F2033"/>
    <w:rsid w:val="003F2123"/>
    <w:rsid w:val="003F2966"/>
    <w:rsid w:val="003F2AA9"/>
    <w:rsid w:val="003F2AF2"/>
    <w:rsid w:val="003F2CE1"/>
    <w:rsid w:val="003F2FF3"/>
    <w:rsid w:val="003F332F"/>
    <w:rsid w:val="003F3378"/>
    <w:rsid w:val="003F33AA"/>
    <w:rsid w:val="003F33C1"/>
    <w:rsid w:val="003F3924"/>
    <w:rsid w:val="003F3BE1"/>
    <w:rsid w:val="003F416D"/>
    <w:rsid w:val="003F483C"/>
    <w:rsid w:val="003F4C1A"/>
    <w:rsid w:val="003F4FF5"/>
    <w:rsid w:val="003F5345"/>
    <w:rsid w:val="003F5A1F"/>
    <w:rsid w:val="003F5A36"/>
    <w:rsid w:val="003F5B75"/>
    <w:rsid w:val="003F5C33"/>
    <w:rsid w:val="003F6049"/>
    <w:rsid w:val="003F686D"/>
    <w:rsid w:val="003F6CD4"/>
    <w:rsid w:val="003F7266"/>
    <w:rsid w:val="003F77EA"/>
    <w:rsid w:val="003F7A6F"/>
    <w:rsid w:val="00400203"/>
    <w:rsid w:val="004003A1"/>
    <w:rsid w:val="004003D9"/>
    <w:rsid w:val="004008F5"/>
    <w:rsid w:val="00401669"/>
    <w:rsid w:val="004016B5"/>
    <w:rsid w:val="00401B36"/>
    <w:rsid w:val="00401E33"/>
    <w:rsid w:val="00402C5B"/>
    <w:rsid w:val="00402CDC"/>
    <w:rsid w:val="00402D20"/>
    <w:rsid w:val="00402E2D"/>
    <w:rsid w:val="00402E75"/>
    <w:rsid w:val="00402F63"/>
    <w:rsid w:val="0040307D"/>
    <w:rsid w:val="0040320F"/>
    <w:rsid w:val="0040375A"/>
    <w:rsid w:val="00403789"/>
    <w:rsid w:val="0040397F"/>
    <w:rsid w:val="00404236"/>
    <w:rsid w:val="00404E89"/>
    <w:rsid w:val="0040536F"/>
    <w:rsid w:val="0040547D"/>
    <w:rsid w:val="00405580"/>
    <w:rsid w:val="004055B2"/>
    <w:rsid w:val="00405771"/>
    <w:rsid w:val="00405964"/>
    <w:rsid w:val="00405973"/>
    <w:rsid w:val="00405AFC"/>
    <w:rsid w:val="00405CD5"/>
    <w:rsid w:val="00406081"/>
    <w:rsid w:val="00406291"/>
    <w:rsid w:val="00406304"/>
    <w:rsid w:val="00406CBA"/>
    <w:rsid w:val="004073FA"/>
    <w:rsid w:val="004077D8"/>
    <w:rsid w:val="004078CF"/>
    <w:rsid w:val="00407BD6"/>
    <w:rsid w:val="004101B7"/>
    <w:rsid w:val="004102C5"/>
    <w:rsid w:val="00410419"/>
    <w:rsid w:val="00410669"/>
    <w:rsid w:val="0041091F"/>
    <w:rsid w:val="00410C05"/>
    <w:rsid w:val="00410D25"/>
    <w:rsid w:val="004113DD"/>
    <w:rsid w:val="004116DD"/>
    <w:rsid w:val="0041183E"/>
    <w:rsid w:val="00411852"/>
    <w:rsid w:val="00411925"/>
    <w:rsid w:val="00411991"/>
    <w:rsid w:val="00411AF4"/>
    <w:rsid w:val="00411CCD"/>
    <w:rsid w:val="00411EFE"/>
    <w:rsid w:val="00411F66"/>
    <w:rsid w:val="0041235D"/>
    <w:rsid w:val="004123C6"/>
    <w:rsid w:val="00412526"/>
    <w:rsid w:val="00412BC7"/>
    <w:rsid w:val="00412E3E"/>
    <w:rsid w:val="00412E56"/>
    <w:rsid w:val="004134B3"/>
    <w:rsid w:val="004142D8"/>
    <w:rsid w:val="00414F99"/>
    <w:rsid w:val="00415C88"/>
    <w:rsid w:val="00415EE7"/>
    <w:rsid w:val="0041674D"/>
    <w:rsid w:val="00416E67"/>
    <w:rsid w:val="004172D5"/>
    <w:rsid w:val="004174A0"/>
    <w:rsid w:val="00417E76"/>
    <w:rsid w:val="0042044E"/>
    <w:rsid w:val="00420458"/>
    <w:rsid w:val="00420649"/>
    <w:rsid w:val="00420C4B"/>
    <w:rsid w:val="00420E71"/>
    <w:rsid w:val="004213FF"/>
    <w:rsid w:val="0042147F"/>
    <w:rsid w:val="0042177D"/>
    <w:rsid w:val="00421C4D"/>
    <w:rsid w:val="00421FF5"/>
    <w:rsid w:val="004220D3"/>
    <w:rsid w:val="0042242E"/>
    <w:rsid w:val="00422839"/>
    <w:rsid w:val="00422F0E"/>
    <w:rsid w:val="0042309C"/>
    <w:rsid w:val="004230AA"/>
    <w:rsid w:val="004232BB"/>
    <w:rsid w:val="004234C6"/>
    <w:rsid w:val="00423982"/>
    <w:rsid w:val="004239CB"/>
    <w:rsid w:val="00423BB3"/>
    <w:rsid w:val="004241FA"/>
    <w:rsid w:val="00424386"/>
    <w:rsid w:val="00425D15"/>
    <w:rsid w:val="004261AA"/>
    <w:rsid w:val="00426368"/>
    <w:rsid w:val="004265B7"/>
    <w:rsid w:val="004268C1"/>
    <w:rsid w:val="00426C12"/>
    <w:rsid w:val="00426D63"/>
    <w:rsid w:val="00426E0F"/>
    <w:rsid w:val="00426F19"/>
    <w:rsid w:val="004270B8"/>
    <w:rsid w:val="0042726A"/>
    <w:rsid w:val="00427567"/>
    <w:rsid w:val="00427568"/>
    <w:rsid w:val="00427625"/>
    <w:rsid w:val="00427879"/>
    <w:rsid w:val="0042794E"/>
    <w:rsid w:val="00427D8E"/>
    <w:rsid w:val="0043019C"/>
    <w:rsid w:val="00430522"/>
    <w:rsid w:val="0043061E"/>
    <w:rsid w:val="00430831"/>
    <w:rsid w:val="00430835"/>
    <w:rsid w:val="00430930"/>
    <w:rsid w:val="0043098C"/>
    <w:rsid w:val="00430D5C"/>
    <w:rsid w:val="00430D84"/>
    <w:rsid w:val="00430E8C"/>
    <w:rsid w:val="0043103B"/>
    <w:rsid w:val="0043132F"/>
    <w:rsid w:val="004313F4"/>
    <w:rsid w:val="004314B9"/>
    <w:rsid w:val="00431571"/>
    <w:rsid w:val="004317B3"/>
    <w:rsid w:val="004318FD"/>
    <w:rsid w:val="00431C08"/>
    <w:rsid w:val="00432164"/>
    <w:rsid w:val="00432404"/>
    <w:rsid w:val="004324A8"/>
    <w:rsid w:val="00432984"/>
    <w:rsid w:val="00432FD0"/>
    <w:rsid w:val="004330C2"/>
    <w:rsid w:val="0043327F"/>
    <w:rsid w:val="00433297"/>
    <w:rsid w:val="004332F9"/>
    <w:rsid w:val="004333EC"/>
    <w:rsid w:val="00433EB8"/>
    <w:rsid w:val="00433FA0"/>
    <w:rsid w:val="00434429"/>
    <w:rsid w:val="0043447D"/>
    <w:rsid w:val="00434DA2"/>
    <w:rsid w:val="0043524D"/>
    <w:rsid w:val="0043562B"/>
    <w:rsid w:val="004357A8"/>
    <w:rsid w:val="00435B8B"/>
    <w:rsid w:val="00435C63"/>
    <w:rsid w:val="00435EA6"/>
    <w:rsid w:val="004362C5"/>
    <w:rsid w:val="004368BA"/>
    <w:rsid w:val="004369F0"/>
    <w:rsid w:val="00436E3F"/>
    <w:rsid w:val="00436EF6"/>
    <w:rsid w:val="00437AC2"/>
    <w:rsid w:val="004401A7"/>
    <w:rsid w:val="0044022F"/>
    <w:rsid w:val="004405E5"/>
    <w:rsid w:val="00440C35"/>
    <w:rsid w:val="004414E5"/>
    <w:rsid w:val="004415AD"/>
    <w:rsid w:val="00441695"/>
    <w:rsid w:val="00441879"/>
    <w:rsid w:val="00441C35"/>
    <w:rsid w:val="00441D2B"/>
    <w:rsid w:val="00441D3B"/>
    <w:rsid w:val="004422ED"/>
    <w:rsid w:val="00442B4A"/>
    <w:rsid w:val="00442CBA"/>
    <w:rsid w:val="0044319F"/>
    <w:rsid w:val="00443435"/>
    <w:rsid w:val="004435F9"/>
    <w:rsid w:val="0044371C"/>
    <w:rsid w:val="004438E8"/>
    <w:rsid w:val="00443CC9"/>
    <w:rsid w:val="00443EF2"/>
    <w:rsid w:val="00444494"/>
    <w:rsid w:val="00444FC1"/>
    <w:rsid w:val="00445053"/>
    <w:rsid w:val="00445138"/>
    <w:rsid w:val="00445471"/>
    <w:rsid w:val="004459A3"/>
    <w:rsid w:val="00445EA5"/>
    <w:rsid w:val="004461BD"/>
    <w:rsid w:val="00446644"/>
    <w:rsid w:val="0044669A"/>
    <w:rsid w:val="00446EF3"/>
    <w:rsid w:val="00447037"/>
    <w:rsid w:val="0044703B"/>
    <w:rsid w:val="00447488"/>
    <w:rsid w:val="004478BB"/>
    <w:rsid w:val="00447BF1"/>
    <w:rsid w:val="00450397"/>
    <w:rsid w:val="00450D60"/>
    <w:rsid w:val="00450F28"/>
    <w:rsid w:val="00451456"/>
    <w:rsid w:val="00451CA2"/>
    <w:rsid w:val="00452144"/>
    <w:rsid w:val="00452232"/>
    <w:rsid w:val="00452246"/>
    <w:rsid w:val="004522D6"/>
    <w:rsid w:val="004522E5"/>
    <w:rsid w:val="004527E0"/>
    <w:rsid w:val="00452A16"/>
    <w:rsid w:val="00452CE4"/>
    <w:rsid w:val="00452D47"/>
    <w:rsid w:val="00452D5D"/>
    <w:rsid w:val="004532E0"/>
    <w:rsid w:val="00453312"/>
    <w:rsid w:val="004533AF"/>
    <w:rsid w:val="004534C3"/>
    <w:rsid w:val="00453EC9"/>
    <w:rsid w:val="004543F0"/>
    <w:rsid w:val="00454858"/>
    <w:rsid w:val="004548D3"/>
    <w:rsid w:val="00454954"/>
    <w:rsid w:val="00454ABC"/>
    <w:rsid w:val="00454B8F"/>
    <w:rsid w:val="00454FEC"/>
    <w:rsid w:val="00455006"/>
    <w:rsid w:val="0045513C"/>
    <w:rsid w:val="00455496"/>
    <w:rsid w:val="00455749"/>
    <w:rsid w:val="0045592A"/>
    <w:rsid w:val="0045617B"/>
    <w:rsid w:val="00456475"/>
    <w:rsid w:val="0045656E"/>
    <w:rsid w:val="00456A8A"/>
    <w:rsid w:val="00457120"/>
    <w:rsid w:val="004573F2"/>
    <w:rsid w:val="004574AF"/>
    <w:rsid w:val="004574E4"/>
    <w:rsid w:val="00457915"/>
    <w:rsid w:val="00457BC9"/>
    <w:rsid w:val="00457E62"/>
    <w:rsid w:val="004602C9"/>
    <w:rsid w:val="004603FA"/>
    <w:rsid w:val="00460455"/>
    <w:rsid w:val="004605CC"/>
    <w:rsid w:val="004605F7"/>
    <w:rsid w:val="004607EC"/>
    <w:rsid w:val="00460842"/>
    <w:rsid w:val="00460A15"/>
    <w:rsid w:val="00460CA4"/>
    <w:rsid w:val="00461765"/>
    <w:rsid w:val="00461970"/>
    <w:rsid w:val="00461C34"/>
    <w:rsid w:val="0046222F"/>
    <w:rsid w:val="004622A2"/>
    <w:rsid w:val="0046236E"/>
    <w:rsid w:val="0046281A"/>
    <w:rsid w:val="0046287C"/>
    <w:rsid w:val="004628E0"/>
    <w:rsid w:val="0046294C"/>
    <w:rsid w:val="00462992"/>
    <w:rsid w:val="004629DE"/>
    <w:rsid w:val="00462AF7"/>
    <w:rsid w:val="00463056"/>
    <w:rsid w:val="0046337C"/>
    <w:rsid w:val="00463423"/>
    <w:rsid w:val="0046366D"/>
    <w:rsid w:val="004636CF"/>
    <w:rsid w:val="004638CE"/>
    <w:rsid w:val="004638FE"/>
    <w:rsid w:val="00463B3C"/>
    <w:rsid w:val="004642C7"/>
    <w:rsid w:val="0046441A"/>
    <w:rsid w:val="00464A22"/>
    <w:rsid w:val="00464CCA"/>
    <w:rsid w:val="00464D97"/>
    <w:rsid w:val="00465BB7"/>
    <w:rsid w:val="00465F36"/>
    <w:rsid w:val="004663DC"/>
    <w:rsid w:val="0046656C"/>
    <w:rsid w:val="00466ED3"/>
    <w:rsid w:val="00467430"/>
    <w:rsid w:val="0046743B"/>
    <w:rsid w:val="004675BE"/>
    <w:rsid w:val="00467B41"/>
    <w:rsid w:val="00467B78"/>
    <w:rsid w:val="00470341"/>
    <w:rsid w:val="00470364"/>
    <w:rsid w:val="0047052E"/>
    <w:rsid w:val="0047064A"/>
    <w:rsid w:val="00470A0E"/>
    <w:rsid w:val="00470E1B"/>
    <w:rsid w:val="00470F91"/>
    <w:rsid w:val="00471088"/>
    <w:rsid w:val="00471505"/>
    <w:rsid w:val="00471A32"/>
    <w:rsid w:val="00471AD9"/>
    <w:rsid w:val="00471E32"/>
    <w:rsid w:val="004721EF"/>
    <w:rsid w:val="004724C1"/>
    <w:rsid w:val="0047263A"/>
    <w:rsid w:val="00472669"/>
    <w:rsid w:val="004726AD"/>
    <w:rsid w:val="00472808"/>
    <w:rsid w:val="00472A34"/>
    <w:rsid w:val="00472AB6"/>
    <w:rsid w:val="00472DD0"/>
    <w:rsid w:val="00472E18"/>
    <w:rsid w:val="004732EF"/>
    <w:rsid w:val="004734C2"/>
    <w:rsid w:val="004737DA"/>
    <w:rsid w:val="00473876"/>
    <w:rsid w:val="004740F8"/>
    <w:rsid w:val="00474304"/>
    <w:rsid w:val="00474715"/>
    <w:rsid w:val="00474763"/>
    <w:rsid w:val="004747F3"/>
    <w:rsid w:val="00474FBE"/>
    <w:rsid w:val="004755FE"/>
    <w:rsid w:val="00475977"/>
    <w:rsid w:val="00475BFF"/>
    <w:rsid w:val="00475D62"/>
    <w:rsid w:val="00476468"/>
    <w:rsid w:val="00476520"/>
    <w:rsid w:val="004765AC"/>
    <w:rsid w:val="00476AF4"/>
    <w:rsid w:val="00476D71"/>
    <w:rsid w:val="00476DA6"/>
    <w:rsid w:val="00476F35"/>
    <w:rsid w:val="004772E9"/>
    <w:rsid w:val="0047767D"/>
    <w:rsid w:val="00477735"/>
    <w:rsid w:val="00477DAC"/>
    <w:rsid w:val="00477F1A"/>
    <w:rsid w:val="0048028F"/>
    <w:rsid w:val="0048055D"/>
    <w:rsid w:val="00480BEF"/>
    <w:rsid w:val="00480D50"/>
    <w:rsid w:val="00480DDA"/>
    <w:rsid w:val="0048143C"/>
    <w:rsid w:val="004814C8"/>
    <w:rsid w:val="004816BA"/>
    <w:rsid w:val="00481970"/>
    <w:rsid w:val="00481D96"/>
    <w:rsid w:val="00481E49"/>
    <w:rsid w:val="00481F22"/>
    <w:rsid w:val="00481FCD"/>
    <w:rsid w:val="00481FDC"/>
    <w:rsid w:val="00482159"/>
    <w:rsid w:val="004826E9"/>
    <w:rsid w:val="004829D2"/>
    <w:rsid w:val="00482C79"/>
    <w:rsid w:val="00482C95"/>
    <w:rsid w:val="00483132"/>
    <w:rsid w:val="00483486"/>
    <w:rsid w:val="00483739"/>
    <w:rsid w:val="004839CE"/>
    <w:rsid w:val="00483BC2"/>
    <w:rsid w:val="00483DA6"/>
    <w:rsid w:val="00483FAC"/>
    <w:rsid w:val="004845FF"/>
    <w:rsid w:val="0048481F"/>
    <w:rsid w:val="004848A8"/>
    <w:rsid w:val="004849AC"/>
    <w:rsid w:val="00484AB1"/>
    <w:rsid w:val="00484B1E"/>
    <w:rsid w:val="00484E4F"/>
    <w:rsid w:val="00485064"/>
    <w:rsid w:val="004850F1"/>
    <w:rsid w:val="004852D7"/>
    <w:rsid w:val="00485C58"/>
    <w:rsid w:val="00485DC9"/>
    <w:rsid w:val="00486792"/>
    <w:rsid w:val="00486ECD"/>
    <w:rsid w:val="004874D2"/>
    <w:rsid w:val="00487580"/>
    <w:rsid w:val="004875B2"/>
    <w:rsid w:val="00487816"/>
    <w:rsid w:val="004878F4"/>
    <w:rsid w:val="00487A0C"/>
    <w:rsid w:val="00490099"/>
    <w:rsid w:val="00490558"/>
    <w:rsid w:val="00490A96"/>
    <w:rsid w:val="00490FF9"/>
    <w:rsid w:val="0049100D"/>
    <w:rsid w:val="0049139B"/>
    <w:rsid w:val="00491D18"/>
    <w:rsid w:val="004921BB"/>
    <w:rsid w:val="00492218"/>
    <w:rsid w:val="004924BB"/>
    <w:rsid w:val="00492532"/>
    <w:rsid w:val="0049256E"/>
    <w:rsid w:val="00492CE1"/>
    <w:rsid w:val="00493096"/>
    <w:rsid w:val="00493687"/>
    <w:rsid w:val="00493707"/>
    <w:rsid w:val="00494136"/>
    <w:rsid w:val="0049427A"/>
    <w:rsid w:val="0049429C"/>
    <w:rsid w:val="0049589B"/>
    <w:rsid w:val="00495A8C"/>
    <w:rsid w:val="00495B95"/>
    <w:rsid w:val="00495BF8"/>
    <w:rsid w:val="00495FBD"/>
    <w:rsid w:val="0049662C"/>
    <w:rsid w:val="00496AC8"/>
    <w:rsid w:val="00496B19"/>
    <w:rsid w:val="0049770E"/>
    <w:rsid w:val="00497BDE"/>
    <w:rsid w:val="00497E4C"/>
    <w:rsid w:val="004A001A"/>
    <w:rsid w:val="004A00ED"/>
    <w:rsid w:val="004A0AE1"/>
    <w:rsid w:val="004A0D25"/>
    <w:rsid w:val="004A10F0"/>
    <w:rsid w:val="004A16CB"/>
    <w:rsid w:val="004A18BF"/>
    <w:rsid w:val="004A1D59"/>
    <w:rsid w:val="004A2016"/>
    <w:rsid w:val="004A258C"/>
    <w:rsid w:val="004A25F3"/>
    <w:rsid w:val="004A285D"/>
    <w:rsid w:val="004A28E4"/>
    <w:rsid w:val="004A2C4A"/>
    <w:rsid w:val="004A2C8A"/>
    <w:rsid w:val="004A2EEA"/>
    <w:rsid w:val="004A33AE"/>
    <w:rsid w:val="004A3797"/>
    <w:rsid w:val="004A3A11"/>
    <w:rsid w:val="004A3CF6"/>
    <w:rsid w:val="004A402A"/>
    <w:rsid w:val="004A4144"/>
    <w:rsid w:val="004A426E"/>
    <w:rsid w:val="004A44B0"/>
    <w:rsid w:val="004A480E"/>
    <w:rsid w:val="004A4A65"/>
    <w:rsid w:val="004A4D94"/>
    <w:rsid w:val="004A5478"/>
    <w:rsid w:val="004A5B71"/>
    <w:rsid w:val="004A6308"/>
    <w:rsid w:val="004A64B0"/>
    <w:rsid w:val="004A660E"/>
    <w:rsid w:val="004A6B7B"/>
    <w:rsid w:val="004A6C24"/>
    <w:rsid w:val="004A7058"/>
    <w:rsid w:val="004A72CF"/>
    <w:rsid w:val="004A7364"/>
    <w:rsid w:val="004A7A6D"/>
    <w:rsid w:val="004A7A96"/>
    <w:rsid w:val="004A7E54"/>
    <w:rsid w:val="004A7E72"/>
    <w:rsid w:val="004A7F74"/>
    <w:rsid w:val="004B0E8C"/>
    <w:rsid w:val="004B13E1"/>
    <w:rsid w:val="004B145D"/>
    <w:rsid w:val="004B1D89"/>
    <w:rsid w:val="004B1E73"/>
    <w:rsid w:val="004B1FB8"/>
    <w:rsid w:val="004B2AB5"/>
    <w:rsid w:val="004B2F02"/>
    <w:rsid w:val="004B3463"/>
    <w:rsid w:val="004B3838"/>
    <w:rsid w:val="004B3A26"/>
    <w:rsid w:val="004B3DE7"/>
    <w:rsid w:val="004B3E0E"/>
    <w:rsid w:val="004B4264"/>
    <w:rsid w:val="004B43B5"/>
    <w:rsid w:val="004B44DF"/>
    <w:rsid w:val="004B4749"/>
    <w:rsid w:val="004B4818"/>
    <w:rsid w:val="004B49ED"/>
    <w:rsid w:val="004B4B5F"/>
    <w:rsid w:val="004B4CCD"/>
    <w:rsid w:val="004B4CFB"/>
    <w:rsid w:val="004B4F90"/>
    <w:rsid w:val="004B4FEE"/>
    <w:rsid w:val="004B526C"/>
    <w:rsid w:val="004B5676"/>
    <w:rsid w:val="004B5A05"/>
    <w:rsid w:val="004B5B7B"/>
    <w:rsid w:val="004B5DF0"/>
    <w:rsid w:val="004B6043"/>
    <w:rsid w:val="004B630D"/>
    <w:rsid w:val="004B679F"/>
    <w:rsid w:val="004B67EC"/>
    <w:rsid w:val="004B6B4A"/>
    <w:rsid w:val="004B753D"/>
    <w:rsid w:val="004B77DD"/>
    <w:rsid w:val="004B7CE4"/>
    <w:rsid w:val="004C0B6F"/>
    <w:rsid w:val="004C1222"/>
    <w:rsid w:val="004C13BA"/>
    <w:rsid w:val="004C1455"/>
    <w:rsid w:val="004C19EB"/>
    <w:rsid w:val="004C2024"/>
    <w:rsid w:val="004C204A"/>
    <w:rsid w:val="004C21CA"/>
    <w:rsid w:val="004C27BF"/>
    <w:rsid w:val="004C29C5"/>
    <w:rsid w:val="004C2B2B"/>
    <w:rsid w:val="004C31AC"/>
    <w:rsid w:val="004C398C"/>
    <w:rsid w:val="004C41C4"/>
    <w:rsid w:val="004C49F9"/>
    <w:rsid w:val="004C5354"/>
    <w:rsid w:val="004C53BC"/>
    <w:rsid w:val="004C55F6"/>
    <w:rsid w:val="004C5688"/>
    <w:rsid w:val="004C6242"/>
    <w:rsid w:val="004C6349"/>
    <w:rsid w:val="004C6C97"/>
    <w:rsid w:val="004C7129"/>
    <w:rsid w:val="004C7A17"/>
    <w:rsid w:val="004D03E2"/>
    <w:rsid w:val="004D0BE8"/>
    <w:rsid w:val="004D125F"/>
    <w:rsid w:val="004D14B2"/>
    <w:rsid w:val="004D14EE"/>
    <w:rsid w:val="004D1639"/>
    <w:rsid w:val="004D17E1"/>
    <w:rsid w:val="004D1884"/>
    <w:rsid w:val="004D18D2"/>
    <w:rsid w:val="004D1B1E"/>
    <w:rsid w:val="004D1F46"/>
    <w:rsid w:val="004D24D4"/>
    <w:rsid w:val="004D29C7"/>
    <w:rsid w:val="004D2BD2"/>
    <w:rsid w:val="004D2D79"/>
    <w:rsid w:val="004D2EF0"/>
    <w:rsid w:val="004D362F"/>
    <w:rsid w:val="004D3E0E"/>
    <w:rsid w:val="004D3EA1"/>
    <w:rsid w:val="004D43C6"/>
    <w:rsid w:val="004D45D3"/>
    <w:rsid w:val="004D5243"/>
    <w:rsid w:val="004D5850"/>
    <w:rsid w:val="004D5F5C"/>
    <w:rsid w:val="004D6322"/>
    <w:rsid w:val="004D6469"/>
    <w:rsid w:val="004D65AD"/>
    <w:rsid w:val="004D6BE4"/>
    <w:rsid w:val="004D6E6B"/>
    <w:rsid w:val="004D772A"/>
    <w:rsid w:val="004D7A52"/>
    <w:rsid w:val="004E02C0"/>
    <w:rsid w:val="004E0602"/>
    <w:rsid w:val="004E0BFB"/>
    <w:rsid w:val="004E11C0"/>
    <w:rsid w:val="004E1667"/>
    <w:rsid w:val="004E1A0C"/>
    <w:rsid w:val="004E1BEB"/>
    <w:rsid w:val="004E1E3F"/>
    <w:rsid w:val="004E1E7D"/>
    <w:rsid w:val="004E2516"/>
    <w:rsid w:val="004E25A3"/>
    <w:rsid w:val="004E2705"/>
    <w:rsid w:val="004E2DE1"/>
    <w:rsid w:val="004E313F"/>
    <w:rsid w:val="004E349D"/>
    <w:rsid w:val="004E3529"/>
    <w:rsid w:val="004E379F"/>
    <w:rsid w:val="004E3BCE"/>
    <w:rsid w:val="004E4503"/>
    <w:rsid w:val="004E4C51"/>
    <w:rsid w:val="004E4D23"/>
    <w:rsid w:val="004E5085"/>
    <w:rsid w:val="004E5105"/>
    <w:rsid w:val="004E52C2"/>
    <w:rsid w:val="004E542F"/>
    <w:rsid w:val="004E5478"/>
    <w:rsid w:val="004E54DC"/>
    <w:rsid w:val="004E5513"/>
    <w:rsid w:val="004E65BC"/>
    <w:rsid w:val="004E6FF9"/>
    <w:rsid w:val="004E7031"/>
    <w:rsid w:val="004E7135"/>
    <w:rsid w:val="004F0BD3"/>
    <w:rsid w:val="004F0C29"/>
    <w:rsid w:val="004F0E60"/>
    <w:rsid w:val="004F11D8"/>
    <w:rsid w:val="004F1569"/>
    <w:rsid w:val="004F16C6"/>
    <w:rsid w:val="004F195F"/>
    <w:rsid w:val="004F255E"/>
    <w:rsid w:val="004F293D"/>
    <w:rsid w:val="004F2F66"/>
    <w:rsid w:val="004F3019"/>
    <w:rsid w:val="004F35A3"/>
    <w:rsid w:val="004F47BF"/>
    <w:rsid w:val="004F4CAD"/>
    <w:rsid w:val="004F4F1E"/>
    <w:rsid w:val="004F4FBD"/>
    <w:rsid w:val="004F5025"/>
    <w:rsid w:val="004F562B"/>
    <w:rsid w:val="004F5933"/>
    <w:rsid w:val="004F5D0B"/>
    <w:rsid w:val="004F5D1F"/>
    <w:rsid w:val="004F5D9F"/>
    <w:rsid w:val="004F5E13"/>
    <w:rsid w:val="004F62B3"/>
    <w:rsid w:val="004F6E1D"/>
    <w:rsid w:val="004F6FA3"/>
    <w:rsid w:val="004F71DA"/>
    <w:rsid w:val="004F7651"/>
    <w:rsid w:val="004F7A79"/>
    <w:rsid w:val="004F7C18"/>
    <w:rsid w:val="00500014"/>
    <w:rsid w:val="00500241"/>
    <w:rsid w:val="00500701"/>
    <w:rsid w:val="005007E9"/>
    <w:rsid w:val="00500AE1"/>
    <w:rsid w:val="005010E3"/>
    <w:rsid w:val="0050141D"/>
    <w:rsid w:val="00501447"/>
    <w:rsid w:val="00501AAC"/>
    <w:rsid w:val="00501FE3"/>
    <w:rsid w:val="00502404"/>
    <w:rsid w:val="005024C3"/>
    <w:rsid w:val="005024C4"/>
    <w:rsid w:val="00502714"/>
    <w:rsid w:val="00502853"/>
    <w:rsid w:val="00502854"/>
    <w:rsid w:val="005032AB"/>
    <w:rsid w:val="00503412"/>
    <w:rsid w:val="00503742"/>
    <w:rsid w:val="00503C9A"/>
    <w:rsid w:val="00503F4E"/>
    <w:rsid w:val="005040FB"/>
    <w:rsid w:val="0050434A"/>
    <w:rsid w:val="0050598B"/>
    <w:rsid w:val="00505F09"/>
    <w:rsid w:val="0050603F"/>
    <w:rsid w:val="00506590"/>
    <w:rsid w:val="00506CD2"/>
    <w:rsid w:val="00506EAF"/>
    <w:rsid w:val="005073AB"/>
    <w:rsid w:val="00507580"/>
    <w:rsid w:val="00507A58"/>
    <w:rsid w:val="00507F38"/>
    <w:rsid w:val="00510805"/>
    <w:rsid w:val="005109E5"/>
    <w:rsid w:val="00510A10"/>
    <w:rsid w:val="00510AA1"/>
    <w:rsid w:val="00510CD7"/>
    <w:rsid w:val="00511015"/>
    <w:rsid w:val="005110C7"/>
    <w:rsid w:val="005112E1"/>
    <w:rsid w:val="005116DB"/>
    <w:rsid w:val="005117A2"/>
    <w:rsid w:val="00511B56"/>
    <w:rsid w:val="00512023"/>
    <w:rsid w:val="005121A9"/>
    <w:rsid w:val="00512327"/>
    <w:rsid w:val="005123F6"/>
    <w:rsid w:val="005127F1"/>
    <w:rsid w:val="005128AA"/>
    <w:rsid w:val="005129E0"/>
    <w:rsid w:val="00512D93"/>
    <w:rsid w:val="0051336B"/>
    <w:rsid w:val="00513556"/>
    <w:rsid w:val="005138FD"/>
    <w:rsid w:val="0051415E"/>
    <w:rsid w:val="0051418B"/>
    <w:rsid w:val="0051487C"/>
    <w:rsid w:val="00515132"/>
    <w:rsid w:val="00515170"/>
    <w:rsid w:val="005151C6"/>
    <w:rsid w:val="00515555"/>
    <w:rsid w:val="00515696"/>
    <w:rsid w:val="005158B4"/>
    <w:rsid w:val="00515CBC"/>
    <w:rsid w:val="00515FD1"/>
    <w:rsid w:val="0051647E"/>
    <w:rsid w:val="005166DB"/>
    <w:rsid w:val="00516C30"/>
    <w:rsid w:val="00516D2B"/>
    <w:rsid w:val="005172BC"/>
    <w:rsid w:val="00517356"/>
    <w:rsid w:val="005173AD"/>
    <w:rsid w:val="00517604"/>
    <w:rsid w:val="00517AA3"/>
    <w:rsid w:val="00517DED"/>
    <w:rsid w:val="00520B7E"/>
    <w:rsid w:val="00520FE4"/>
    <w:rsid w:val="005211FB"/>
    <w:rsid w:val="00521CD9"/>
    <w:rsid w:val="00521E3F"/>
    <w:rsid w:val="005220D1"/>
    <w:rsid w:val="00522165"/>
    <w:rsid w:val="00522534"/>
    <w:rsid w:val="00522615"/>
    <w:rsid w:val="005229A6"/>
    <w:rsid w:val="00522EC2"/>
    <w:rsid w:val="00522FD6"/>
    <w:rsid w:val="005230AB"/>
    <w:rsid w:val="0052321E"/>
    <w:rsid w:val="005232C5"/>
    <w:rsid w:val="005235C4"/>
    <w:rsid w:val="00523790"/>
    <w:rsid w:val="00523FA8"/>
    <w:rsid w:val="00524594"/>
    <w:rsid w:val="005247AB"/>
    <w:rsid w:val="005247F1"/>
    <w:rsid w:val="005248B8"/>
    <w:rsid w:val="00524F82"/>
    <w:rsid w:val="0052500B"/>
    <w:rsid w:val="005251C0"/>
    <w:rsid w:val="00525270"/>
    <w:rsid w:val="00525AA6"/>
    <w:rsid w:val="00526142"/>
    <w:rsid w:val="00526203"/>
    <w:rsid w:val="005265FB"/>
    <w:rsid w:val="00526B36"/>
    <w:rsid w:val="00526F7E"/>
    <w:rsid w:val="00527741"/>
    <w:rsid w:val="00527F71"/>
    <w:rsid w:val="005305B4"/>
    <w:rsid w:val="00530FFD"/>
    <w:rsid w:val="0053136D"/>
    <w:rsid w:val="005314A1"/>
    <w:rsid w:val="005316A4"/>
    <w:rsid w:val="00531F84"/>
    <w:rsid w:val="005321C8"/>
    <w:rsid w:val="005322CD"/>
    <w:rsid w:val="00532549"/>
    <w:rsid w:val="005326ED"/>
    <w:rsid w:val="00532782"/>
    <w:rsid w:val="00532AC8"/>
    <w:rsid w:val="00532CCC"/>
    <w:rsid w:val="00532E58"/>
    <w:rsid w:val="00532EC8"/>
    <w:rsid w:val="00532FFA"/>
    <w:rsid w:val="00533392"/>
    <w:rsid w:val="005335DA"/>
    <w:rsid w:val="005335DF"/>
    <w:rsid w:val="00533913"/>
    <w:rsid w:val="00533A53"/>
    <w:rsid w:val="00533CD8"/>
    <w:rsid w:val="00533CF9"/>
    <w:rsid w:val="00534B0E"/>
    <w:rsid w:val="00534BB5"/>
    <w:rsid w:val="0053503E"/>
    <w:rsid w:val="005351E7"/>
    <w:rsid w:val="00535245"/>
    <w:rsid w:val="005352C4"/>
    <w:rsid w:val="005352F5"/>
    <w:rsid w:val="00535467"/>
    <w:rsid w:val="00535910"/>
    <w:rsid w:val="00536366"/>
    <w:rsid w:val="00536451"/>
    <w:rsid w:val="00536D19"/>
    <w:rsid w:val="00537313"/>
    <w:rsid w:val="0053738E"/>
    <w:rsid w:val="00537538"/>
    <w:rsid w:val="005379D2"/>
    <w:rsid w:val="00537A55"/>
    <w:rsid w:val="00537BA8"/>
    <w:rsid w:val="00537C1A"/>
    <w:rsid w:val="00537E6E"/>
    <w:rsid w:val="005408FD"/>
    <w:rsid w:val="005413BE"/>
    <w:rsid w:val="00541C5F"/>
    <w:rsid w:val="00541DA9"/>
    <w:rsid w:val="00541EB4"/>
    <w:rsid w:val="00542572"/>
    <w:rsid w:val="005425B8"/>
    <w:rsid w:val="00542E94"/>
    <w:rsid w:val="00542F03"/>
    <w:rsid w:val="00542F5B"/>
    <w:rsid w:val="0054301E"/>
    <w:rsid w:val="005430EC"/>
    <w:rsid w:val="00543145"/>
    <w:rsid w:val="0054318A"/>
    <w:rsid w:val="00543751"/>
    <w:rsid w:val="00543C3C"/>
    <w:rsid w:val="00543D9D"/>
    <w:rsid w:val="00543EB8"/>
    <w:rsid w:val="005440CE"/>
    <w:rsid w:val="005441B1"/>
    <w:rsid w:val="00544322"/>
    <w:rsid w:val="00544337"/>
    <w:rsid w:val="005443A7"/>
    <w:rsid w:val="005443AE"/>
    <w:rsid w:val="0054451D"/>
    <w:rsid w:val="00544AC9"/>
    <w:rsid w:val="00544AFA"/>
    <w:rsid w:val="00544EBD"/>
    <w:rsid w:val="00544F65"/>
    <w:rsid w:val="005453C3"/>
    <w:rsid w:val="00545607"/>
    <w:rsid w:val="005456E4"/>
    <w:rsid w:val="005458DC"/>
    <w:rsid w:val="00545B89"/>
    <w:rsid w:val="00546032"/>
    <w:rsid w:val="00546057"/>
    <w:rsid w:val="0054661D"/>
    <w:rsid w:val="0054674A"/>
    <w:rsid w:val="0054677C"/>
    <w:rsid w:val="00546FB6"/>
    <w:rsid w:val="00547045"/>
    <w:rsid w:val="00547650"/>
    <w:rsid w:val="00547654"/>
    <w:rsid w:val="00547958"/>
    <w:rsid w:val="00547C69"/>
    <w:rsid w:val="00547D31"/>
    <w:rsid w:val="0055015E"/>
    <w:rsid w:val="00550C39"/>
    <w:rsid w:val="00550F31"/>
    <w:rsid w:val="00551914"/>
    <w:rsid w:val="005523D0"/>
    <w:rsid w:val="005524D4"/>
    <w:rsid w:val="005525D3"/>
    <w:rsid w:val="00552AC6"/>
    <w:rsid w:val="00553264"/>
    <w:rsid w:val="00553607"/>
    <w:rsid w:val="00553635"/>
    <w:rsid w:val="00553A3D"/>
    <w:rsid w:val="00553E2F"/>
    <w:rsid w:val="00554284"/>
    <w:rsid w:val="00554610"/>
    <w:rsid w:val="0055510C"/>
    <w:rsid w:val="005554A1"/>
    <w:rsid w:val="005554D9"/>
    <w:rsid w:val="00555844"/>
    <w:rsid w:val="00555BED"/>
    <w:rsid w:val="005561EF"/>
    <w:rsid w:val="00556366"/>
    <w:rsid w:val="005566C4"/>
    <w:rsid w:val="005566DB"/>
    <w:rsid w:val="005566EA"/>
    <w:rsid w:val="00556BAF"/>
    <w:rsid w:val="005570F8"/>
    <w:rsid w:val="005571D8"/>
    <w:rsid w:val="005575BB"/>
    <w:rsid w:val="005579D0"/>
    <w:rsid w:val="00557CC6"/>
    <w:rsid w:val="00557D45"/>
    <w:rsid w:val="00557E27"/>
    <w:rsid w:val="00557F07"/>
    <w:rsid w:val="00560286"/>
    <w:rsid w:val="00560C72"/>
    <w:rsid w:val="00560D39"/>
    <w:rsid w:val="00561497"/>
    <w:rsid w:val="005624FD"/>
    <w:rsid w:val="00562B71"/>
    <w:rsid w:val="00562C30"/>
    <w:rsid w:val="00562F18"/>
    <w:rsid w:val="00563DAD"/>
    <w:rsid w:val="00563EF9"/>
    <w:rsid w:val="0056411B"/>
    <w:rsid w:val="00564412"/>
    <w:rsid w:val="005644B0"/>
    <w:rsid w:val="005644EC"/>
    <w:rsid w:val="0056492C"/>
    <w:rsid w:val="00564A99"/>
    <w:rsid w:val="00564B4A"/>
    <w:rsid w:val="00564B9D"/>
    <w:rsid w:val="00565000"/>
    <w:rsid w:val="0056701F"/>
    <w:rsid w:val="00567199"/>
    <w:rsid w:val="005672F9"/>
    <w:rsid w:val="005676B4"/>
    <w:rsid w:val="005676E8"/>
    <w:rsid w:val="005677E7"/>
    <w:rsid w:val="00567A2F"/>
    <w:rsid w:val="00567ADB"/>
    <w:rsid w:val="00567D81"/>
    <w:rsid w:val="00567E20"/>
    <w:rsid w:val="00567FC6"/>
    <w:rsid w:val="005706D4"/>
    <w:rsid w:val="00571084"/>
    <w:rsid w:val="0057156C"/>
    <w:rsid w:val="005715D6"/>
    <w:rsid w:val="00571C2A"/>
    <w:rsid w:val="00572724"/>
    <w:rsid w:val="0057308B"/>
    <w:rsid w:val="00573355"/>
    <w:rsid w:val="00573467"/>
    <w:rsid w:val="00573544"/>
    <w:rsid w:val="00573727"/>
    <w:rsid w:val="00573F83"/>
    <w:rsid w:val="00573FFB"/>
    <w:rsid w:val="00574121"/>
    <w:rsid w:val="00574692"/>
    <w:rsid w:val="00574B2C"/>
    <w:rsid w:val="00574DD1"/>
    <w:rsid w:val="00574FB0"/>
    <w:rsid w:val="00575A11"/>
    <w:rsid w:val="00575A28"/>
    <w:rsid w:val="00575B4E"/>
    <w:rsid w:val="00575C34"/>
    <w:rsid w:val="00575C87"/>
    <w:rsid w:val="005761BE"/>
    <w:rsid w:val="005762E2"/>
    <w:rsid w:val="0057636F"/>
    <w:rsid w:val="005768AC"/>
    <w:rsid w:val="00576A5A"/>
    <w:rsid w:val="00576C9B"/>
    <w:rsid w:val="00576E4D"/>
    <w:rsid w:val="00576E89"/>
    <w:rsid w:val="00576EC7"/>
    <w:rsid w:val="00577583"/>
    <w:rsid w:val="00580014"/>
    <w:rsid w:val="00580627"/>
    <w:rsid w:val="00580832"/>
    <w:rsid w:val="0058084B"/>
    <w:rsid w:val="00580933"/>
    <w:rsid w:val="00580AEE"/>
    <w:rsid w:val="00581197"/>
    <w:rsid w:val="00581B83"/>
    <w:rsid w:val="00581D70"/>
    <w:rsid w:val="00581DF9"/>
    <w:rsid w:val="00581EAC"/>
    <w:rsid w:val="00582351"/>
    <w:rsid w:val="00582480"/>
    <w:rsid w:val="00582796"/>
    <w:rsid w:val="00583123"/>
    <w:rsid w:val="0058350B"/>
    <w:rsid w:val="00583C8D"/>
    <w:rsid w:val="00583CAC"/>
    <w:rsid w:val="005842D5"/>
    <w:rsid w:val="00584EBD"/>
    <w:rsid w:val="00584F5F"/>
    <w:rsid w:val="0058543A"/>
    <w:rsid w:val="00585713"/>
    <w:rsid w:val="005858EF"/>
    <w:rsid w:val="005859DE"/>
    <w:rsid w:val="00585A1B"/>
    <w:rsid w:val="00585D47"/>
    <w:rsid w:val="0058604A"/>
    <w:rsid w:val="005861E7"/>
    <w:rsid w:val="00586232"/>
    <w:rsid w:val="0058640A"/>
    <w:rsid w:val="005864BA"/>
    <w:rsid w:val="0058651E"/>
    <w:rsid w:val="00586A4B"/>
    <w:rsid w:val="005872AF"/>
    <w:rsid w:val="005877EC"/>
    <w:rsid w:val="005879BF"/>
    <w:rsid w:val="0059002A"/>
    <w:rsid w:val="0059008C"/>
    <w:rsid w:val="0059082D"/>
    <w:rsid w:val="00590E6B"/>
    <w:rsid w:val="00590E76"/>
    <w:rsid w:val="005913B1"/>
    <w:rsid w:val="00591F1B"/>
    <w:rsid w:val="00592186"/>
    <w:rsid w:val="0059224E"/>
    <w:rsid w:val="0059275A"/>
    <w:rsid w:val="00592843"/>
    <w:rsid w:val="00592EC6"/>
    <w:rsid w:val="005933E4"/>
    <w:rsid w:val="00593710"/>
    <w:rsid w:val="00593854"/>
    <w:rsid w:val="005939BA"/>
    <w:rsid w:val="00593F0B"/>
    <w:rsid w:val="00593FD3"/>
    <w:rsid w:val="005942CE"/>
    <w:rsid w:val="005943AD"/>
    <w:rsid w:val="00594665"/>
    <w:rsid w:val="005949E6"/>
    <w:rsid w:val="00594A4A"/>
    <w:rsid w:val="00594C68"/>
    <w:rsid w:val="00594FC9"/>
    <w:rsid w:val="005953BF"/>
    <w:rsid w:val="00595635"/>
    <w:rsid w:val="00595698"/>
    <w:rsid w:val="00595B49"/>
    <w:rsid w:val="00595DF0"/>
    <w:rsid w:val="00595E2E"/>
    <w:rsid w:val="005960FA"/>
    <w:rsid w:val="00596347"/>
    <w:rsid w:val="00596484"/>
    <w:rsid w:val="00596656"/>
    <w:rsid w:val="005975CA"/>
    <w:rsid w:val="00597B7D"/>
    <w:rsid w:val="005A0688"/>
    <w:rsid w:val="005A06DC"/>
    <w:rsid w:val="005A08D1"/>
    <w:rsid w:val="005A0A06"/>
    <w:rsid w:val="005A11C8"/>
    <w:rsid w:val="005A1B11"/>
    <w:rsid w:val="005A1C98"/>
    <w:rsid w:val="005A1D41"/>
    <w:rsid w:val="005A1FF9"/>
    <w:rsid w:val="005A212C"/>
    <w:rsid w:val="005A2651"/>
    <w:rsid w:val="005A28A7"/>
    <w:rsid w:val="005A29A4"/>
    <w:rsid w:val="005A2C0D"/>
    <w:rsid w:val="005A3275"/>
    <w:rsid w:val="005A33C9"/>
    <w:rsid w:val="005A3C1C"/>
    <w:rsid w:val="005A3C74"/>
    <w:rsid w:val="005A3E82"/>
    <w:rsid w:val="005A423B"/>
    <w:rsid w:val="005A4AC0"/>
    <w:rsid w:val="005A4D12"/>
    <w:rsid w:val="005A4FB9"/>
    <w:rsid w:val="005A55EB"/>
    <w:rsid w:val="005A5D4A"/>
    <w:rsid w:val="005A5DAA"/>
    <w:rsid w:val="005A5EA5"/>
    <w:rsid w:val="005A6250"/>
    <w:rsid w:val="005A6599"/>
    <w:rsid w:val="005A6A6F"/>
    <w:rsid w:val="005A6F23"/>
    <w:rsid w:val="005A7247"/>
    <w:rsid w:val="005A7633"/>
    <w:rsid w:val="005A7770"/>
    <w:rsid w:val="005A787D"/>
    <w:rsid w:val="005A78AB"/>
    <w:rsid w:val="005A79CB"/>
    <w:rsid w:val="005A7D15"/>
    <w:rsid w:val="005A7F00"/>
    <w:rsid w:val="005A7F59"/>
    <w:rsid w:val="005A7FD5"/>
    <w:rsid w:val="005B001E"/>
    <w:rsid w:val="005B05D3"/>
    <w:rsid w:val="005B062A"/>
    <w:rsid w:val="005B0662"/>
    <w:rsid w:val="005B08D3"/>
    <w:rsid w:val="005B0FCF"/>
    <w:rsid w:val="005B10E3"/>
    <w:rsid w:val="005B1707"/>
    <w:rsid w:val="005B1715"/>
    <w:rsid w:val="005B1840"/>
    <w:rsid w:val="005B1DCC"/>
    <w:rsid w:val="005B268C"/>
    <w:rsid w:val="005B2A9E"/>
    <w:rsid w:val="005B3337"/>
    <w:rsid w:val="005B33A7"/>
    <w:rsid w:val="005B343C"/>
    <w:rsid w:val="005B37DF"/>
    <w:rsid w:val="005B3B6C"/>
    <w:rsid w:val="005B3E16"/>
    <w:rsid w:val="005B3EA5"/>
    <w:rsid w:val="005B3FF3"/>
    <w:rsid w:val="005B408D"/>
    <w:rsid w:val="005B412A"/>
    <w:rsid w:val="005B476E"/>
    <w:rsid w:val="005B497E"/>
    <w:rsid w:val="005B4B06"/>
    <w:rsid w:val="005B4B13"/>
    <w:rsid w:val="005B504C"/>
    <w:rsid w:val="005B5311"/>
    <w:rsid w:val="005B5778"/>
    <w:rsid w:val="005B5B71"/>
    <w:rsid w:val="005B6147"/>
    <w:rsid w:val="005B6A90"/>
    <w:rsid w:val="005B7D7C"/>
    <w:rsid w:val="005B7FD3"/>
    <w:rsid w:val="005C02A2"/>
    <w:rsid w:val="005C0483"/>
    <w:rsid w:val="005C0A85"/>
    <w:rsid w:val="005C0BD2"/>
    <w:rsid w:val="005C123A"/>
    <w:rsid w:val="005C1311"/>
    <w:rsid w:val="005C182D"/>
    <w:rsid w:val="005C1915"/>
    <w:rsid w:val="005C1CA6"/>
    <w:rsid w:val="005C1E24"/>
    <w:rsid w:val="005C239A"/>
    <w:rsid w:val="005C23F8"/>
    <w:rsid w:val="005C28F9"/>
    <w:rsid w:val="005C2B35"/>
    <w:rsid w:val="005C2C3E"/>
    <w:rsid w:val="005C2FC6"/>
    <w:rsid w:val="005C31B0"/>
    <w:rsid w:val="005C3478"/>
    <w:rsid w:val="005C3535"/>
    <w:rsid w:val="005C3D03"/>
    <w:rsid w:val="005C404C"/>
    <w:rsid w:val="005C434C"/>
    <w:rsid w:val="005C451B"/>
    <w:rsid w:val="005C474C"/>
    <w:rsid w:val="005C53F1"/>
    <w:rsid w:val="005C562E"/>
    <w:rsid w:val="005C5BA0"/>
    <w:rsid w:val="005C5E1B"/>
    <w:rsid w:val="005C61E0"/>
    <w:rsid w:val="005C672A"/>
    <w:rsid w:val="005C676E"/>
    <w:rsid w:val="005C6E20"/>
    <w:rsid w:val="005C707C"/>
    <w:rsid w:val="005C73DD"/>
    <w:rsid w:val="005C7A79"/>
    <w:rsid w:val="005D0044"/>
    <w:rsid w:val="005D008C"/>
    <w:rsid w:val="005D067C"/>
    <w:rsid w:val="005D06C4"/>
    <w:rsid w:val="005D08E1"/>
    <w:rsid w:val="005D0938"/>
    <w:rsid w:val="005D0A0A"/>
    <w:rsid w:val="005D10D0"/>
    <w:rsid w:val="005D1591"/>
    <w:rsid w:val="005D1CC3"/>
    <w:rsid w:val="005D25E9"/>
    <w:rsid w:val="005D2813"/>
    <w:rsid w:val="005D292F"/>
    <w:rsid w:val="005D2FAF"/>
    <w:rsid w:val="005D359E"/>
    <w:rsid w:val="005D3BCB"/>
    <w:rsid w:val="005D3C2A"/>
    <w:rsid w:val="005D3C31"/>
    <w:rsid w:val="005D42E1"/>
    <w:rsid w:val="005D4560"/>
    <w:rsid w:val="005D48EF"/>
    <w:rsid w:val="005D49B7"/>
    <w:rsid w:val="005D4AF4"/>
    <w:rsid w:val="005D4D85"/>
    <w:rsid w:val="005D4EAD"/>
    <w:rsid w:val="005D523C"/>
    <w:rsid w:val="005D54D2"/>
    <w:rsid w:val="005D554E"/>
    <w:rsid w:val="005D55E7"/>
    <w:rsid w:val="005D575F"/>
    <w:rsid w:val="005D6C39"/>
    <w:rsid w:val="005D708C"/>
    <w:rsid w:val="005D74E7"/>
    <w:rsid w:val="005D74EC"/>
    <w:rsid w:val="005D755C"/>
    <w:rsid w:val="005D7583"/>
    <w:rsid w:val="005D7DBF"/>
    <w:rsid w:val="005D7DE9"/>
    <w:rsid w:val="005E0385"/>
    <w:rsid w:val="005E0A6C"/>
    <w:rsid w:val="005E0EEE"/>
    <w:rsid w:val="005E1703"/>
    <w:rsid w:val="005E188D"/>
    <w:rsid w:val="005E18E6"/>
    <w:rsid w:val="005E1B0C"/>
    <w:rsid w:val="005E1FC2"/>
    <w:rsid w:val="005E2E9B"/>
    <w:rsid w:val="005E2FC9"/>
    <w:rsid w:val="005E3251"/>
    <w:rsid w:val="005E3612"/>
    <w:rsid w:val="005E3666"/>
    <w:rsid w:val="005E3A98"/>
    <w:rsid w:val="005E3D31"/>
    <w:rsid w:val="005E40A0"/>
    <w:rsid w:val="005E41CC"/>
    <w:rsid w:val="005E5084"/>
    <w:rsid w:val="005E5173"/>
    <w:rsid w:val="005E51D2"/>
    <w:rsid w:val="005E53C6"/>
    <w:rsid w:val="005E5629"/>
    <w:rsid w:val="005E57E9"/>
    <w:rsid w:val="005E5883"/>
    <w:rsid w:val="005E5DDD"/>
    <w:rsid w:val="005E646F"/>
    <w:rsid w:val="005E6A2B"/>
    <w:rsid w:val="005E77D8"/>
    <w:rsid w:val="005E7AFB"/>
    <w:rsid w:val="005F0B62"/>
    <w:rsid w:val="005F0C4D"/>
    <w:rsid w:val="005F0E25"/>
    <w:rsid w:val="005F134A"/>
    <w:rsid w:val="005F160C"/>
    <w:rsid w:val="005F176C"/>
    <w:rsid w:val="005F19AB"/>
    <w:rsid w:val="005F1BF4"/>
    <w:rsid w:val="005F251B"/>
    <w:rsid w:val="005F2766"/>
    <w:rsid w:val="005F2792"/>
    <w:rsid w:val="005F2CD4"/>
    <w:rsid w:val="005F2E9E"/>
    <w:rsid w:val="005F2ED9"/>
    <w:rsid w:val="005F3088"/>
    <w:rsid w:val="005F317E"/>
    <w:rsid w:val="005F3621"/>
    <w:rsid w:val="005F3803"/>
    <w:rsid w:val="005F3D3F"/>
    <w:rsid w:val="005F43E9"/>
    <w:rsid w:val="005F4A2C"/>
    <w:rsid w:val="005F4B54"/>
    <w:rsid w:val="005F5290"/>
    <w:rsid w:val="005F53EE"/>
    <w:rsid w:val="005F5699"/>
    <w:rsid w:val="005F5723"/>
    <w:rsid w:val="005F5B69"/>
    <w:rsid w:val="005F5F46"/>
    <w:rsid w:val="005F62C2"/>
    <w:rsid w:val="005F637B"/>
    <w:rsid w:val="005F6A21"/>
    <w:rsid w:val="005F6A95"/>
    <w:rsid w:val="005F6BFF"/>
    <w:rsid w:val="005F6E7F"/>
    <w:rsid w:val="005F797D"/>
    <w:rsid w:val="005F7C78"/>
    <w:rsid w:val="005F7D93"/>
    <w:rsid w:val="00600DBA"/>
    <w:rsid w:val="00600E2A"/>
    <w:rsid w:val="00601445"/>
    <w:rsid w:val="00601461"/>
    <w:rsid w:val="0060161A"/>
    <w:rsid w:val="0060175B"/>
    <w:rsid w:val="00601AF5"/>
    <w:rsid w:val="00601B4A"/>
    <w:rsid w:val="00601D04"/>
    <w:rsid w:val="006020F5"/>
    <w:rsid w:val="00602607"/>
    <w:rsid w:val="00602D5B"/>
    <w:rsid w:val="00603358"/>
    <w:rsid w:val="00603800"/>
    <w:rsid w:val="0060398E"/>
    <w:rsid w:val="00603FE3"/>
    <w:rsid w:val="0060449A"/>
    <w:rsid w:val="00604B60"/>
    <w:rsid w:val="00604CA9"/>
    <w:rsid w:val="00604CB9"/>
    <w:rsid w:val="00605068"/>
    <w:rsid w:val="006054F7"/>
    <w:rsid w:val="00605536"/>
    <w:rsid w:val="006055EF"/>
    <w:rsid w:val="00605832"/>
    <w:rsid w:val="006058F3"/>
    <w:rsid w:val="00605C26"/>
    <w:rsid w:val="00605D79"/>
    <w:rsid w:val="00605DE7"/>
    <w:rsid w:val="00605F0A"/>
    <w:rsid w:val="00605F3B"/>
    <w:rsid w:val="00606069"/>
    <w:rsid w:val="006060C8"/>
    <w:rsid w:val="006062AE"/>
    <w:rsid w:val="00606328"/>
    <w:rsid w:val="006066C4"/>
    <w:rsid w:val="006069D7"/>
    <w:rsid w:val="006069E1"/>
    <w:rsid w:val="00606C4C"/>
    <w:rsid w:val="00606D98"/>
    <w:rsid w:val="00606E85"/>
    <w:rsid w:val="00606F2B"/>
    <w:rsid w:val="00606F89"/>
    <w:rsid w:val="00607352"/>
    <w:rsid w:val="00607577"/>
    <w:rsid w:val="00607E5E"/>
    <w:rsid w:val="00607EA2"/>
    <w:rsid w:val="00610093"/>
    <w:rsid w:val="006102B7"/>
    <w:rsid w:val="00610312"/>
    <w:rsid w:val="006108D8"/>
    <w:rsid w:val="00610B08"/>
    <w:rsid w:val="00610B31"/>
    <w:rsid w:val="00610C85"/>
    <w:rsid w:val="00610D3C"/>
    <w:rsid w:val="00611EC5"/>
    <w:rsid w:val="00611F68"/>
    <w:rsid w:val="0061203E"/>
    <w:rsid w:val="0061266C"/>
    <w:rsid w:val="00612806"/>
    <w:rsid w:val="00612AA9"/>
    <w:rsid w:val="00612AAA"/>
    <w:rsid w:val="00612FA9"/>
    <w:rsid w:val="00613AFF"/>
    <w:rsid w:val="00613CCA"/>
    <w:rsid w:val="00613D17"/>
    <w:rsid w:val="00614145"/>
    <w:rsid w:val="00614148"/>
    <w:rsid w:val="00614372"/>
    <w:rsid w:val="00614513"/>
    <w:rsid w:val="006146EE"/>
    <w:rsid w:val="00614957"/>
    <w:rsid w:val="00615380"/>
    <w:rsid w:val="0061569F"/>
    <w:rsid w:val="00615E44"/>
    <w:rsid w:val="0061610F"/>
    <w:rsid w:val="00616744"/>
    <w:rsid w:val="0061675C"/>
    <w:rsid w:val="00616920"/>
    <w:rsid w:val="00616B29"/>
    <w:rsid w:val="00616C70"/>
    <w:rsid w:val="00616D03"/>
    <w:rsid w:val="00616D52"/>
    <w:rsid w:val="006173CD"/>
    <w:rsid w:val="006174B2"/>
    <w:rsid w:val="0061753A"/>
    <w:rsid w:val="00617738"/>
    <w:rsid w:val="00617A12"/>
    <w:rsid w:val="00617A43"/>
    <w:rsid w:val="00617AEC"/>
    <w:rsid w:val="00617EEC"/>
    <w:rsid w:val="00620392"/>
    <w:rsid w:val="0062039F"/>
    <w:rsid w:val="0062052A"/>
    <w:rsid w:val="00620BBF"/>
    <w:rsid w:val="00620D30"/>
    <w:rsid w:val="00621077"/>
    <w:rsid w:val="006213DF"/>
    <w:rsid w:val="00621515"/>
    <w:rsid w:val="00621779"/>
    <w:rsid w:val="006218FF"/>
    <w:rsid w:val="006221CA"/>
    <w:rsid w:val="006224E5"/>
    <w:rsid w:val="00622534"/>
    <w:rsid w:val="0062278A"/>
    <w:rsid w:val="00622BB3"/>
    <w:rsid w:val="006231B4"/>
    <w:rsid w:val="00623496"/>
    <w:rsid w:val="00623502"/>
    <w:rsid w:val="00623A67"/>
    <w:rsid w:val="00623F0E"/>
    <w:rsid w:val="006242D4"/>
    <w:rsid w:val="00624913"/>
    <w:rsid w:val="0062527D"/>
    <w:rsid w:val="00625333"/>
    <w:rsid w:val="00625591"/>
    <w:rsid w:val="006257FC"/>
    <w:rsid w:val="006258B8"/>
    <w:rsid w:val="00625B2D"/>
    <w:rsid w:val="00625EF4"/>
    <w:rsid w:val="00625F79"/>
    <w:rsid w:val="0062658D"/>
    <w:rsid w:val="00626E56"/>
    <w:rsid w:val="00627143"/>
    <w:rsid w:val="00627255"/>
    <w:rsid w:val="006274D1"/>
    <w:rsid w:val="006279DF"/>
    <w:rsid w:val="00627A82"/>
    <w:rsid w:val="00627CBA"/>
    <w:rsid w:val="006300D1"/>
    <w:rsid w:val="00630419"/>
    <w:rsid w:val="00630877"/>
    <w:rsid w:val="00630E3A"/>
    <w:rsid w:val="00631302"/>
    <w:rsid w:val="00631977"/>
    <w:rsid w:val="00631AE0"/>
    <w:rsid w:val="00631AF6"/>
    <w:rsid w:val="00631E09"/>
    <w:rsid w:val="00631F21"/>
    <w:rsid w:val="006320E5"/>
    <w:rsid w:val="00632279"/>
    <w:rsid w:val="006329AD"/>
    <w:rsid w:val="006329F8"/>
    <w:rsid w:val="00632FF2"/>
    <w:rsid w:val="0063324F"/>
    <w:rsid w:val="0063439D"/>
    <w:rsid w:val="0063443D"/>
    <w:rsid w:val="0063456C"/>
    <w:rsid w:val="00634968"/>
    <w:rsid w:val="00634D7B"/>
    <w:rsid w:val="00634E1A"/>
    <w:rsid w:val="00635166"/>
    <w:rsid w:val="00635235"/>
    <w:rsid w:val="0063570F"/>
    <w:rsid w:val="00636061"/>
    <w:rsid w:val="006360F5"/>
    <w:rsid w:val="0063639A"/>
    <w:rsid w:val="00636559"/>
    <w:rsid w:val="00636F4E"/>
    <w:rsid w:val="006370D6"/>
    <w:rsid w:val="0063711E"/>
    <w:rsid w:val="00637304"/>
    <w:rsid w:val="006376F5"/>
    <w:rsid w:val="00637948"/>
    <w:rsid w:val="00637B4E"/>
    <w:rsid w:val="00637C74"/>
    <w:rsid w:val="0064034F"/>
    <w:rsid w:val="00640E0B"/>
    <w:rsid w:val="00640E39"/>
    <w:rsid w:val="00641F86"/>
    <w:rsid w:val="0064257E"/>
    <w:rsid w:val="0064304B"/>
    <w:rsid w:val="00643089"/>
    <w:rsid w:val="006438BB"/>
    <w:rsid w:val="00643B8C"/>
    <w:rsid w:val="00643FFA"/>
    <w:rsid w:val="00644433"/>
    <w:rsid w:val="00644F26"/>
    <w:rsid w:val="006450AC"/>
    <w:rsid w:val="0064578F"/>
    <w:rsid w:val="00645B95"/>
    <w:rsid w:val="00645BB9"/>
    <w:rsid w:val="0064625B"/>
    <w:rsid w:val="006465FC"/>
    <w:rsid w:val="006474E4"/>
    <w:rsid w:val="00650241"/>
    <w:rsid w:val="006506F1"/>
    <w:rsid w:val="00650740"/>
    <w:rsid w:val="006508F6"/>
    <w:rsid w:val="00650C64"/>
    <w:rsid w:val="00651602"/>
    <w:rsid w:val="0065166E"/>
    <w:rsid w:val="006518E4"/>
    <w:rsid w:val="00651B8B"/>
    <w:rsid w:val="00652E5E"/>
    <w:rsid w:val="00653BA9"/>
    <w:rsid w:val="00653BED"/>
    <w:rsid w:val="00654728"/>
    <w:rsid w:val="00654C88"/>
    <w:rsid w:val="00654EC7"/>
    <w:rsid w:val="006550F8"/>
    <w:rsid w:val="0065557E"/>
    <w:rsid w:val="00655770"/>
    <w:rsid w:val="00655B5F"/>
    <w:rsid w:val="00655D86"/>
    <w:rsid w:val="00655EF7"/>
    <w:rsid w:val="00655F51"/>
    <w:rsid w:val="006561B1"/>
    <w:rsid w:val="006563B3"/>
    <w:rsid w:val="00656778"/>
    <w:rsid w:val="00656999"/>
    <w:rsid w:val="00656E6D"/>
    <w:rsid w:val="00657142"/>
    <w:rsid w:val="006573C1"/>
    <w:rsid w:val="0065752C"/>
    <w:rsid w:val="0066014D"/>
    <w:rsid w:val="006604CE"/>
    <w:rsid w:val="00661259"/>
    <w:rsid w:val="0066133A"/>
    <w:rsid w:val="0066138E"/>
    <w:rsid w:val="00661682"/>
    <w:rsid w:val="0066174D"/>
    <w:rsid w:val="00661777"/>
    <w:rsid w:val="0066181C"/>
    <w:rsid w:val="0066196B"/>
    <w:rsid w:val="00661A9B"/>
    <w:rsid w:val="00661BD4"/>
    <w:rsid w:val="00661E6B"/>
    <w:rsid w:val="006621D0"/>
    <w:rsid w:val="00662201"/>
    <w:rsid w:val="0066236E"/>
    <w:rsid w:val="00662D59"/>
    <w:rsid w:val="006633A4"/>
    <w:rsid w:val="006635AA"/>
    <w:rsid w:val="006635EE"/>
    <w:rsid w:val="00663768"/>
    <w:rsid w:val="00663CD5"/>
    <w:rsid w:val="00663D63"/>
    <w:rsid w:val="00663E72"/>
    <w:rsid w:val="00664439"/>
    <w:rsid w:val="00664835"/>
    <w:rsid w:val="00664962"/>
    <w:rsid w:val="00664A3C"/>
    <w:rsid w:val="00664B6D"/>
    <w:rsid w:val="00664D95"/>
    <w:rsid w:val="00664F8E"/>
    <w:rsid w:val="00665032"/>
    <w:rsid w:val="00665039"/>
    <w:rsid w:val="0066557D"/>
    <w:rsid w:val="00665916"/>
    <w:rsid w:val="00666141"/>
    <w:rsid w:val="00666357"/>
    <w:rsid w:val="0066652B"/>
    <w:rsid w:val="0066665F"/>
    <w:rsid w:val="00666914"/>
    <w:rsid w:val="0066698E"/>
    <w:rsid w:val="00666A98"/>
    <w:rsid w:val="00666ACD"/>
    <w:rsid w:val="00666C12"/>
    <w:rsid w:val="00666E75"/>
    <w:rsid w:val="0066724F"/>
    <w:rsid w:val="00667558"/>
    <w:rsid w:val="00667737"/>
    <w:rsid w:val="006679D8"/>
    <w:rsid w:val="00667A5D"/>
    <w:rsid w:val="00667C0D"/>
    <w:rsid w:val="00667CB3"/>
    <w:rsid w:val="00667E15"/>
    <w:rsid w:val="00667F17"/>
    <w:rsid w:val="00670054"/>
    <w:rsid w:val="00670218"/>
    <w:rsid w:val="00670351"/>
    <w:rsid w:val="006706B7"/>
    <w:rsid w:val="006707B2"/>
    <w:rsid w:val="00671037"/>
    <w:rsid w:val="00671289"/>
    <w:rsid w:val="00671292"/>
    <w:rsid w:val="00671431"/>
    <w:rsid w:val="00671513"/>
    <w:rsid w:val="00671614"/>
    <w:rsid w:val="00671762"/>
    <w:rsid w:val="00671946"/>
    <w:rsid w:val="0067194E"/>
    <w:rsid w:val="0067199F"/>
    <w:rsid w:val="00671E2F"/>
    <w:rsid w:val="00671FB4"/>
    <w:rsid w:val="006720C8"/>
    <w:rsid w:val="006721BA"/>
    <w:rsid w:val="00672336"/>
    <w:rsid w:val="00672B15"/>
    <w:rsid w:val="00672D58"/>
    <w:rsid w:val="00672DF1"/>
    <w:rsid w:val="00672E87"/>
    <w:rsid w:val="00672F3E"/>
    <w:rsid w:val="00673BBE"/>
    <w:rsid w:val="006747E5"/>
    <w:rsid w:val="006749AC"/>
    <w:rsid w:val="00674CE4"/>
    <w:rsid w:val="00674EEC"/>
    <w:rsid w:val="00675730"/>
    <w:rsid w:val="00675BFA"/>
    <w:rsid w:val="00675EA5"/>
    <w:rsid w:val="00675EF5"/>
    <w:rsid w:val="00676133"/>
    <w:rsid w:val="00676831"/>
    <w:rsid w:val="00676875"/>
    <w:rsid w:val="00676BA0"/>
    <w:rsid w:val="00677147"/>
    <w:rsid w:val="00677172"/>
    <w:rsid w:val="006771E9"/>
    <w:rsid w:val="00677247"/>
    <w:rsid w:val="00677353"/>
    <w:rsid w:val="00677776"/>
    <w:rsid w:val="00677B24"/>
    <w:rsid w:val="00677DBE"/>
    <w:rsid w:val="006801A2"/>
    <w:rsid w:val="0068039E"/>
    <w:rsid w:val="00680431"/>
    <w:rsid w:val="00680528"/>
    <w:rsid w:val="00681039"/>
    <w:rsid w:val="0068143D"/>
    <w:rsid w:val="006815A2"/>
    <w:rsid w:val="00681820"/>
    <w:rsid w:val="00681B63"/>
    <w:rsid w:val="00681B69"/>
    <w:rsid w:val="00681BA0"/>
    <w:rsid w:val="00681BA6"/>
    <w:rsid w:val="00681F26"/>
    <w:rsid w:val="00681FD1"/>
    <w:rsid w:val="006820C4"/>
    <w:rsid w:val="00682666"/>
    <w:rsid w:val="006828AD"/>
    <w:rsid w:val="00682BF8"/>
    <w:rsid w:val="00682FBE"/>
    <w:rsid w:val="0068338A"/>
    <w:rsid w:val="00683399"/>
    <w:rsid w:val="00683DCE"/>
    <w:rsid w:val="00683EE0"/>
    <w:rsid w:val="006844B2"/>
    <w:rsid w:val="00684610"/>
    <w:rsid w:val="00684697"/>
    <w:rsid w:val="006848FA"/>
    <w:rsid w:val="00684901"/>
    <w:rsid w:val="006851C9"/>
    <w:rsid w:val="006853E2"/>
    <w:rsid w:val="00685531"/>
    <w:rsid w:val="00685890"/>
    <w:rsid w:val="00685B28"/>
    <w:rsid w:val="00685B70"/>
    <w:rsid w:val="00686172"/>
    <w:rsid w:val="0068672E"/>
    <w:rsid w:val="0068685B"/>
    <w:rsid w:val="00686C42"/>
    <w:rsid w:val="00686D18"/>
    <w:rsid w:val="00686D20"/>
    <w:rsid w:val="00686E4E"/>
    <w:rsid w:val="00687677"/>
    <w:rsid w:val="00687B99"/>
    <w:rsid w:val="00687BBA"/>
    <w:rsid w:val="00690312"/>
    <w:rsid w:val="00690AC7"/>
    <w:rsid w:val="00690C13"/>
    <w:rsid w:val="00690EC2"/>
    <w:rsid w:val="00690F29"/>
    <w:rsid w:val="006910E5"/>
    <w:rsid w:val="00691393"/>
    <w:rsid w:val="0069170A"/>
    <w:rsid w:val="00691F6D"/>
    <w:rsid w:val="0069228C"/>
    <w:rsid w:val="0069247C"/>
    <w:rsid w:val="00692500"/>
    <w:rsid w:val="006926EC"/>
    <w:rsid w:val="0069272C"/>
    <w:rsid w:val="00692A20"/>
    <w:rsid w:val="00692AED"/>
    <w:rsid w:val="00692D47"/>
    <w:rsid w:val="00692D6D"/>
    <w:rsid w:val="00692E96"/>
    <w:rsid w:val="0069312C"/>
    <w:rsid w:val="00693377"/>
    <w:rsid w:val="0069340F"/>
    <w:rsid w:val="00693787"/>
    <w:rsid w:val="0069381D"/>
    <w:rsid w:val="006940DC"/>
    <w:rsid w:val="00694477"/>
    <w:rsid w:val="006944F8"/>
    <w:rsid w:val="00694529"/>
    <w:rsid w:val="00694AF6"/>
    <w:rsid w:val="00694E1F"/>
    <w:rsid w:val="00694F1E"/>
    <w:rsid w:val="00695B60"/>
    <w:rsid w:val="00695CBC"/>
    <w:rsid w:val="0069610D"/>
    <w:rsid w:val="006962E3"/>
    <w:rsid w:val="006963F3"/>
    <w:rsid w:val="00696A33"/>
    <w:rsid w:val="00696C1F"/>
    <w:rsid w:val="0069741E"/>
    <w:rsid w:val="0069741F"/>
    <w:rsid w:val="00697C6D"/>
    <w:rsid w:val="006A0035"/>
    <w:rsid w:val="006A00B6"/>
    <w:rsid w:val="006A04DB"/>
    <w:rsid w:val="006A0524"/>
    <w:rsid w:val="006A058C"/>
    <w:rsid w:val="006A070E"/>
    <w:rsid w:val="006A11A2"/>
    <w:rsid w:val="006A1687"/>
    <w:rsid w:val="006A1914"/>
    <w:rsid w:val="006A1A14"/>
    <w:rsid w:val="006A2012"/>
    <w:rsid w:val="006A290E"/>
    <w:rsid w:val="006A2B1E"/>
    <w:rsid w:val="006A317D"/>
    <w:rsid w:val="006A353C"/>
    <w:rsid w:val="006A4022"/>
    <w:rsid w:val="006A4A56"/>
    <w:rsid w:val="006A4DFE"/>
    <w:rsid w:val="006A4FD0"/>
    <w:rsid w:val="006A50B7"/>
    <w:rsid w:val="006A5116"/>
    <w:rsid w:val="006A5314"/>
    <w:rsid w:val="006A5364"/>
    <w:rsid w:val="006A545B"/>
    <w:rsid w:val="006A554C"/>
    <w:rsid w:val="006A55E5"/>
    <w:rsid w:val="006A63F8"/>
    <w:rsid w:val="006A649B"/>
    <w:rsid w:val="006A6949"/>
    <w:rsid w:val="006A6F0A"/>
    <w:rsid w:val="006A7027"/>
    <w:rsid w:val="006A71A4"/>
    <w:rsid w:val="006A7246"/>
    <w:rsid w:val="006A7715"/>
    <w:rsid w:val="006A7D44"/>
    <w:rsid w:val="006A7FD7"/>
    <w:rsid w:val="006B0336"/>
    <w:rsid w:val="006B0437"/>
    <w:rsid w:val="006B06EB"/>
    <w:rsid w:val="006B08A2"/>
    <w:rsid w:val="006B0F23"/>
    <w:rsid w:val="006B117F"/>
    <w:rsid w:val="006B11CE"/>
    <w:rsid w:val="006B1585"/>
    <w:rsid w:val="006B1761"/>
    <w:rsid w:val="006B19A7"/>
    <w:rsid w:val="006B1A4D"/>
    <w:rsid w:val="006B1CA3"/>
    <w:rsid w:val="006B1CDB"/>
    <w:rsid w:val="006B1D8E"/>
    <w:rsid w:val="006B206E"/>
    <w:rsid w:val="006B241C"/>
    <w:rsid w:val="006B25E2"/>
    <w:rsid w:val="006B25FC"/>
    <w:rsid w:val="006B2610"/>
    <w:rsid w:val="006B27C5"/>
    <w:rsid w:val="006B2DB5"/>
    <w:rsid w:val="006B382D"/>
    <w:rsid w:val="006B38FA"/>
    <w:rsid w:val="006B3BF9"/>
    <w:rsid w:val="006B404D"/>
    <w:rsid w:val="006B42D7"/>
    <w:rsid w:val="006B495D"/>
    <w:rsid w:val="006B4C46"/>
    <w:rsid w:val="006B4F3B"/>
    <w:rsid w:val="006B52A0"/>
    <w:rsid w:val="006B55B9"/>
    <w:rsid w:val="006B56EC"/>
    <w:rsid w:val="006B571E"/>
    <w:rsid w:val="006B6044"/>
    <w:rsid w:val="006B6633"/>
    <w:rsid w:val="006B66D8"/>
    <w:rsid w:val="006B6971"/>
    <w:rsid w:val="006B69C7"/>
    <w:rsid w:val="006B6CD7"/>
    <w:rsid w:val="006B6D9A"/>
    <w:rsid w:val="006B6E1F"/>
    <w:rsid w:val="006B72B4"/>
    <w:rsid w:val="006B739F"/>
    <w:rsid w:val="006B740A"/>
    <w:rsid w:val="006B742D"/>
    <w:rsid w:val="006B74DD"/>
    <w:rsid w:val="006B7972"/>
    <w:rsid w:val="006B7DD7"/>
    <w:rsid w:val="006B7FB0"/>
    <w:rsid w:val="006C07BF"/>
    <w:rsid w:val="006C097C"/>
    <w:rsid w:val="006C0EAC"/>
    <w:rsid w:val="006C1AFF"/>
    <w:rsid w:val="006C1BBB"/>
    <w:rsid w:val="006C1D06"/>
    <w:rsid w:val="006C1F7F"/>
    <w:rsid w:val="006C2698"/>
    <w:rsid w:val="006C27E5"/>
    <w:rsid w:val="006C2A13"/>
    <w:rsid w:val="006C2DDA"/>
    <w:rsid w:val="006C3E39"/>
    <w:rsid w:val="006C420E"/>
    <w:rsid w:val="006C429E"/>
    <w:rsid w:val="006C437A"/>
    <w:rsid w:val="006C45CA"/>
    <w:rsid w:val="006C45CB"/>
    <w:rsid w:val="006C4A8A"/>
    <w:rsid w:val="006C4E30"/>
    <w:rsid w:val="006C505F"/>
    <w:rsid w:val="006C5356"/>
    <w:rsid w:val="006C5364"/>
    <w:rsid w:val="006C5529"/>
    <w:rsid w:val="006C569C"/>
    <w:rsid w:val="006C58EF"/>
    <w:rsid w:val="006C59F5"/>
    <w:rsid w:val="006C65B4"/>
    <w:rsid w:val="006C68E0"/>
    <w:rsid w:val="006C6A22"/>
    <w:rsid w:val="006C6C62"/>
    <w:rsid w:val="006C706C"/>
    <w:rsid w:val="006C7F25"/>
    <w:rsid w:val="006D01DB"/>
    <w:rsid w:val="006D0382"/>
    <w:rsid w:val="006D084D"/>
    <w:rsid w:val="006D097A"/>
    <w:rsid w:val="006D0AE1"/>
    <w:rsid w:val="006D2148"/>
    <w:rsid w:val="006D2392"/>
    <w:rsid w:val="006D2455"/>
    <w:rsid w:val="006D2B3D"/>
    <w:rsid w:val="006D2D3B"/>
    <w:rsid w:val="006D303C"/>
    <w:rsid w:val="006D32CA"/>
    <w:rsid w:val="006D3947"/>
    <w:rsid w:val="006D3AEC"/>
    <w:rsid w:val="006D3D7D"/>
    <w:rsid w:val="006D3EF2"/>
    <w:rsid w:val="006D417C"/>
    <w:rsid w:val="006D493E"/>
    <w:rsid w:val="006D4B8E"/>
    <w:rsid w:val="006D4E12"/>
    <w:rsid w:val="006D4E2F"/>
    <w:rsid w:val="006D4F5C"/>
    <w:rsid w:val="006D5C58"/>
    <w:rsid w:val="006D5D1B"/>
    <w:rsid w:val="006D6054"/>
    <w:rsid w:val="006D6213"/>
    <w:rsid w:val="006D636C"/>
    <w:rsid w:val="006D6755"/>
    <w:rsid w:val="006D6763"/>
    <w:rsid w:val="006D6A1F"/>
    <w:rsid w:val="006D6AF4"/>
    <w:rsid w:val="006D6C36"/>
    <w:rsid w:val="006D6CAC"/>
    <w:rsid w:val="006D6CB7"/>
    <w:rsid w:val="006D6DC9"/>
    <w:rsid w:val="006D6F2E"/>
    <w:rsid w:val="006D70C4"/>
    <w:rsid w:val="006D74E8"/>
    <w:rsid w:val="006D7E12"/>
    <w:rsid w:val="006E0304"/>
    <w:rsid w:val="006E07C5"/>
    <w:rsid w:val="006E1304"/>
    <w:rsid w:val="006E1349"/>
    <w:rsid w:val="006E15E7"/>
    <w:rsid w:val="006E20CB"/>
    <w:rsid w:val="006E215D"/>
    <w:rsid w:val="006E25DB"/>
    <w:rsid w:val="006E2654"/>
    <w:rsid w:val="006E2A01"/>
    <w:rsid w:val="006E2CE2"/>
    <w:rsid w:val="006E2D8C"/>
    <w:rsid w:val="006E2EF4"/>
    <w:rsid w:val="006E3009"/>
    <w:rsid w:val="006E350A"/>
    <w:rsid w:val="006E371A"/>
    <w:rsid w:val="006E3ADE"/>
    <w:rsid w:val="006E4228"/>
    <w:rsid w:val="006E44C9"/>
    <w:rsid w:val="006E45CA"/>
    <w:rsid w:val="006E47C1"/>
    <w:rsid w:val="006E4BBB"/>
    <w:rsid w:val="006E4DD1"/>
    <w:rsid w:val="006E501D"/>
    <w:rsid w:val="006E5915"/>
    <w:rsid w:val="006E5AEE"/>
    <w:rsid w:val="006E6189"/>
    <w:rsid w:val="006E63F4"/>
    <w:rsid w:val="006E64B0"/>
    <w:rsid w:val="006E651C"/>
    <w:rsid w:val="006E6548"/>
    <w:rsid w:val="006E6640"/>
    <w:rsid w:val="006E6839"/>
    <w:rsid w:val="006E6CA3"/>
    <w:rsid w:val="006E6D0E"/>
    <w:rsid w:val="006E6DFF"/>
    <w:rsid w:val="006E6F69"/>
    <w:rsid w:val="006E7248"/>
    <w:rsid w:val="006E7362"/>
    <w:rsid w:val="006E74A4"/>
    <w:rsid w:val="006E74D4"/>
    <w:rsid w:val="006E7743"/>
    <w:rsid w:val="006F04A9"/>
    <w:rsid w:val="006F04F3"/>
    <w:rsid w:val="006F0737"/>
    <w:rsid w:val="006F09B6"/>
    <w:rsid w:val="006F1247"/>
    <w:rsid w:val="006F13E7"/>
    <w:rsid w:val="006F14A3"/>
    <w:rsid w:val="006F1501"/>
    <w:rsid w:val="006F166B"/>
    <w:rsid w:val="006F199C"/>
    <w:rsid w:val="006F1C77"/>
    <w:rsid w:val="006F1FB7"/>
    <w:rsid w:val="006F22FA"/>
    <w:rsid w:val="006F2373"/>
    <w:rsid w:val="006F2929"/>
    <w:rsid w:val="006F2A5D"/>
    <w:rsid w:val="006F30AF"/>
    <w:rsid w:val="006F3283"/>
    <w:rsid w:val="006F344E"/>
    <w:rsid w:val="006F34CE"/>
    <w:rsid w:val="006F397D"/>
    <w:rsid w:val="006F39D8"/>
    <w:rsid w:val="006F4291"/>
    <w:rsid w:val="006F42F4"/>
    <w:rsid w:val="006F4536"/>
    <w:rsid w:val="006F4D34"/>
    <w:rsid w:val="006F5242"/>
    <w:rsid w:val="006F5669"/>
    <w:rsid w:val="006F5A58"/>
    <w:rsid w:val="006F5CC8"/>
    <w:rsid w:val="006F6D20"/>
    <w:rsid w:val="006F72B8"/>
    <w:rsid w:val="006F7627"/>
    <w:rsid w:val="006F7737"/>
    <w:rsid w:val="006F7D8D"/>
    <w:rsid w:val="006F7DAA"/>
    <w:rsid w:val="00700490"/>
    <w:rsid w:val="00700B29"/>
    <w:rsid w:val="00700BEE"/>
    <w:rsid w:val="00700E6C"/>
    <w:rsid w:val="0070106A"/>
    <w:rsid w:val="0070145A"/>
    <w:rsid w:val="00701720"/>
    <w:rsid w:val="00701BAE"/>
    <w:rsid w:val="00701D54"/>
    <w:rsid w:val="00701E87"/>
    <w:rsid w:val="00702375"/>
    <w:rsid w:val="00702994"/>
    <w:rsid w:val="00702CA4"/>
    <w:rsid w:val="00703A42"/>
    <w:rsid w:val="00703BD7"/>
    <w:rsid w:val="0070417A"/>
    <w:rsid w:val="007041A4"/>
    <w:rsid w:val="00705249"/>
    <w:rsid w:val="00705688"/>
    <w:rsid w:val="00705AAB"/>
    <w:rsid w:val="0070688A"/>
    <w:rsid w:val="00706B12"/>
    <w:rsid w:val="00706BD0"/>
    <w:rsid w:val="00706ECD"/>
    <w:rsid w:val="0070796D"/>
    <w:rsid w:val="00707F67"/>
    <w:rsid w:val="007104E4"/>
    <w:rsid w:val="00710FE9"/>
    <w:rsid w:val="007113B1"/>
    <w:rsid w:val="007113CE"/>
    <w:rsid w:val="00711608"/>
    <w:rsid w:val="0071164D"/>
    <w:rsid w:val="007116A1"/>
    <w:rsid w:val="00711703"/>
    <w:rsid w:val="0071201E"/>
    <w:rsid w:val="00712024"/>
    <w:rsid w:val="007127ED"/>
    <w:rsid w:val="00712EAB"/>
    <w:rsid w:val="007138CC"/>
    <w:rsid w:val="007139F0"/>
    <w:rsid w:val="00713ACE"/>
    <w:rsid w:val="00713E76"/>
    <w:rsid w:val="00713EE2"/>
    <w:rsid w:val="007142D4"/>
    <w:rsid w:val="0071434B"/>
    <w:rsid w:val="0071482E"/>
    <w:rsid w:val="0071496D"/>
    <w:rsid w:val="00714A88"/>
    <w:rsid w:val="00714C07"/>
    <w:rsid w:val="00714C17"/>
    <w:rsid w:val="00714F57"/>
    <w:rsid w:val="0071577B"/>
    <w:rsid w:val="0071598B"/>
    <w:rsid w:val="00715AFB"/>
    <w:rsid w:val="00715EB5"/>
    <w:rsid w:val="00716331"/>
    <w:rsid w:val="00716340"/>
    <w:rsid w:val="007165FD"/>
    <w:rsid w:val="00716609"/>
    <w:rsid w:val="0071660F"/>
    <w:rsid w:val="00716A23"/>
    <w:rsid w:val="00716B05"/>
    <w:rsid w:val="007172A3"/>
    <w:rsid w:val="007175A2"/>
    <w:rsid w:val="007177D6"/>
    <w:rsid w:val="00720105"/>
    <w:rsid w:val="0072010D"/>
    <w:rsid w:val="00720A02"/>
    <w:rsid w:val="00720B72"/>
    <w:rsid w:val="007213AA"/>
    <w:rsid w:val="00721574"/>
    <w:rsid w:val="00721D01"/>
    <w:rsid w:val="0072218D"/>
    <w:rsid w:val="007221FB"/>
    <w:rsid w:val="00722274"/>
    <w:rsid w:val="00722482"/>
    <w:rsid w:val="00722671"/>
    <w:rsid w:val="007227C8"/>
    <w:rsid w:val="007228CD"/>
    <w:rsid w:val="00722901"/>
    <w:rsid w:val="007229B2"/>
    <w:rsid w:val="0072328B"/>
    <w:rsid w:val="0072337B"/>
    <w:rsid w:val="00723735"/>
    <w:rsid w:val="00723766"/>
    <w:rsid w:val="00723970"/>
    <w:rsid w:val="00723A84"/>
    <w:rsid w:val="00723E24"/>
    <w:rsid w:val="007249EA"/>
    <w:rsid w:val="00724C0C"/>
    <w:rsid w:val="00724F4F"/>
    <w:rsid w:val="00724F85"/>
    <w:rsid w:val="00725664"/>
    <w:rsid w:val="007259C2"/>
    <w:rsid w:val="00725CA0"/>
    <w:rsid w:val="0072609E"/>
    <w:rsid w:val="0072633B"/>
    <w:rsid w:val="00726DAC"/>
    <w:rsid w:val="007271A9"/>
    <w:rsid w:val="00727298"/>
    <w:rsid w:val="0072732E"/>
    <w:rsid w:val="00727749"/>
    <w:rsid w:val="00727F6A"/>
    <w:rsid w:val="00730149"/>
    <w:rsid w:val="0073016B"/>
    <w:rsid w:val="007302FF"/>
    <w:rsid w:val="0073036E"/>
    <w:rsid w:val="007308D7"/>
    <w:rsid w:val="00730C55"/>
    <w:rsid w:val="007316A4"/>
    <w:rsid w:val="0073175E"/>
    <w:rsid w:val="0073177C"/>
    <w:rsid w:val="00731AE7"/>
    <w:rsid w:val="00731E1C"/>
    <w:rsid w:val="00732045"/>
    <w:rsid w:val="007321A7"/>
    <w:rsid w:val="007322C6"/>
    <w:rsid w:val="00732392"/>
    <w:rsid w:val="00732497"/>
    <w:rsid w:val="00732618"/>
    <w:rsid w:val="007329EC"/>
    <w:rsid w:val="00732C7D"/>
    <w:rsid w:val="00732D16"/>
    <w:rsid w:val="00732E58"/>
    <w:rsid w:val="00733939"/>
    <w:rsid w:val="00735246"/>
    <w:rsid w:val="00735ABC"/>
    <w:rsid w:val="0073630D"/>
    <w:rsid w:val="007366DB"/>
    <w:rsid w:val="0073697D"/>
    <w:rsid w:val="00736A64"/>
    <w:rsid w:val="0073707D"/>
    <w:rsid w:val="007374E6"/>
    <w:rsid w:val="00737986"/>
    <w:rsid w:val="00737BC7"/>
    <w:rsid w:val="0074044E"/>
    <w:rsid w:val="0074045E"/>
    <w:rsid w:val="0074047E"/>
    <w:rsid w:val="0074060B"/>
    <w:rsid w:val="007407ED"/>
    <w:rsid w:val="00740C7D"/>
    <w:rsid w:val="00740C88"/>
    <w:rsid w:val="00740CC6"/>
    <w:rsid w:val="00740CF0"/>
    <w:rsid w:val="00740D90"/>
    <w:rsid w:val="00740EC0"/>
    <w:rsid w:val="00741007"/>
    <w:rsid w:val="0074149D"/>
    <w:rsid w:val="00741A01"/>
    <w:rsid w:val="00741F55"/>
    <w:rsid w:val="0074220E"/>
    <w:rsid w:val="0074246A"/>
    <w:rsid w:val="0074247E"/>
    <w:rsid w:val="00742BD2"/>
    <w:rsid w:val="00742CB5"/>
    <w:rsid w:val="00743077"/>
    <w:rsid w:val="007434D1"/>
    <w:rsid w:val="0074364A"/>
    <w:rsid w:val="00743BAB"/>
    <w:rsid w:val="007440D5"/>
    <w:rsid w:val="00744C7D"/>
    <w:rsid w:val="00744D9E"/>
    <w:rsid w:val="0074531D"/>
    <w:rsid w:val="00745400"/>
    <w:rsid w:val="00745C4D"/>
    <w:rsid w:val="00746002"/>
    <w:rsid w:val="007460BD"/>
    <w:rsid w:val="00746130"/>
    <w:rsid w:val="0074637C"/>
    <w:rsid w:val="00746592"/>
    <w:rsid w:val="007466E0"/>
    <w:rsid w:val="0074731F"/>
    <w:rsid w:val="0074746C"/>
    <w:rsid w:val="00747667"/>
    <w:rsid w:val="00747815"/>
    <w:rsid w:val="00747ACD"/>
    <w:rsid w:val="00747DA7"/>
    <w:rsid w:val="00747E43"/>
    <w:rsid w:val="00750726"/>
    <w:rsid w:val="00750ED3"/>
    <w:rsid w:val="007510E8"/>
    <w:rsid w:val="00751544"/>
    <w:rsid w:val="007515EB"/>
    <w:rsid w:val="00751FFC"/>
    <w:rsid w:val="00752222"/>
    <w:rsid w:val="0075265C"/>
    <w:rsid w:val="00752820"/>
    <w:rsid w:val="0075298F"/>
    <w:rsid w:val="00752B16"/>
    <w:rsid w:val="00752B5D"/>
    <w:rsid w:val="00752C3D"/>
    <w:rsid w:val="00753044"/>
    <w:rsid w:val="00753B4C"/>
    <w:rsid w:val="00753E9E"/>
    <w:rsid w:val="00754948"/>
    <w:rsid w:val="00754994"/>
    <w:rsid w:val="00754C92"/>
    <w:rsid w:val="0075597E"/>
    <w:rsid w:val="0075618B"/>
    <w:rsid w:val="0075643A"/>
    <w:rsid w:val="0075687A"/>
    <w:rsid w:val="00756EED"/>
    <w:rsid w:val="007578DC"/>
    <w:rsid w:val="00757AA8"/>
    <w:rsid w:val="00760CD9"/>
    <w:rsid w:val="00760F7C"/>
    <w:rsid w:val="00761186"/>
    <w:rsid w:val="00761461"/>
    <w:rsid w:val="007614FE"/>
    <w:rsid w:val="00761D9C"/>
    <w:rsid w:val="00761DDD"/>
    <w:rsid w:val="0076212A"/>
    <w:rsid w:val="00762691"/>
    <w:rsid w:val="007627B1"/>
    <w:rsid w:val="007628A2"/>
    <w:rsid w:val="00762D49"/>
    <w:rsid w:val="00763214"/>
    <w:rsid w:val="007633A0"/>
    <w:rsid w:val="0076344F"/>
    <w:rsid w:val="007635F9"/>
    <w:rsid w:val="00763692"/>
    <w:rsid w:val="007636A5"/>
    <w:rsid w:val="00763A6F"/>
    <w:rsid w:val="00764239"/>
    <w:rsid w:val="00764C15"/>
    <w:rsid w:val="00764CDB"/>
    <w:rsid w:val="00765168"/>
    <w:rsid w:val="00765271"/>
    <w:rsid w:val="007652FB"/>
    <w:rsid w:val="00765B18"/>
    <w:rsid w:val="00765C03"/>
    <w:rsid w:val="00765CF3"/>
    <w:rsid w:val="0076633C"/>
    <w:rsid w:val="007665A6"/>
    <w:rsid w:val="0076662A"/>
    <w:rsid w:val="00766CD5"/>
    <w:rsid w:val="007676BB"/>
    <w:rsid w:val="007678FF"/>
    <w:rsid w:val="0077028D"/>
    <w:rsid w:val="00770554"/>
    <w:rsid w:val="00770881"/>
    <w:rsid w:val="007709DE"/>
    <w:rsid w:val="00771E44"/>
    <w:rsid w:val="007720BD"/>
    <w:rsid w:val="007723FD"/>
    <w:rsid w:val="0077275C"/>
    <w:rsid w:val="007727FD"/>
    <w:rsid w:val="00772A03"/>
    <w:rsid w:val="00772BBF"/>
    <w:rsid w:val="00772EEC"/>
    <w:rsid w:val="00773BC3"/>
    <w:rsid w:val="00773F4B"/>
    <w:rsid w:val="007743CF"/>
    <w:rsid w:val="007746C9"/>
    <w:rsid w:val="007747F7"/>
    <w:rsid w:val="0077492C"/>
    <w:rsid w:val="00774A18"/>
    <w:rsid w:val="00774BEC"/>
    <w:rsid w:val="00774C86"/>
    <w:rsid w:val="00774F89"/>
    <w:rsid w:val="007750CC"/>
    <w:rsid w:val="007752E1"/>
    <w:rsid w:val="00775634"/>
    <w:rsid w:val="00775C1D"/>
    <w:rsid w:val="00775FAD"/>
    <w:rsid w:val="0077600E"/>
    <w:rsid w:val="0077619C"/>
    <w:rsid w:val="00776257"/>
    <w:rsid w:val="007765D1"/>
    <w:rsid w:val="00776926"/>
    <w:rsid w:val="007769B4"/>
    <w:rsid w:val="00776A31"/>
    <w:rsid w:val="00776E7D"/>
    <w:rsid w:val="00777239"/>
    <w:rsid w:val="007775E5"/>
    <w:rsid w:val="00777C69"/>
    <w:rsid w:val="00777E74"/>
    <w:rsid w:val="00780304"/>
    <w:rsid w:val="00780521"/>
    <w:rsid w:val="00780DB1"/>
    <w:rsid w:val="0078100C"/>
    <w:rsid w:val="00781079"/>
    <w:rsid w:val="00781102"/>
    <w:rsid w:val="0078113B"/>
    <w:rsid w:val="007811C2"/>
    <w:rsid w:val="0078171B"/>
    <w:rsid w:val="007819FB"/>
    <w:rsid w:val="00781AA4"/>
    <w:rsid w:val="007833AA"/>
    <w:rsid w:val="00783AF9"/>
    <w:rsid w:val="00783DDE"/>
    <w:rsid w:val="00783E1D"/>
    <w:rsid w:val="00783F56"/>
    <w:rsid w:val="0078419A"/>
    <w:rsid w:val="0078427B"/>
    <w:rsid w:val="00784618"/>
    <w:rsid w:val="00784BCD"/>
    <w:rsid w:val="00784F98"/>
    <w:rsid w:val="007851A6"/>
    <w:rsid w:val="00785358"/>
    <w:rsid w:val="007853A8"/>
    <w:rsid w:val="00785533"/>
    <w:rsid w:val="007855D5"/>
    <w:rsid w:val="00785750"/>
    <w:rsid w:val="00785866"/>
    <w:rsid w:val="00785B63"/>
    <w:rsid w:val="00785EC4"/>
    <w:rsid w:val="00785EF5"/>
    <w:rsid w:val="00786444"/>
    <w:rsid w:val="00786575"/>
    <w:rsid w:val="00786890"/>
    <w:rsid w:val="007869C2"/>
    <w:rsid w:val="00786C76"/>
    <w:rsid w:val="00786D1D"/>
    <w:rsid w:val="00786D3E"/>
    <w:rsid w:val="00786E65"/>
    <w:rsid w:val="007872D0"/>
    <w:rsid w:val="007878CD"/>
    <w:rsid w:val="00787984"/>
    <w:rsid w:val="00787A16"/>
    <w:rsid w:val="00787C40"/>
    <w:rsid w:val="00787E0C"/>
    <w:rsid w:val="00787F7C"/>
    <w:rsid w:val="007901F6"/>
    <w:rsid w:val="0079039D"/>
    <w:rsid w:val="007903DC"/>
    <w:rsid w:val="0079087E"/>
    <w:rsid w:val="00790E5E"/>
    <w:rsid w:val="00791414"/>
    <w:rsid w:val="007915A5"/>
    <w:rsid w:val="007916CB"/>
    <w:rsid w:val="00791AE7"/>
    <w:rsid w:val="00791AFF"/>
    <w:rsid w:val="00791B2F"/>
    <w:rsid w:val="00791D47"/>
    <w:rsid w:val="007925EA"/>
    <w:rsid w:val="0079291A"/>
    <w:rsid w:val="007931C3"/>
    <w:rsid w:val="00793532"/>
    <w:rsid w:val="00793A1A"/>
    <w:rsid w:val="00793C01"/>
    <w:rsid w:val="00793C45"/>
    <w:rsid w:val="00793DF8"/>
    <w:rsid w:val="00794083"/>
    <w:rsid w:val="00794251"/>
    <w:rsid w:val="00794382"/>
    <w:rsid w:val="007943B9"/>
    <w:rsid w:val="00794490"/>
    <w:rsid w:val="00794509"/>
    <w:rsid w:val="007945D0"/>
    <w:rsid w:val="00794706"/>
    <w:rsid w:val="00794D00"/>
    <w:rsid w:val="00794D66"/>
    <w:rsid w:val="00795CE2"/>
    <w:rsid w:val="00795DC1"/>
    <w:rsid w:val="00795E77"/>
    <w:rsid w:val="00796258"/>
    <w:rsid w:val="007962F4"/>
    <w:rsid w:val="00796547"/>
    <w:rsid w:val="00796768"/>
    <w:rsid w:val="00796ACD"/>
    <w:rsid w:val="00796B83"/>
    <w:rsid w:val="00796E58"/>
    <w:rsid w:val="00796EC8"/>
    <w:rsid w:val="00797979"/>
    <w:rsid w:val="00797B1D"/>
    <w:rsid w:val="00797C58"/>
    <w:rsid w:val="007A0816"/>
    <w:rsid w:val="007A0B8E"/>
    <w:rsid w:val="007A11D8"/>
    <w:rsid w:val="007A1214"/>
    <w:rsid w:val="007A129E"/>
    <w:rsid w:val="007A1457"/>
    <w:rsid w:val="007A184B"/>
    <w:rsid w:val="007A1962"/>
    <w:rsid w:val="007A1A6F"/>
    <w:rsid w:val="007A1D4A"/>
    <w:rsid w:val="007A1EB2"/>
    <w:rsid w:val="007A21D5"/>
    <w:rsid w:val="007A262D"/>
    <w:rsid w:val="007A2AF0"/>
    <w:rsid w:val="007A2EEB"/>
    <w:rsid w:val="007A38C8"/>
    <w:rsid w:val="007A397D"/>
    <w:rsid w:val="007A3B87"/>
    <w:rsid w:val="007A3D97"/>
    <w:rsid w:val="007A3E2D"/>
    <w:rsid w:val="007A42E9"/>
    <w:rsid w:val="007A5371"/>
    <w:rsid w:val="007A5519"/>
    <w:rsid w:val="007A5584"/>
    <w:rsid w:val="007A57CA"/>
    <w:rsid w:val="007A5B34"/>
    <w:rsid w:val="007A5C9A"/>
    <w:rsid w:val="007A5D79"/>
    <w:rsid w:val="007A61B9"/>
    <w:rsid w:val="007A664B"/>
    <w:rsid w:val="007A69E6"/>
    <w:rsid w:val="007A6B2B"/>
    <w:rsid w:val="007A6B88"/>
    <w:rsid w:val="007A6C57"/>
    <w:rsid w:val="007A6CF8"/>
    <w:rsid w:val="007A6F14"/>
    <w:rsid w:val="007A7487"/>
    <w:rsid w:val="007A765B"/>
    <w:rsid w:val="007A7878"/>
    <w:rsid w:val="007A78CC"/>
    <w:rsid w:val="007A7B0F"/>
    <w:rsid w:val="007B0004"/>
    <w:rsid w:val="007B0860"/>
    <w:rsid w:val="007B10AC"/>
    <w:rsid w:val="007B14B6"/>
    <w:rsid w:val="007B172E"/>
    <w:rsid w:val="007B1E2F"/>
    <w:rsid w:val="007B1F63"/>
    <w:rsid w:val="007B1FEF"/>
    <w:rsid w:val="007B2087"/>
    <w:rsid w:val="007B2999"/>
    <w:rsid w:val="007B2A79"/>
    <w:rsid w:val="007B3572"/>
    <w:rsid w:val="007B36D5"/>
    <w:rsid w:val="007B3F8A"/>
    <w:rsid w:val="007B44B6"/>
    <w:rsid w:val="007B4A29"/>
    <w:rsid w:val="007B4B24"/>
    <w:rsid w:val="007B4DD9"/>
    <w:rsid w:val="007B57F1"/>
    <w:rsid w:val="007B5B54"/>
    <w:rsid w:val="007B601F"/>
    <w:rsid w:val="007B6084"/>
    <w:rsid w:val="007B65BB"/>
    <w:rsid w:val="007B6A80"/>
    <w:rsid w:val="007B6C01"/>
    <w:rsid w:val="007B6D2C"/>
    <w:rsid w:val="007B6E88"/>
    <w:rsid w:val="007B798C"/>
    <w:rsid w:val="007C03A9"/>
    <w:rsid w:val="007C0505"/>
    <w:rsid w:val="007C06FE"/>
    <w:rsid w:val="007C0900"/>
    <w:rsid w:val="007C0F70"/>
    <w:rsid w:val="007C1212"/>
    <w:rsid w:val="007C1556"/>
    <w:rsid w:val="007C15B5"/>
    <w:rsid w:val="007C1618"/>
    <w:rsid w:val="007C1BE7"/>
    <w:rsid w:val="007C1DCD"/>
    <w:rsid w:val="007C2017"/>
    <w:rsid w:val="007C2C11"/>
    <w:rsid w:val="007C2CB2"/>
    <w:rsid w:val="007C2D62"/>
    <w:rsid w:val="007C2DE5"/>
    <w:rsid w:val="007C3203"/>
    <w:rsid w:val="007C330D"/>
    <w:rsid w:val="007C335E"/>
    <w:rsid w:val="007C339A"/>
    <w:rsid w:val="007C33D0"/>
    <w:rsid w:val="007C3605"/>
    <w:rsid w:val="007C3935"/>
    <w:rsid w:val="007C3C02"/>
    <w:rsid w:val="007C3D8D"/>
    <w:rsid w:val="007C3D90"/>
    <w:rsid w:val="007C3F17"/>
    <w:rsid w:val="007C408D"/>
    <w:rsid w:val="007C44AD"/>
    <w:rsid w:val="007C4B8F"/>
    <w:rsid w:val="007C4F26"/>
    <w:rsid w:val="007C4F57"/>
    <w:rsid w:val="007C5A08"/>
    <w:rsid w:val="007C5D2A"/>
    <w:rsid w:val="007C6AD6"/>
    <w:rsid w:val="007C6B08"/>
    <w:rsid w:val="007C6BE8"/>
    <w:rsid w:val="007C7B13"/>
    <w:rsid w:val="007C7DAA"/>
    <w:rsid w:val="007C7E51"/>
    <w:rsid w:val="007C7F04"/>
    <w:rsid w:val="007D00A2"/>
    <w:rsid w:val="007D0148"/>
    <w:rsid w:val="007D0224"/>
    <w:rsid w:val="007D0246"/>
    <w:rsid w:val="007D0505"/>
    <w:rsid w:val="007D0714"/>
    <w:rsid w:val="007D0B88"/>
    <w:rsid w:val="007D0B92"/>
    <w:rsid w:val="007D1174"/>
    <w:rsid w:val="007D146E"/>
    <w:rsid w:val="007D1913"/>
    <w:rsid w:val="007D1AF8"/>
    <w:rsid w:val="007D1C45"/>
    <w:rsid w:val="007D1CF2"/>
    <w:rsid w:val="007D221C"/>
    <w:rsid w:val="007D2623"/>
    <w:rsid w:val="007D2773"/>
    <w:rsid w:val="007D2A3A"/>
    <w:rsid w:val="007D2F73"/>
    <w:rsid w:val="007D32EE"/>
    <w:rsid w:val="007D3443"/>
    <w:rsid w:val="007D35EC"/>
    <w:rsid w:val="007D35ED"/>
    <w:rsid w:val="007D3676"/>
    <w:rsid w:val="007D4082"/>
    <w:rsid w:val="007D43C8"/>
    <w:rsid w:val="007D4602"/>
    <w:rsid w:val="007D4791"/>
    <w:rsid w:val="007D4A04"/>
    <w:rsid w:val="007D5026"/>
    <w:rsid w:val="007D5166"/>
    <w:rsid w:val="007D52D6"/>
    <w:rsid w:val="007D5581"/>
    <w:rsid w:val="007D5598"/>
    <w:rsid w:val="007D5AF4"/>
    <w:rsid w:val="007D5E41"/>
    <w:rsid w:val="007D6996"/>
    <w:rsid w:val="007D6ACF"/>
    <w:rsid w:val="007D6CE7"/>
    <w:rsid w:val="007D6F41"/>
    <w:rsid w:val="007D7364"/>
    <w:rsid w:val="007D7535"/>
    <w:rsid w:val="007D7C11"/>
    <w:rsid w:val="007D7D3E"/>
    <w:rsid w:val="007E027C"/>
    <w:rsid w:val="007E0356"/>
    <w:rsid w:val="007E0668"/>
    <w:rsid w:val="007E0EF1"/>
    <w:rsid w:val="007E0FE9"/>
    <w:rsid w:val="007E1062"/>
    <w:rsid w:val="007E12FB"/>
    <w:rsid w:val="007E1331"/>
    <w:rsid w:val="007E1403"/>
    <w:rsid w:val="007E16FD"/>
    <w:rsid w:val="007E1708"/>
    <w:rsid w:val="007E17DF"/>
    <w:rsid w:val="007E1B71"/>
    <w:rsid w:val="007E1EF5"/>
    <w:rsid w:val="007E1F2D"/>
    <w:rsid w:val="007E24B9"/>
    <w:rsid w:val="007E267F"/>
    <w:rsid w:val="007E2800"/>
    <w:rsid w:val="007E2AAD"/>
    <w:rsid w:val="007E313C"/>
    <w:rsid w:val="007E352F"/>
    <w:rsid w:val="007E3D64"/>
    <w:rsid w:val="007E3EB0"/>
    <w:rsid w:val="007E44D5"/>
    <w:rsid w:val="007E5149"/>
    <w:rsid w:val="007E52F5"/>
    <w:rsid w:val="007E5531"/>
    <w:rsid w:val="007E595F"/>
    <w:rsid w:val="007E5A50"/>
    <w:rsid w:val="007E5E0F"/>
    <w:rsid w:val="007E65AA"/>
    <w:rsid w:val="007E6A3A"/>
    <w:rsid w:val="007E6DB8"/>
    <w:rsid w:val="007E6F37"/>
    <w:rsid w:val="007E70F2"/>
    <w:rsid w:val="007E725C"/>
    <w:rsid w:val="007E74EC"/>
    <w:rsid w:val="007E7913"/>
    <w:rsid w:val="007E7AA9"/>
    <w:rsid w:val="007E7DA9"/>
    <w:rsid w:val="007F01C7"/>
    <w:rsid w:val="007F1448"/>
    <w:rsid w:val="007F16AA"/>
    <w:rsid w:val="007F1A4E"/>
    <w:rsid w:val="007F1A97"/>
    <w:rsid w:val="007F1BB2"/>
    <w:rsid w:val="007F2010"/>
    <w:rsid w:val="007F24FC"/>
    <w:rsid w:val="007F2B05"/>
    <w:rsid w:val="007F3417"/>
    <w:rsid w:val="007F3591"/>
    <w:rsid w:val="007F35A5"/>
    <w:rsid w:val="007F367F"/>
    <w:rsid w:val="007F386C"/>
    <w:rsid w:val="007F3CF3"/>
    <w:rsid w:val="007F3DE4"/>
    <w:rsid w:val="007F3FF1"/>
    <w:rsid w:val="007F4ECB"/>
    <w:rsid w:val="007F4F2E"/>
    <w:rsid w:val="007F549A"/>
    <w:rsid w:val="007F5505"/>
    <w:rsid w:val="007F553C"/>
    <w:rsid w:val="007F5672"/>
    <w:rsid w:val="007F56EF"/>
    <w:rsid w:val="007F57B3"/>
    <w:rsid w:val="007F5CE8"/>
    <w:rsid w:val="007F609A"/>
    <w:rsid w:val="007F6326"/>
    <w:rsid w:val="007F6945"/>
    <w:rsid w:val="007F6A5D"/>
    <w:rsid w:val="007F744E"/>
    <w:rsid w:val="007F7996"/>
    <w:rsid w:val="007F7BE2"/>
    <w:rsid w:val="00800019"/>
    <w:rsid w:val="0080003C"/>
    <w:rsid w:val="00800236"/>
    <w:rsid w:val="00800479"/>
    <w:rsid w:val="00800FE4"/>
    <w:rsid w:val="00801120"/>
    <w:rsid w:val="00801203"/>
    <w:rsid w:val="008018F6"/>
    <w:rsid w:val="00801F84"/>
    <w:rsid w:val="00802038"/>
    <w:rsid w:val="0080243E"/>
    <w:rsid w:val="008025E1"/>
    <w:rsid w:val="0080276B"/>
    <w:rsid w:val="00802FE2"/>
    <w:rsid w:val="00803814"/>
    <w:rsid w:val="00803D3C"/>
    <w:rsid w:val="008040AA"/>
    <w:rsid w:val="00804491"/>
    <w:rsid w:val="008048DB"/>
    <w:rsid w:val="00804DCD"/>
    <w:rsid w:val="00804E54"/>
    <w:rsid w:val="0080513F"/>
    <w:rsid w:val="00805272"/>
    <w:rsid w:val="0080529B"/>
    <w:rsid w:val="00805D74"/>
    <w:rsid w:val="00806427"/>
    <w:rsid w:val="0080642A"/>
    <w:rsid w:val="0080695F"/>
    <w:rsid w:val="00806B91"/>
    <w:rsid w:val="00806C5B"/>
    <w:rsid w:val="00806DD4"/>
    <w:rsid w:val="0080702A"/>
    <w:rsid w:val="0080778F"/>
    <w:rsid w:val="00807902"/>
    <w:rsid w:val="00807BEC"/>
    <w:rsid w:val="00807D27"/>
    <w:rsid w:val="0081045D"/>
    <w:rsid w:val="00810A71"/>
    <w:rsid w:val="00810A7D"/>
    <w:rsid w:val="00810AEC"/>
    <w:rsid w:val="00810BFF"/>
    <w:rsid w:val="00810F87"/>
    <w:rsid w:val="008112AB"/>
    <w:rsid w:val="008120DD"/>
    <w:rsid w:val="00812206"/>
    <w:rsid w:val="00812FF6"/>
    <w:rsid w:val="0081310D"/>
    <w:rsid w:val="008131C5"/>
    <w:rsid w:val="008131C8"/>
    <w:rsid w:val="00813281"/>
    <w:rsid w:val="008142DB"/>
    <w:rsid w:val="008146B2"/>
    <w:rsid w:val="008148F0"/>
    <w:rsid w:val="00814B46"/>
    <w:rsid w:val="00814C42"/>
    <w:rsid w:val="00814D91"/>
    <w:rsid w:val="00814FCE"/>
    <w:rsid w:val="0081504B"/>
    <w:rsid w:val="008150F1"/>
    <w:rsid w:val="008152D4"/>
    <w:rsid w:val="0081551A"/>
    <w:rsid w:val="00815A28"/>
    <w:rsid w:val="00815BE2"/>
    <w:rsid w:val="00815DC0"/>
    <w:rsid w:val="0081610C"/>
    <w:rsid w:val="0081618E"/>
    <w:rsid w:val="00816366"/>
    <w:rsid w:val="00816757"/>
    <w:rsid w:val="00816936"/>
    <w:rsid w:val="008169AB"/>
    <w:rsid w:val="00817640"/>
    <w:rsid w:val="00817655"/>
    <w:rsid w:val="00817DA0"/>
    <w:rsid w:val="00817F4B"/>
    <w:rsid w:val="00820389"/>
    <w:rsid w:val="008205D0"/>
    <w:rsid w:val="00820786"/>
    <w:rsid w:val="00820AAB"/>
    <w:rsid w:val="00820D38"/>
    <w:rsid w:val="00820DFB"/>
    <w:rsid w:val="00820F85"/>
    <w:rsid w:val="00821702"/>
    <w:rsid w:val="00821BD0"/>
    <w:rsid w:val="008222C1"/>
    <w:rsid w:val="008225A1"/>
    <w:rsid w:val="00822773"/>
    <w:rsid w:val="00822F1B"/>
    <w:rsid w:val="0082320E"/>
    <w:rsid w:val="008233CA"/>
    <w:rsid w:val="00823414"/>
    <w:rsid w:val="00823881"/>
    <w:rsid w:val="00823C1D"/>
    <w:rsid w:val="00823EEC"/>
    <w:rsid w:val="00823EF3"/>
    <w:rsid w:val="00824054"/>
    <w:rsid w:val="00824080"/>
    <w:rsid w:val="00824A2C"/>
    <w:rsid w:val="008254A3"/>
    <w:rsid w:val="00825ACB"/>
    <w:rsid w:val="00825B25"/>
    <w:rsid w:val="00825C52"/>
    <w:rsid w:val="00825D87"/>
    <w:rsid w:val="008263F5"/>
    <w:rsid w:val="00826415"/>
    <w:rsid w:val="008268C6"/>
    <w:rsid w:val="00826F1B"/>
    <w:rsid w:val="0082734E"/>
    <w:rsid w:val="00827635"/>
    <w:rsid w:val="00827662"/>
    <w:rsid w:val="00827732"/>
    <w:rsid w:val="008279A9"/>
    <w:rsid w:val="00827CCE"/>
    <w:rsid w:val="00827ED2"/>
    <w:rsid w:val="00827FC0"/>
    <w:rsid w:val="008301DF"/>
    <w:rsid w:val="008301E9"/>
    <w:rsid w:val="008306EA"/>
    <w:rsid w:val="008306FE"/>
    <w:rsid w:val="00830D13"/>
    <w:rsid w:val="00830DF7"/>
    <w:rsid w:val="00830FC2"/>
    <w:rsid w:val="00831026"/>
    <w:rsid w:val="00831244"/>
    <w:rsid w:val="0083128D"/>
    <w:rsid w:val="0083160C"/>
    <w:rsid w:val="0083220F"/>
    <w:rsid w:val="00832FD4"/>
    <w:rsid w:val="008332DE"/>
    <w:rsid w:val="008335ED"/>
    <w:rsid w:val="0083376F"/>
    <w:rsid w:val="00833879"/>
    <w:rsid w:val="00833EDE"/>
    <w:rsid w:val="00833F97"/>
    <w:rsid w:val="008340A6"/>
    <w:rsid w:val="0083448F"/>
    <w:rsid w:val="008344B2"/>
    <w:rsid w:val="00834830"/>
    <w:rsid w:val="008349A9"/>
    <w:rsid w:val="00834BA2"/>
    <w:rsid w:val="00834EF7"/>
    <w:rsid w:val="00835004"/>
    <w:rsid w:val="00835081"/>
    <w:rsid w:val="0083518E"/>
    <w:rsid w:val="008356BD"/>
    <w:rsid w:val="00835E4E"/>
    <w:rsid w:val="00835FE4"/>
    <w:rsid w:val="0083610F"/>
    <w:rsid w:val="0083628B"/>
    <w:rsid w:val="00836AB8"/>
    <w:rsid w:val="00836C35"/>
    <w:rsid w:val="00837376"/>
    <w:rsid w:val="00837401"/>
    <w:rsid w:val="00837796"/>
    <w:rsid w:val="00837923"/>
    <w:rsid w:val="00837D1A"/>
    <w:rsid w:val="00837DB6"/>
    <w:rsid w:val="00837DBA"/>
    <w:rsid w:val="00837E81"/>
    <w:rsid w:val="00840164"/>
    <w:rsid w:val="00840242"/>
    <w:rsid w:val="0084076B"/>
    <w:rsid w:val="00841F7D"/>
    <w:rsid w:val="00841FE1"/>
    <w:rsid w:val="00842193"/>
    <w:rsid w:val="008421D7"/>
    <w:rsid w:val="0084238E"/>
    <w:rsid w:val="00842CDB"/>
    <w:rsid w:val="0084303B"/>
    <w:rsid w:val="00843245"/>
    <w:rsid w:val="0084326F"/>
    <w:rsid w:val="00843869"/>
    <w:rsid w:val="00843DBB"/>
    <w:rsid w:val="00843F47"/>
    <w:rsid w:val="00844304"/>
    <w:rsid w:val="00844AE6"/>
    <w:rsid w:val="00844C85"/>
    <w:rsid w:val="00845123"/>
    <w:rsid w:val="00845A46"/>
    <w:rsid w:val="00845AD2"/>
    <w:rsid w:val="008461CA"/>
    <w:rsid w:val="0084644F"/>
    <w:rsid w:val="0084652F"/>
    <w:rsid w:val="00846986"/>
    <w:rsid w:val="00846CF1"/>
    <w:rsid w:val="00846D88"/>
    <w:rsid w:val="0084713B"/>
    <w:rsid w:val="00847313"/>
    <w:rsid w:val="00847599"/>
    <w:rsid w:val="00847A6C"/>
    <w:rsid w:val="00847B62"/>
    <w:rsid w:val="00847C39"/>
    <w:rsid w:val="00847CDB"/>
    <w:rsid w:val="00847F07"/>
    <w:rsid w:val="00850152"/>
    <w:rsid w:val="00850312"/>
    <w:rsid w:val="008503C0"/>
    <w:rsid w:val="008504EA"/>
    <w:rsid w:val="008507F3"/>
    <w:rsid w:val="00850A2E"/>
    <w:rsid w:val="00850C81"/>
    <w:rsid w:val="00850E83"/>
    <w:rsid w:val="00850E84"/>
    <w:rsid w:val="00850EDE"/>
    <w:rsid w:val="00850FD1"/>
    <w:rsid w:val="0085120A"/>
    <w:rsid w:val="008513C8"/>
    <w:rsid w:val="00851474"/>
    <w:rsid w:val="008514CE"/>
    <w:rsid w:val="0085165A"/>
    <w:rsid w:val="00851C7B"/>
    <w:rsid w:val="00851D3D"/>
    <w:rsid w:val="00851E35"/>
    <w:rsid w:val="00852018"/>
    <w:rsid w:val="008521B5"/>
    <w:rsid w:val="00852319"/>
    <w:rsid w:val="008523B8"/>
    <w:rsid w:val="008526E1"/>
    <w:rsid w:val="00852717"/>
    <w:rsid w:val="00852957"/>
    <w:rsid w:val="00852BEA"/>
    <w:rsid w:val="00852EBC"/>
    <w:rsid w:val="00852F7B"/>
    <w:rsid w:val="00852F83"/>
    <w:rsid w:val="0085311C"/>
    <w:rsid w:val="008531A6"/>
    <w:rsid w:val="00853B4B"/>
    <w:rsid w:val="00853B4E"/>
    <w:rsid w:val="00853D31"/>
    <w:rsid w:val="0085458C"/>
    <w:rsid w:val="0085483B"/>
    <w:rsid w:val="008548C0"/>
    <w:rsid w:val="00854DC3"/>
    <w:rsid w:val="00854F12"/>
    <w:rsid w:val="0085504D"/>
    <w:rsid w:val="00855A75"/>
    <w:rsid w:val="00855BB2"/>
    <w:rsid w:val="00855BD0"/>
    <w:rsid w:val="00856010"/>
    <w:rsid w:val="008569AC"/>
    <w:rsid w:val="00856FF7"/>
    <w:rsid w:val="008570C6"/>
    <w:rsid w:val="008574AF"/>
    <w:rsid w:val="00857870"/>
    <w:rsid w:val="00857D47"/>
    <w:rsid w:val="0086007B"/>
    <w:rsid w:val="008600DE"/>
    <w:rsid w:val="0086084C"/>
    <w:rsid w:val="008608D6"/>
    <w:rsid w:val="00860985"/>
    <w:rsid w:val="00860A3E"/>
    <w:rsid w:val="00860B00"/>
    <w:rsid w:val="00860C89"/>
    <w:rsid w:val="00860F70"/>
    <w:rsid w:val="00861469"/>
    <w:rsid w:val="008617D5"/>
    <w:rsid w:val="00861BBD"/>
    <w:rsid w:val="00861BD4"/>
    <w:rsid w:val="00861BE3"/>
    <w:rsid w:val="00862193"/>
    <w:rsid w:val="0086232D"/>
    <w:rsid w:val="00862A72"/>
    <w:rsid w:val="00862DD4"/>
    <w:rsid w:val="00862EC9"/>
    <w:rsid w:val="00862F48"/>
    <w:rsid w:val="00862FD7"/>
    <w:rsid w:val="008631AD"/>
    <w:rsid w:val="00863B23"/>
    <w:rsid w:val="008641EE"/>
    <w:rsid w:val="0086486C"/>
    <w:rsid w:val="00864C20"/>
    <w:rsid w:val="00865087"/>
    <w:rsid w:val="00865445"/>
    <w:rsid w:val="00865512"/>
    <w:rsid w:val="00865528"/>
    <w:rsid w:val="0086598C"/>
    <w:rsid w:val="00865A32"/>
    <w:rsid w:val="00865BA8"/>
    <w:rsid w:val="00865C1B"/>
    <w:rsid w:val="00866017"/>
    <w:rsid w:val="00866116"/>
    <w:rsid w:val="008663F2"/>
    <w:rsid w:val="008666E4"/>
    <w:rsid w:val="00866737"/>
    <w:rsid w:val="008669EB"/>
    <w:rsid w:val="00866B84"/>
    <w:rsid w:val="00866BEA"/>
    <w:rsid w:val="00866D4D"/>
    <w:rsid w:val="00866DE2"/>
    <w:rsid w:val="00867456"/>
    <w:rsid w:val="00867465"/>
    <w:rsid w:val="0086792D"/>
    <w:rsid w:val="00867B6B"/>
    <w:rsid w:val="008701BF"/>
    <w:rsid w:val="00870228"/>
    <w:rsid w:val="008705C5"/>
    <w:rsid w:val="00870C16"/>
    <w:rsid w:val="00870EB0"/>
    <w:rsid w:val="008713E1"/>
    <w:rsid w:val="00871B37"/>
    <w:rsid w:val="00871E6F"/>
    <w:rsid w:val="00871EB4"/>
    <w:rsid w:val="00871F57"/>
    <w:rsid w:val="00872B1F"/>
    <w:rsid w:val="00872C41"/>
    <w:rsid w:val="00872D1D"/>
    <w:rsid w:val="00872D3E"/>
    <w:rsid w:val="00872F3E"/>
    <w:rsid w:val="0087325D"/>
    <w:rsid w:val="0087341D"/>
    <w:rsid w:val="00873687"/>
    <w:rsid w:val="0087398E"/>
    <w:rsid w:val="00873DD9"/>
    <w:rsid w:val="00874544"/>
    <w:rsid w:val="0087484B"/>
    <w:rsid w:val="00874850"/>
    <w:rsid w:val="00874FA9"/>
    <w:rsid w:val="008754CE"/>
    <w:rsid w:val="008754FA"/>
    <w:rsid w:val="00875689"/>
    <w:rsid w:val="0087587C"/>
    <w:rsid w:val="00875DA3"/>
    <w:rsid w:val="00876CBE"/>
    <w:rsid w:val="00876D63"/>
    <w:rsid w:val="00876F20"/>
    <w:rsid w:val="008771C9"/>
    <w:rsid w:val="008773F2"/>
    <w:rsid w:val="0087740D"/>
    <w:rsid w:val="0087743B"/>
    <w:rsid w:val="0087761A"/>
    <w:rsid w:val="00877A9D"/>
    <w:rsid w:val="008812D4"/>
    <w:rsid w:val="008813DB"/>
    <w:rsid w:val="00881443"/>
    <w:rsid w:val="00881611"/>
    <w:rsid w:val="00881F3D"/>
    <w:rsid w:val="0088228E"/>
    <w:rsid w:val="0088283D"/>
    <w:rsid w:val="00882E5B"/>
    <w:rsid w:val="0088302E"/>
    <w:rsid w:val="00883311"/>
    <w:rsid w:val="00883331"/>
    <w:rsid w:val="00883661"/>
    <w:rsid w:val="0088368F"/>
    <w:rsid w:val="008837F9"/>
    <w:rsid w:val="0088399A"/>
    <w:rsid w:val="00883ABE"/>
    <w:rsid w:val="00883AC1"/>
    <w:rsid w:val="00883FFD"/>
    <w:rsid w:val="008848FE"/>
    <w:rsid w:val="0088575E"/>
    <w:rsid w:val="00885A36"/>
    <w:rsid w:val="00885B06"/>
    <w:rsid w:val="00885BF0"/>
    <w:rsid w:val="00885ED3"/>
    <w:rsid w:val="00886457"/>
    <w:rsid w:val="008864A0"/>
    <w:rsid w:val="0088663A"/>
    <w:rsid w:val="008866AE"/>
    <w:rsid w:val="00886719"/>
    <w:rsid w:val="008870A2"/>
    <w:rsid w:val="00887479"/>
    <w:rsid w:val="008876D7"/>
    <w:rsid w:val="008879CF"/>
    <w:rsid w:val="00887CF8"/>
    <w:rsid w:val="00887E77"/>
    <w:rsid w:val="00887F60"/>
    <w:rsid w:val="00887FB2"/>
    <w:rsid w:val="0089010C"/>
    <w:rsid w:val="00890389"/>
    <w:rsid w:val="008905C4"/>
    <w:rsid w:val="00890CE1"/>
    <w:rsid w:val="00891114"/>
    <w:rsid w:val="008911EE"/>
    <w:rsid w:val="00891667"/>
    <w:rsid w:val="008917B6"/>
    <w:rsid w:val="008918A0"/>
    <w:rsid w:val="0089191C"/>
    <w:rsid w:val="00891C01"/>
    <w:rsid w:val="00891E25"/>
    <w:rsid w:val="008920F0"/>
    <w:rsid w:val="00892139"/>
    <w:rsid w:val="00892859"/>
    <w:rsid w:val="00892FE9"/>
    <w:rsid w:val="00893376"/>
    <w:rsid w:val="00893390"/>
    <w:rsid w:val="0089342D"/>
    <w:rsid w:val="00893471"/>
    <w:rsid w:val="0089369A"/>
    <w:rsid w:val="008938E1"/>
    <w:rsid w:val="0089396F"/>
    <w:rsid w:val="00893D1B"/>
    <w:rsid w:val="00893D2B"/>
    <w:rsid w:val="008940BF"/>
    <w:rsid w:val="008941A6"/>
    <w:rsid w:val="00894733"/>
    <w:rsid w:val="00895089"/>
    <w:rsid w:val="0089551D"/>
    <w:rsid w:val="008955EC"/>
    <w:rsid w:val="008955F1"/>
    <w:rsid w:val="00895657"/>
    <w:rsid w:val="00895ACC"/>
    <w:rsid w:val="00895CF7"/>
    <w:rsid w:val="008961F3"/>
    <w:rsid w:val="008968BE"/>
    <w:rsid w:val="008969B3"/>
    <w:rsid w:val="00896A79"/>
    <w:rsid w:val="00896AF8"/>
    <w:rsid w:val="00896F15"/>
    <w:rsid w:val="00897229"/>
    <w:rsid w:val="00897250"/>
    <w:rsid w:val="008972F0"/>
    <w:rsid w:val="008974B7"/>
    <w:rsid w:val="0089795D"/>
    <w:rsid w:val="00897A38"/>
    <w:rsid w:val="00897CE8"/>
    <w:rsid w:val="00897E09"/>
    <w:rsid w:val="00897F98"/>
    <w:rsid w:val="008A0B85"/>
    <w:rsid w:val="008A0F30"/>
    <w:rsid w:val="008A1047"/>
    <w:rsid w:val="008A13C5"/>
    <w:rsid w:val="008A164D"/>
    <w:rsid w:val="008A1820"/>
    <w:rsid w:val="008A19A7"/>
    <w:rsid w:val="008A19E3"/>
    <w:rsid w:val="008A1B73"/>
    <w:rsid w:val="008A1FE1"/>
    <w:rsid w:val="008A239C"/>
    <w:rsid w:val="008A241C"/>
    <w:rsid w:val="008A2746"/>
    <w:rsid w:val="008A2D13"/>
    <w:rsid w:val="008A2EF2"/>
    <w:rsid w:val="008A316D"/>
    <w:rsid w:val="008A36E3"/>
    <w:rsid w:val="008A3DA9"/>
    <w:rsid w:val="008A3F42"/>
    <w:rsid w:val="008A42ED"/>
    <w:rsid w:val="008A4395"/>
    <w:rsid w:val="008A4749"/>
    <w:rsid w:val="008A492F"/>
    <w:rsid w:val="008A4A0A"/>
    <w:rsid w:val="008A4A1C"/>
    <w:rsid w:val="008A5241"/>
    <w:rsid w:val="008A53EC"/>
    <w:rsid w:val="008A544E"/>
    <w:rsid w:val="008A5D26"/>
    <w:rsid w:val="008A61B8"/>
    <w:rsid w:val="008A62A3"/>
    <w:rsid w:val="008A645B"/>
    <w:rsid w:val="008A6538"/>
    <w:rsid w:val="008A669C"/>
    <w:rsid w:val="008A69D7"/>
    <w:rsid w:val="008A6C5F"/>
    <w:rsid w:val="008A6D38"/>
    <w:rsid w:val="008A7530"/>
    <w:rsid w:val="008A76A8"/>
    <w:rsid w:val="008A78A5"/>
    <w:rsid w:val="008A797E"/>
    <w:rsid w:val="008A799C"/>
    <w:rsid w:val="008A7A8B"/>
    <w:rsid w:val="008B044E"/>
    <w:rsid w:val="008B0A0C"/>
    <w:rsid w:val="008B0A4D"/>
    <w:rsid w:val="008B0D21"/>
    <w:rsid w:val="008B0EF8"/>
    <w:rsid w:val="008B16BE"/>
    <w:rsid w:val="008B173E"/>
    <w:rsid w:val="008B1AF4"/>
    <w:rsid w:val="008B20DD"/>
    <w:rsid w:val="008B2133"/>
    <w:rsid w:val="008B2142"/>
    <w:rsid w:val="008B27D1"/>
    <w:rsid w:val="008B284E"/>
    <w:rsid w:val="008B2B93"/>
    <w:rsid w:val="008B2EF8"/>
    <w:rsid w:val="008B2F92"/>
    <w:rsid w:val="008B3424"/>
    <w:rsid w:val="008B374E"/>
    <w:rsid w:val="008B3788"/>
    <w:rsid w:val="008B4029"/>
    <w:rsid w:val="008B4295"/>
    <w:rsid w:val="008B430E"/>
    <w:rsid w:val="008B48A8"/>
    <w:rsid w:val="008B4AA7"/>
    <w:rsid w:val="008B4CC6"/>
    <w:rsid w:val="008B4DC5"/>
    <w:rsid w:val="008B4DFF"/>
    <w:rsid w:val="008B4E56"/>
    <w:rsid w:val="008B5050"/>
    <w:rsid w:val="008B508B"/>
    <w:rsid w:val="008B51D8"/>
    <w:rsid w:val="008B521B"/>
    <w:rsid w:val="008B5D30"/>
    <w:rsid w:val="008B5D6F"/>
    <w:rsid w:val="008B615A"/>
    <w:rsid w:val="008B64DA"/>
    <w:rsid w:val="008B657D"/>
    <w:rsid w:val="008B6960"/>
    <w:rsid w:val="008B6AC8"/>
    <w:rsid w:val="008B6C27"/>
    <w:rsid w:val="008B6DE2"/>
    <w:rsid w:val="008B723C"/>
    <w:rsid w:val="008B744F"/>
    <w:rsid w:val="008B77F2"/>
    <w:rsid w:val="008B7CEC"/>
    <w:rsid w:val="008C0098"/>
    <w:rsid w:val="008C0110"/>
    <w:rsid w:val="008C027B"/>
    <w:rsid w:val="008C04F9"/>
    <w:rsid w:val="008C0768"/>
    <w:rsid w:val="008C0B1A"/>
    <w:rsid w:val="008C0BDA"/>
    <w:rsid w:val="008C0D7E"/>
    <w:rsid w:val="008C0FFB"/>
    <w:rsid w:val="008C1095"/>
    <w:rsid w:val="008C116F"/>
    <w:rsid w:val="008C12F3"/>
    <w:rsid w:val="008C13A0"/>
    <w:rsid w:val="008C154F"/>
    <w:rsid w:val="008C1581"/>
    <w:rsid w:val="008C1FAE"/>
    <w:rsid w:val="008C2317"/>
    <w:rsid w:val="008C272E"/>
    <w:rsid w:val="008C2731"/>
    <w:rsid w:val="008C278C"/>
    <w:rsid w:val="008C2AAE"/>
    <w:rsid w:val="008C2CEB"/>
    <w:rsid w:val="008C2E68"/>
    <w:rsid w:val="008C3185"/>
    <w:rsid w:val="008C4691"/>
    <w:rsid w:val="008C4846"/>
    <w:rsid w:val="008C4A68"/>
    <w:rsid w:val="008C4C70"/>
    <w:rsid w:val="008C5108"/>
    <w:rsid w:val="008C559C"/>
    <w:rsid w:val="008C56CE"/>
    <w:rsid w:val="008C573C"/>
    <w:rsid w:val="008C5BB9"/>
    <w:rsid w:val="008C5C03"/>
    <w:rsid w:val="008C5C52"/>
    <w:rsid w:val="008C60A4"/>
    <w:rsid w:val="008C6345"/>
    <w:rsid w:val="008C6595"/>
    <w:rsid w:val="008C6A9A"/>
    <w:rsid w:val="008C6E40"/>
    <w:rsid w:val="008C71D2"/>
    <w:rsid w:val="008C743F"/>
    <w:rsid w:val="008C7744"/>
    <w:rsid w:val="008C7C2B"/>
    <w:rsid w:val="008C7D1F"/>
    <w:rsid w:val="008D00B8"/>
    <w:rsid w:val="008D0910"/>
    <w:rsid w:val="008D0920"/>
    <w:rsid w:val="008D0CEB"/>
    <w:rsid w:val="008D12A4"/>
    <w:rsid w:val="008D1319"/>
    <w:rsid w:val="008D140E"/>
    <w:rsid w:val="008D1758"/>
    <w:rsid w:val="008D1F51"/>
    <w:rsid w:val="008D2945"/>
    <w:rsid w:val="008D2FB1"/>
    <w:rsid w:val="008D3351"/>
    <w:rsid w:val="008D33A8"/>
    <w:rsid w:val="008D3953"/>
    <w:rsid w:val="008D3AF8"/>
    <w:rsid w:val="008D3DF0"/>
    <w:rsid w:val="008D4C51"/>
    <w:rsid w:val="008D4D6F"/>
    <w:rsid w:val="008D4E48"/>
    <w:rsid w:val="008D4F67"/>
    <w:rsid w:val="008D521E"/>
    <w:rsid w:val="008D52E9"/>
    <w:rsid w:val="008D533A"/>
    <w:rsid w:val="008D533C"/>
    <w:rsid w:val="008D57FE"/>
    <w:rsid w:val="008D588F"/>
    <w:rsid w:val="008D5D33"/>
    <w:rsid w:val="008D5DE5"/>
    <w:rsid w:val="008D6515"/>
    <w:rsid w:val="008D6E79"/>
    <w:rsid w:val="008D7861"/>
    <w:rsid w:val="008D798B"/>
    <w:rsid w:val="008D7A6E"/>
    <w:rsid w:val="008D7B19"/>
    <w:rsid w:val="008D7FD9"/>
    <w:rsid w:val="008E089F"/>
    <w:rsid w:val="008E0A22"/>
    <w:rsid w:val="008E0B5E"/>
    <w:rsid w:val="008E0CB5"/>
    <w:rsid w:val="008E0DA6"/>
    <w:rsid w:val="008E0F1A"/>
    <w:rsid w:val="008E0FE9"/>
    <w:rsid w:val="008E13A7"/>
    <w:rsid w:val="008E1B4E"/>
    <w:rsid w:val="008E2003"/>
    <w:rsid w:val="008E224B"/>
    <w:rsid w:val="008E228A"/>
    <w:rsid w:val="008E262E"/>
    <w:rsid w:val="008E26D4"/>
    <w:rsid w:val="008E2A72"/>
    <w:rsid w:val="008E2ABB"/>
    <w:rsid w:val="008E2B95"/>
    <w:rsid w:val="008E2BB1"/>
    <w:rsid w:val="008E2DB6"/>
    <w:rsid w:val="008E303D"/>
    <w:rsid w:val="008E3068"/>
    <w:rsid w:val="008E321E"/>
    <w:rsid w:val="008E3457"/>
    <w:rsid w:val="008E42D4"/>
    <w:rsid w:val="008E477F"/>
    <w:rsid w:val="008E486D"/>
    <w:rsid w:val="008E4B56"/>
    <w:rsid w:val="008E4F47"/>
    <w:rsid w:val="008E5096"/>
    <w:rsid w:val="008E51B1"/>
    <w:rsid w:val="008E5494"/>
    <w:rsid w:val="008E553D"/>
    <w:rsid w:val="008E5804"/>
    <w:rsid w:val="008E5BC0"/>
    <w:rsid w:val="008E617D"/>
    <w:rsid w:val="008E6451"/>
    <w:rsid w:val="008E6D7D"/>
    <w:rsid w:val="008E6FED"/>
    <w:rsid w:val="008E7115"/>
    <w:rsid w:val="008E727E"/>
    <w:rsid w:val="008E72BD"/>
    <w:rsid w:val="008E73ED"/>
    <w:rsid w:val="008E7DD1"/>
    <w:rsid w:val="008E7EED"/>
    <w:rsid w:val="008E7FB7"/>
    <w:rsid w:val="008F0021"/>
    <w:rsid w:val="008F0771"/>
    <w:rsid w:val="008F126B"/>
    <w:rsid w:val="008F14A7"/>
    <w:rsid w:val="008F18EB"/>
    <w:rsid w:val="008F195C"/>
    <w:rsid w:val="008F1AA6"/>
    <w:rsid w:val="008F1D90"/>
    <w:rsid w:val="008F1E5B"/>
    <w:rsid w:val="008F20AB"/>
    <w:rsid w:val="008F2112"/>
    <w:rsid w:val="008F2A57"/>
    <w:rsid w:val="008F2E02"/>
    <w:rsid w:val="008F30CF"/>
    <w:rsid w:val="008F3400"/>
    <w:rsid w:val="008F3EB5"/>
    <w:rsid w:val="008F40FC"/>
    <w:rsid w:val="008F4112"/>
    <w:rsid w:val="008F425F"/>
    <w:rsid w:val="008F448C"/>
    <w:rsid w:val="008F4576"/>
    <w:rsid w:val="008F503A"/>
    <w:rsid w:val="008F5093"/>
    <w:rsid w:val="008F5668"/>
    <w:rsid w:val="008F5C35"/>
    <w:rsid w:val="008F5F9C"/>
    <w:rsid w:val="008F61F6"/>
    <w:rsid w:val="008F65E8"/>
    <w:rsid w:val="008F6667"/>
    <w:rsid w:val="008F6B99"/>
    <w:rsid w:val="008F6D88"/>
    <w:rsid w:val="00900178"/>
    <w:rsid w:val="009004E6"/>
    <w:rsid w:val="00900720"/>
    <w:rsid w:val="009007DC"/>
    <w:rsid w:val="0090080D"/>
    <w:rsid w:val="00900CD5"/>
    <w:rsid w:val="00900E81"/>
    <w:rsid w:val="00900F9E"/>
    <w:rsid w:val="009011DD"/>
    <w:rsid w:val="009011F2"/>
    <w:rsid w:val="0090145B"/>
    <w:rsid w:val="0090166E"/>
    <w:rsid w:val="00901691"/>
    <w:rsid w:val="00901BB5"/>
    <w:rsid w:val="00902838"/>
    <w:rsid w:val="00902958"/>
    <w:rsid w:val="009029C7"/>
    <w:rsid w:val="00902A04"/>
    <w:rsid w:val="00902B3C"/>
    <w:rsid w:val="0090328D"/>
    <w:rsid w:val="00903622"/>
    <w:rsid w:val="00903745"/>
    <w:rsid w:val="00903CA0"/>
    <w:rsid w:val="0090435B"/>
    <w:rsid w:val="00904B78"/>
    <w:rsid w:val="00904DB0"/>
    <w:rsid w:val="00904DCE"/>
    <w:rsid w:val="00904EF7"/>
    <w:rsid w:val="009050B5"/>
    <w:rsid w:val="009055EC"/>
    <w:rsid w:val="00905772"/>
    <w:rsid w:val="00905785"/>
    <w:rsid w:val="009059CA"/>
    <w:rsid w:val="00905CAF"/>
    <w:rsid w:val="009060A3"/>
    <w:rsid w:val="009061FA"/>
    <w:rsid w:val="009063DB"/>
    <w:rsid w:val="00906CDB"/>
    <w:rsid w:val="00906DCC"/>
    <w:rsid w:val="009070CE"/>
    <w:rsid w:val="0090720E"/>
    <w:rsid w:val="00907231"/>
    <w:rsid w:val="00907387"/>
    <w:rsid w:val="0090747B"/>
    <w:rsid w:val="00907632"/>
    <w:rsid w:val="00907BC1"/>
    <w:rsid w:val="0091048F"/>
    <w:rsid w:val="009104DA"/>
    <w:rsid w:val="00910A0D"/>
    <w:rsid w:val="00910C99"/>
    <w:rsid w:val="00910E47"/>
    <w:rsid w:val="00910EF4"/>
    <w:rsid w:val="00911241"/>
    <w:rsid w:val="00911945"/>
    <w:rsid w:val="00912DEA"/>
    <w:rsid w:val="00912E6B"/>
    <w:rsid w:val="0091394E"/>
    <w:rsid w:val="00913C3F"/>
    <w:rsid w:val="00914112"/>
    <w:rsid w:val="0091430F"/>
    <w:rsid w:val="00914603"/>
    <w:rsid w:val="00914663"/>
    <w:rsid w:val="00914DC3"/>
    <w:rsid w:val="00915370"/>
    <w:rsid w:val="00915B7B"/>
    <w:rsid w:val="0091608E"/>
    <w:rsid w:val="00916103"/>
    <w:rsid w:val="00916271"/>
    <w:rsid w:val="00916539"/>
    <w:rsid w:val="00916A8B"/>
    <w:rsid w:val="00917280"/>
    <w:rsid w:val="00917721"/>
    <w:rsid w:val="009179A5"/>
    <w:rsid w:val="009179D9"/>
    <w:rsid w:val="00920D0F"/>
    <w:rsid w:val="00920E8D"/>
    <w:rsid w:val="00920F30"/>
    <w:rsid w:val="00921033"/>
    <w:rsid w:val="00921330"/>
    <w:rsid w:val="009213A7"/>
    <w:rsid w:val="009216FB"/>
    <w:rsid w:val="009218BF"/>
    <w:rsid w:val="009220B4"/>
    <w:rsid w:val="00922A61"/>
    <w:rsid w:val="00922B1A"/>
    <w:rsid w:val="00922D2C"/>
    <w:rsid w:val="00922F7D"/>
    <w:rsid w:val="00923282"/>
    <w:rsid w:val="00923AE9"/>
    <w:rsid w:val="00923B20"/>
    <w:rsid w:val="00923D8B"/>
    <w:rsid w:val="00923E70"/>
    <w:rsid w:val="00923F14"/>
    <w:rsid w:val="009240FA"/>
    <w:rsid w:val="00924320"/>
    <w:rsid w:val="0092455C"/>
    <w:rsid w:val="009249B0"/>
    <w:rsid w:val="0092502F"/>
    <w:rsid w:val="0092508F"/>
    <w:rsid w:val="0092556C"/>
    <w:rsid w:val="009258EB"/>
    <w:rsid w:val="00925B69"/>
    <w:rsid w:val="00925D8D"/>
    <w:rsid w:val="00925DF2"/>
    <w:rsid w:val="00926302"/>
    <w:rsid w:val="0092665B"/>
    <w:rsid w:val="00927035"/>
    <w:rsid w:val="009277A0"/>
    <w:rsid w:val="00930096"/>
    <w:rsid w:val="0093045C"/>
    <w:rsid w:val="00930F31"/>
    <w:rsid w:val="00930FD1"/>
    <w:rsid w:val="00931440"/>
    <w:rsid w:val="0093155D"/>
    <w:rsid w:val="00931CFC"/>
    <w:rsid w:val="00932729"/>
    <w:rsid w:val="00932855"/>
    <w:rsid w:val="00932856"/>
    <w:rsid w:val="00932A5D"/>
    <w:rsid w:val="00932EA2"/>
    <w:rsid w:val="00932F3E"/>
    <w:rsid w:val="009332C7"/>
    <w:rsid w:val="00933DFE"/>
    <w:rsid w:val="00933E6E"/>
    <w:rsid w:val="00934002"/>
    <w:rsid w:val="00934008"/>
    <w:rsid w:val="0093447E"/>
    <w:rsid w:val="0093490E"/>
    <w:rsid w:val="00934A3A"/>
    <w:rsid w:val="009350C4"/>
    <w:rsid w:val="00935227"/>
    <w:rsid w:val="00935368"/>
    <w:rsid w:val="009354AD"/>
    <w:rsid w:val="009355A2"/>
    <w:rsid w:val="00935A06"/>
    <w:rsid w:val="00935FDA"/>
    <w:rsid w:val="00935FF3"/>
    <w:rsid w:val="00936232"/>
    <w:rsid w:val="009364CD"/>
    <w:rsid w:val="00936745"/>
    <w:rsid w:val="009367F9"/>
    <w:rsid w:val="00936F85"/>
    <w:rsid w:val="009376B2"/>
    <w:rsid w:val="00937816"/>
    <w:rsid w:val="00937824"/>
    <w:rsid w:val="00937EE7"/>
    <w:rsid w:val="00940118"/>
    <w:rsid w:val="00940B07"/>
    <w:rsid w:val="00940B59"/>
    <w:rsid w:val="009416D0"/>
    <w:rsid w:val="00942178"/>
    <w:rsid w:val="009424AD"/>
    <w:rsid w:val="00942977"/>
    <w:rsid w:val="00942DDF"/>
    <w:rsid w:val="00942F25"/>
    <w:rsid w:val="009432BE"/>
    <w:rsid w:val="00943667"/>
    <w:rsid w:val="00943E18"/>
    <w:rsid w:val="00943F20"/>
    <w:rsid w:val="00944439"/>
    <w:rsid w:val="00944500"/>
    <w:rsid w:val="00944B09"/>
    <w:rsid w:val="00944EE8"/>
    <w:rsid w:val="00945223"/>
    <w:rsid w:val="0094561A"/>
    <w:rsid w:val="009460E9"/>
    <w:rsid w:val="009463E8"/>
    <w:rsid w:val="00946435"/>
    <w:rsid w:val="00946AFE"/>
    <w:rsid w:val="00946CAF"/>
    <w:rsid w:val="00947495"/>
    <w:rsid w:val="009477CE"/>
    <w:rsid w:val="00947F4B"/>
    <w:rsid w:val="00950232"/>
    <w:rsid w:val="0095029A"/>
    <w:rsid w:val="009504A9"/>
    <w:rsid w:val="009504B6"/>
    <w:rsid w:val="00950C94"/>
    <w:rsid w:val="00950F5C"/>
    <w:rsid w:val="00951CE5"/>
    <w:rsid w:val="00951E8E"/>
    <w:rsid w:val="00951FF7"/>
    <w:rsid w:val="009521AB"/>
    <w:rsid w:val="00952223"/>
    <w:rsid w:val="009525F2"/>
    <w:rsid w:val="009529D2"/>
    <w:rsid w:val="00952CCD"/>
    <w:rsid w:val="00952D4F"/>
    <w:rsid w:val="00952DE8"/>
    <w:rsid w:val="00952EA8"/>
    <w:rsid w:val="009530FF"/>
    <w:rsid w:val="009535EA"/>
    <w:rsid w:val="009538D6"/>
    <w:rsid w:val="00953A32"/>
    <w:rsid w:val="00953B12"/>
    <w:rsid w:val="00953B23"/>
    <w:rsid w:val="00953B71"/>
    <w:rsid w:val="0095420A"/>
    <w:rsid w:val="00954459"/>
    <w:rsid w:val="00954700"/>
    <w:rsid w:val="00954B14"/>
    <w:rsid w:val="0095514F"/>
    <w:rsid w:val="009556AB"/>
    <w:rsid w:val="00955DB4"/>
    <w:rsid w:val="00955FB9"/>
    <w:rsid w:val="00956049"/>
    <w:rsid w:val="00956732"/>
    <w:rsid w:val="009571A0"/>
    <w:rsid w:val="00957463"/>
    <w:rsid w:val="00957541"/>
    <w:rsid w:val="009576DD"/>
    <w:rsid w:val="00957C14"/>
    <w:rsid w:val="00957D61"/>
    <w:rsid w:val="00957DB0"/>
    <w:rsid w:val="00957E4A"/>
    <w:rsid w:val="00960217"/>
    <w:rsid w:val="009602AD"/>
    <w:rsid w:val="009604F1"/>
    <w:rsid w:val="00960720"/>
    <w:rsid w:val="00960ABF"/>
    <w:rsid w:val="00960B93"/>
    <w:rsid w:val="00960FDB"/>
    <w:rsid w:val="009610A0"/>
    <w:rsid w:val="0096136B"/>
    <w:rsid w:val="00961BC9"/>
    <w:rsid w:val="009621B8"/>
    <w:rsid w:val="00962578"/>
    <w:rsid w:val="00962EDF"/>
    <w:rsid w:val="00962FB5"/>
    <w:rsid w:val="009632DC"/>
    <w:rsid w:val="0096337A"/>
    <w:rsid w:val="00963A0A"/>
    <w:rsid w:val="009649BE"/>
    <w:rsid w:val="00964BB0"/>
    <w:rsid w:val="00965680"/>
    <w:rsid w:val="00966131"/>
    <w:rsid w:val="009661EA"/>
    <w:rsid w:val="00966630"/>
    <w:rsid w:val="00966AD5"/>
    <w:rsid w:val="00966C0F"/>
    <w:rsid w:val="00966DE3"/>
    <w:rsid w:val="00966E6D"/>
    <w:rsid w:val="0096709D"/>
    <w:rsid w:val="009677D2"/>
    <w:rsid w:val="00967899"/>
    <w:rsid w:val="00967A27"/>
    <w:rsid w:val="00967C46"/>
    <w:rsid w:val="00970012"/>
    <w:rsid w:val="009702C5"/>
    <w:rsid w:val="00970A38"/>
    <w:rsid w:val="00971126"/>
    <w:rsid w:val="009712AD"/>
    <w:rsid w:val="0097163F"/>
    <w:rsid w:val="0097167A"/>
    <w:rsid w:val="00971AED"/>
    <w:rsid w:val="0097219B"/>
    <w:rsid w:val="009722EE"/>
    <w:rsid w:val="0097247A"/>
    <w:rsid w:val="00972BB2"/>
    <w:rsid w:val="00972EC0"/>
    <w:rsid w:val="00973305"/>
    <w:rsid w:val="00973433"/>
    <w:rsid w:val="009736ED"/>
    <w:rsid w:val="00973709"/>
    <w:rsid w:val="00973CD6"/>
    <w:rsid w:val="009743AB"/>
    <w:rsid w:val="00974734"/>
    <w:rsid w:val="009748B6"/>
    <w:rsid w:val="0097499B"/>
    <w:rsid w:val="009749C9"/>
    <w:rsid w:val="00974A50"/>
    <w:rsid w:val="00974BE5"/>
    <w:rsid w:val="00975510"/>
    <w:rsid w:val="0097553D"/>
    <w:rsid w:val="009758FD"/>
    <w:rsid w:val="0097598E"/>
    <w:rsid w:val="00976994"/>
    <w:rsid w:val="00976D2B"/>
    <w:rsid w:val="00977173"/>
    <w:rsid w:val="00977223"/>
    <w:rsid w:val="009775A9"/>
    <w:rsid w:val="00977781"/>
    <w:rsid w:val="009779B2"/>
    <w:rsid w:val="00977DE4"/>
    <w:rsid w:val="00977DF9"/>
    <w:rsid w:val="00980000"/>
    <w:rsid w:val="009801AC"/>
    <w:rsid w:val="009801DB"/>
    <w:rsid w:val="009802FD"/>
    <w:rsid w:val="009810B0"/>
    <w:rsid w:val="00981358"/>
    <w:rsid w:val="009819CB"/>
    <w:rsid w:val="00982A3B"/>
    <w:rsid w:val="00982C25"/>
    <w:rsid w:val="00982CAA"/>
    <w:rsid w:val="00982E52"/>
    <w:rsid w:val="00982F53"/>
    <w:rsid w:val="00982FD9"/>
    <w:rsid w:val="00983110"/>
    <w:rsid w:val="009833BA"/>
    <w:rsid w:val="00983938"/>
    <w:rsid w:val="00984606"/>
    <w:rsid w:val="0098460D"/>
    <w:rsid w:val="00984B1E"/>
    <w:rsid w:val="009858D4"/>
    <w:rsid w:val="00985E8C"/>
    <w:rsid w:val="009861AC"/>
    <w:rsid w:val="0098673C"/>
    <w:rsid w:val="009868F4"/>
    <w:rsid w:val="00986B4F"/>
    <w:rsid w:val="00986CD4"/>
    <w:rsid w:val="00986EAB"/>
    <w:rsid w:val="00986F3F"/>
    <w:rsid w:val="00986F88"/>
    <w:rsid w:val="00986FCE"/>
    <w:rsid w:val="00987311"/>
    <w:rsid w:val="00987B6E"/>
    <w:rsid w:val="00987BB5"/>
    <w:rsid w:val="00987CC1"/>
    <w:rsid w:val="00987EC4"/>
    <w:rsid w:val="00987FC1"/>
    <w:rsid w:val="0099014B"/>
    <w:rsid w:val="00990578"/>
    <w:rsid w:val="009917EC"/>
    <w:rsid w:val="00991A61"/>
    <w:rsid w:val="00991BC5"/>
    <w:rsid w:val="00991C60"/>
    <w:rsid w:val="00991D42"/>
    <w:rsid w:val="0099217F"/>
    <w:rsid w:val="00992484"/>
    <w:rsid w:val="009927D1"/>
    <w:rsid w:val="009932EB"/>
    <w:rsid w:val="0099385D"/>
    <w:rsid w:val="00993E1F"/>
    <w:rsid w:val="009940F4"/>
    <w:rsid w:val="009942E7"/>
    <w:rsid w:val="009948E5"/>
    <w:rsid w:val="00994B10"/>
    <w:rsid w:val="00994BE8"/>
    <w:rsid w:val="00994CC8"/>
    <w:rsid w:val="00994CEA"/>
    <w:rsid w:val="00994EC6"/>
    <w:rsid w:val="009953A4"/>
    <w:rsid w:val="00995D0B"/>
    <w:rsid w:val="0099676F"/>
    <w:rsid w:val="009968C9"/>
    <w:rsid w:val="0099699E"/>
    <w:rsid w:val="00996E3B"/>
    <w:rsid w:val="009972BB"/>
    <w:rsid w:val="0099750A"/>
    <w:rsid w:val="009A0109"/>
    <w:rsid w:val="009A023D"/>
    <w:rsid w:val="009A054B"/>
    <w:rsid w:val="009A0DD7"/>
    <w:rsid w:val="009A0F20"/>
    <w:rsid w:val="009A1DDD"/>
    <w:rsid w:val="009A1FE5"/>
    <w:rsid w:val="009A23EE"/>
    <w:rsid w:val="009A2404"/>
    <w:rsid w:val="009A2620"/>
    <w:rsid w:val="009A2666"/>
    <w:rsid w:val="009A26EF"/>
    <w:rsid w:val="009A2C2D"/>
    <w:rsid w:val="009A310D"/>
    <w:rsid w:val="009A3713"/>
    <w:rsid w:val="009A3C7F"/>
    <w:rsid w:val="009A4042"/>
    <w:rsid w:val="009A50C5"/>
    <w:rsid w:val="009A5457"/>
    <w:rsid w:val="009A54BE"/>
    <w:rsid w:val="009A5B09"/>
    <w:rsid w:val="009A5D74"/>
    <w:rsid w:val="009A63DD"/>
    <w:rsid w:val="009A67D7"/>
    <w:rsid w:val="009A6B01"/>
    <w:rsid w:val="009A6B70"/>
    <w:rsid w:val="009A6ECE"/>
    <w:rsid w:val="009A728D"/>
    <w:rsid w:val="009A7798"/>
    <w:rsid w:val="009A7A05"/>
    <w:rsid w:val="009A7AD7"/>
    <w:rsid w:val="009A7B03"/>
    <w:rsid w:val="009A7B8C"/>
    <w:rsid w:val="009A7C35"/>
    <w:rsid w:val="009A7E9E"/>
    <w:rsid w:val="009A7FEF"/>
    <w:rsid w:val="009B0098"/>
    <w:rsid w:val="009B0397"/>
    <w:rsid w:val="009B0556"/>
    <w:rsid w:val="009B0E9F"/>
    <w:rsid w:val="009B0F5C"/>
    <w:rsid w:val="009B18F6"/>
    <w:rsid w:val="009B19C8"/>
    <w:rsid w:val="009B1BB6"/>
    <w:rsid w:val="009B1C79"/>
    <w:rsid w:val="009B1D0D"/>
    <w:rsid w:val="009B200B"/>
    <w:rsid w:val="009B23FB"/>
    <w:rsid w:val="009B2481"/>
    <w:rsid w:val="009B2869"/>
    <w:rsid w:val="009B2ED2"/>
    <w:rsid w:val="009B32CF"/>
    <w:rsid w:val="009B3973"/>
    <w:rsid w:val="009B3BDE"/>
    <w:rsid w:val="009B3CB9"/>
    <w:rsid w:val="009B3F0F"/>
    <w:rsid w:val="009B3F40"/>
    <w:rsid w:val="009B3FD6"/>
    <w:rsid w:val="009B436E"/>
    <w:rsid w:val="009B43F0"/>
    <w:rsid w:val="009B4696"/>
    <w:rsid w:val="009B4900"/>
    <w:rsid w:val="009B490E"/>
    <w:rsid w:val="009B4D35"/>
    <w:rsid w:val="009B4E36"/>
    <w:rsid w:val="009B4E8B"/>
    <w:rsid w:val="009B5248"/>
    <w:rsid w:val="009B5252"/>
    <w:rsid w:val="009B531C"/>
    <w:rsid w:val="009B5342"/>
    <w:rsid w:val="009B55A9"/>
    <w:rsid w:val="009B55F0"/>
    <w:rsid w:val="009B5FF2"/>
    <w:rsid w:val="009B631E"/>
    <w:rsid w:val="009B6C02"/>
    <w:rsid w:val="009B6C09"/>
    <w:rsid w:val="009B6D94"/>
    <w:rsid w:val="009B709C"/>
    <w:rsid w:val="009B70A2"/>
    <w:rsid w:val="009B727D"/>
    <w:rsid w:val="009B783E"/>
    <w:rsid w:val="009B7B60"/>
    <w:rsid w:val="009B7EC8"/>
    <w:rsid w:val="009C03AD"/>
    <w:rsid w:val="009C04AB"/>
    <w:rsid w:val="009C0600"/>
    <w:rsid w:val="009C09CC"/>
    <w:rsid w:val="009C0A35"/>
    <w:rsid w:val="009C0A7E"/>
    <w:rsid w:val="009C0F17"/>
    <w:rsid w:val="009C11D7"/>
    <w:rsid w:val="009C1593"/>
    <w:rsid w:val="009C1BBC"/>
    <w:rsid w:val="009C1BFB"/>
    <w:rsid w:val="009C1C8E"/>
    <w:rsid w:val="009C1D3C"/>
    <w:rsid w:val="009C25DB"/>
    <w:rsid w:val="009C2856"/>
    <w:rsid w:val="009C28DC"/>
    <w:rsid w:val="009C2916"/>
    <w:rsid w:val="009C299F"/>
    <w:rsid w:val="009C3323"/>
    <w:rsid w:val="009C3436"/>
    <w:rsid w:val="009C363F"/>
    <w:rsid w:val="009C38A1"/>
    <w:rsid w:val="009C3C49"/>
    <w:rsid w:val="009C469F"/>
    <w:rsid w:val="009C46EA"/>
    <w:rsid w:val="009C4F1C"/>
    <w:rsid w:val="009C502C"/>
    <w:rsid w:val="009C5088"/>
    <w:rsid w:val="009C5510"/>
    <w:rsid w:val="009C59D7"/>
    <w:rsid w:val="009C5C74"/>
    <w:rsid w:val="009C5C86"/>
    <w:rsid w:val="009C5FCA"/>
    <w:rsid w:val="009C60BD"/>
    <w:rsid w:val="009C6A06"/>
    <w:rsid w:val="009C6EC4"/>
    <w:rsid w:val="009C7AA5"/>
    <w:rsid w:val="009C7AA8"/>
    <w:rsid w:val="009C7FD6"/>
    <w:rsid w:val="009D0238"/>
    <w:rsid w:val="009D0378"/>
    <w:rsid w:val="009D05C1"/>
    <w:rsid w:val="009D1397"/>
    <w:rsid w:val="009D13C6"/>
    <w:rsid w:val="009D195C"/>
    <w:rsid w:val="009D1AD7"/>
    <w:rsid w:val="009D23B9"/>
    <w:rsid w:val="009D24FA"/>
    <w:rsid w:val="009D2B93"/>
    <w:rsid w:val="009D343A"/>
    <w:rsid w:val="009D39EE"/>
    <w:rsid w:val="009D3AB1"/>
    <w:rsid w:val="009D3AFA"/>
    <w:rsid w:val="009D3D4D"/>
    <w:rsid w:val="009D3FD9"/>
    <w:rsid w:val="009D405D"/>
    <w:rsid w:val="009D442F"/>
    <w:rsid w:val="009D4788"/>
    <w:rsid w:val="009D49C8"/>
    <w:rsid w:val="009D4F69"/>
    <w:rsid w:val="009D5440"/>
    <w:rsid w:val="009D5630"/>
    <w:rsid w:val="009D565B"/>
    <w:rsid w:val="009D56C0"/>
    <w:rsid w:val="009D56CA"/>
    <w:rsid w:val="009D5892"/>
    <w:rsid w:val="009D5C53"/>
    <w:rsid w:val="009D5F89"/>
    <w:rsid w:val="009D5F9C"/>
    <w:rsid w:val="009D5FE9"/>
    <w:rsid w:val="009D60E2"/>
    <w:rsid w:val="009D6246"/>
    <w:rsid w:val="009D67CF"/>
    <w:rsid w:val="009D6DEA"/>
    <w:rsid w:val="009D7471"/>
    <w:rsid w:val="009D7AA2"/>
    <w:rsid w:val="009D7B60"/>
    <w:rsid w:val="009D7BD7"/>
    <w:rsid w:val="009D7C00"/>
    <w:rsid w:val="009D7FF4"/>
    <w:rsid w:val="009E00BD"/>
    <w:rsid w:val="009E05D7"/>
    <w:rsid w:val="009E0CFA"/>
    <w:rsid w:val="009E1115"/>
    <w:rsid w:val="009E11C2"/>
    <w:rsid w:val="009E12C7"/>
    <w:rsid w:val="009E146F"/>
    <w:rsid w:val="009E1613"/>
    <w:rsid w:val="009E17E4"/>
    <w:rsid w:val="009E19AE"/>
    <w:rsid w:val="009E1CD1"/>
    <w:rsid w:val="009E20D9"/>
    <w:rsid w:val="009E24DE"/>
    <w:rsid w:val="009E2506"/>
    <w:rsid w:val="009E25DA"/>
    <w:rsid w:val="009E2AC3"/>
    <w:rsid w:val="009E2E86"/>
    <w:rsid w:val="009E2EEB"/>
    <w:rsid w:val="009E3279"/>
    <w:rsid w:val="009E32D8"/>
    <w:rsid w:val="009E3327"/>
    <w:rsid w:val="009E3813"/>
    <w:rsid w:val="009E43C7"/>
    <w:rsid w:val="009E49E1"/>
    <w:rsid w:val="009E4A47"/>
    <w:rsid w:val="009E4E87"/>
    <w:rsid w:val="009E5BE1"/>
    <w:rsid w:val="009E62BC"/>
    <w:rsid w:val="009E67A5"/>
    <w:rsid w:val="009E7321"/>
    <w:rsid w:val="009E76BC"/>
    <w:rsid w:val="009E7899"/>
    <w:rsid w:val="009E7AB7"/>
    <w:rsid w:val="009E7C31"/>
    <w:rsid w:val="009E7CC4"/>
    <w:rsid w:val="009E7D91"/>
    <w:rsid w:val="009F0167"/>
    <w:rsid w:val="009F06B9"/>
    <w:rsid w:val="009F0A54"/>
    <w:rsid w:val="009F0A7B"/>
    <w:rsid w:val="009F0B4F"/>
    <w:rsid w:val="009F0FB2"/>
    <w:rsid w:val="009F10AA"/>
    <w:rsid w:val="009F1DE2"/>
    <w:rsid w:val="009F1E52"/>
    <w:rsid w:val="009F1FC7"/>
    <w:rsid w:val="009F24BE"/>
    <w:rsid w:val="009F26E1"/>
    <w:rsid w:val="009F2735"/>
    <w:rsid w:val="009F2AD2"/>
    <w:rsid w:val="009F3421"/>
    <w:rsid w:val="009F34E4"/>
    <w:rsid w:val="009F3903"/>
    <w:rsid w:val="009F3BAA"/>
    <w:rsid w:val="009F3D32"/>
    <w:rsid w:val="009F408B"/>
    <w:rsid w:val="009F4540"/>
    <w:rsid w:val="009F4E24"/>
    <w:rsid w:val="009F5227"/>
    <w:rsid w:val="009F5592"/>
    <w:rsid w:val="009F55B9"/>
    <w:rsid w:val="009F578D"/>
    <w:rsid w:val="009F5958"/>
    <w:rsid w:val="009F5B61"/>
    <w:rsid w:val="009F60D8"/>
    <w:rsid w:val="009F628D"/>
    <w:rsid w:val="009F6415"/>
    <w:rsid w:val="009F6422"/>
    <w:rsid w:val="009F6865"/>
    <w:rsid w:val="009F6BD8"/>
    <w:rsid w:val="009F6DE2"/>
    <w:rsid w:val="009F6E91"/>
    <w:rsid w:val="009F70E5"/>
    <w:rsid w:val="009F7542"/>
    <w:rsid w:val="009F78BC"/>
    <w:rsid w:val="009F79EF"/>
    <w:rsid w:val="009F7DC2"/>
    <w:rsid w:val="00A00096"/>
    <w:rsid w:val="00A00122"/>
    <w:rsid w:val="00A0090F"/>
    <w:rsid w:val="00A00910"/>
    <w:rsid w:val="00A00D71"/>
    <w:rsid w:val="00A00ED2"/>
    <w:rsid w:val="00A01001"/>
    <w:rsid w:val="00A01862"/>
    <w:rsid w:val="00A018D1"/>
    <w:rsid w:val="00A01D32"/>
    <w:rsid w:val="00A020E3"/>
    <w:rsid w:val="00A0214A"/>
    <w:rsid w:val="00A0269E"/>
    <w:rsid w:val="00A0298E"/>
    <w:rsid w:val="00A02A3C"/>
    <w:rsid w:val="00A02CB0"/>
    <w:rsid w:val="00A0320D"/>
    <w:rsid w:val="00A03EA9"/>
    <w:rsid w:val="00A0409C"/>
    <w:rsid w:val="00A04188"/>
    <w:rsid w:val="00A04447"/>
    <w:rsid w:val="00A04BA1"/>
    <w:rsid w:val="00A04D49"/>
    <w:rsid w:val="00A04FB4"/>
    <w:rsid w:val="00A0528D"/>
    <w:rsid w:val="00A05D2A"/>
    <w:rsid w:val="00A06182"/>
    <w:rsid w:val="00A06E7B"/>
    <w:rsid w:val="00A06EDB"/>
    <w:rsid w:val="00A06F11"/>
    <w:rsid w:val="00A07187"/>
    <w:rsid w:val="00A0726A"/>
    <w:rsid w:val="00A07627"/>
    <w:rsid w:val="00A0785B"/>
    <w:rsid w:val="00A07B98"/>
    <w:rsid w:val="00A07D32"/>
    <w:rsid w:val="00A07D51"/>
    <w:rsid w:val="00A07D89"/>
    <w:rsid w:val="00A07E77"/>
    <w:rsid w:val="00A100E2"/>
    <w:rsid w:val="00A1074C"/>
    <w:rsid w:val="00A10A42"/>
    <w:rsid w:val="00A10B53"/>
    <w:rsid w:val="00A10F5E"/>
    <w:rsid w:val="00A11165"/>
    <w:rsid w:val="00A1140A"/>
    <w:rsid w:val="00A11611"/>
    <w:rsid w:val="00A11645"/>
    <w:rsid w:val="00A11740"/>
    <w:rsid w:val="00A117D3"/>
    <w:rsid w:val="00A127EC"/>
    <w:rsid w:val="00A12D7E"/>
    <w:rsid w:val="00A137A7"/>
    <w:rsid w:val="00A1383B"/>
    <w:rsid w:val="00A13BD6"/>
    <w:rsid w:val="00A13CC7"/>
    <w:rsid w:val="00A13DA8"/>
    <w:rsid w:val="00A14261"/>
    <w:rsid w:val="00A1451B"/>
    <w:rsid w:val="00A14637"/>
    <w:rsid w:val="00A14682"/>
    <w:rsid w:val="00A147E0"/>
    <w:rsid w:val="00A14C5F"/>
    <w:rsid w:val="00A14E0A"/>
    <w:rsid w:val="00A154F9"/>
    <w:rsid w:val="00A15C29"/>
    <w:rsid w:val="00A15E3A"/>
    <w:rsid w:val="00A16390"/>
    <w:rsid w:val="00A16568"/>
    <w:rsid w:val="00A167CC"/>
    <w:rsid w:val="00A16D80"/>
    <w:rsid w:val="00A16EF1"/>
    <w:rsid w:val="00A172D6"/>
    <w:rsid w:val="00A172F7"/>
    <w:rsid w:val="00A17425"/>
    <w:rsid w:val="00A17628"/>
    <w:rsid w:val="00A17A8D"/>
    <w:rsid w:val="00A2006B"/>
    <w:rsid w:val="00A201E5"/>
    <w:rsid w:val="00A20364"/>
    <w:rsid w:val="00A208CA"/>
    <w:rsid w:val="00A20C03"/>
    <w:rsid w:val="00A210D5"/>
    <w:rsid w:val="00A21588"/>
    <w:rsid w:val="00A21650"/>
    <w:rsid w:val="00A21844"/>
    <w:rsid w:val="00A21C82"/>
    <w:rsid w:val="00A21EAC"/>
    <w:rsid w:val="00A222C8"/>
    <w:rsid w:val="00A22583"/>
    <w:rsid w:val="00A227C9"/>
    <w:rsid w:val="00A22C28"/>
    <w:rsid w:val="00A22EDB"/>
    <w:rsid w:val="00A22F2C"/>
    <w:rsid w:val="00A23202"/>
    <w:rsid w:val="00A232E1"/>
    <w:rsid w:val="00A23641"/>
    <w:rsid w:val="00A2386A"/>
    <w:rsid w:val="00A23952"/>
    <w:rsid w:val="00A2424C"/>
    <w:rsid w:val="00A2442F"/>
    <w:rsid w:val="00A246E4"/>
    <w:rsid w:val="00A247D2"/>
    <w:rsid w:val="00A24822"/>
    <w:rsid w:val="00A248EF"/>
    <w:rsid w:val="00A24900"/>
    <w:rsid w:val="00A24A2C"/>
    <w:rsid w:val="00A24BFE"/>
    <w:rsid w:val="00A24EFD"/>
    <w:rsid w:val="00A250D3"/>
    <w:rsid w:val="00A251CB"/>
    <w:rsid w:val="00A25814"/>
    <w:rsid w:val="00A25FCF"/>
    <w:rsid w:val="00A26047"/>
    <w:rsid w:val="00A268D7"/>
    <w:rsid w:val="00A26C3B"/>
    <w:rsid w:val="00A26CB0"/>
    <w:rsid w:val="00A26D80"/>
    <w:rsid w:val="00A27029"/>
    <w:rsid w:val="00A27031"/>
    <w:rsid w:val="00A271F7"/>
    <w:rsid w:val="00A27CFB"/>
    <w:rsid w:val="00A27D99"/>
    <w:rsid w:val="00A27E36"/>
    <w:rsid w:val="00A30035"/>
    <w:rsid w:val="00A3019F"/>
    <w:rsid w:val="00A303AF"/>
    <w:rsid w:val="00A303C6"/>
    <w:rsid w:val="00A30586"/>
    <w:rsid w:val="00A305EE"/>
    <w:rsid w:val="00A309E8"/>
    <w:rsid w:val="00A30A3B"/>
    <w:rsid w:val="00A30CC8"/>
    <w:rsid w:val="00A313A4"/>
    <w:rsid w:val="00A3153F"/>
    <w:rsid w:val="00A31573"/>
    <w:rsid w:val="00A31A0E"/>
    <w:rsid w:val="00A31A1C"/>
    <w:rsid w:val="00A31C72"/>
    <w:rsid w:val="00A31E8C"/>
    <w:rsid w:val="00A31F85"/>
    <w:rsid w:val="00A3235B"/>
    <w:rsid w:val="00A326E6"/>
    <w:rsid w:val="00A32AEF"/>
    <w:rsid w:val="00A3306C"/>
    <w:rsid w:val="00A3308C"/>
    <w:rsid w:val="00A33138"/>
    <w:rsid w:val="00A33243"/>
    <w:rsid w:val="00A3414F"/>
    <w:rsid w:val="00A341AB"/>
    <w:rsid w:val="00A3430B"/>
    <w:rsid w:val="00A34374"/>
    <w:rsid w:val="00A3456C"/>
    <w:rsid w:val="00A346B5"/>
    <w:rsid w:val="00A34A6C"/>
    <w:rsid w:val="00A3502E"/>
    <w:rsid w:val="00A35672"/>
    <w:rsid w:val="00A35824"/>
    <w:rsid w:val="00A3591A"/>
    <w:rsid w:val="00A35B65"/>
    <w:rsid w:val="00A35C3F"/>
    <w:rsid w:val="00A35E12"/>
    <w:rsid w:val="00A3616C"/>
    <w:rsid w:val="00A361B4"/>
    <w:rsid w:val="00A36334"/>
    <w:rsid w:val="00A365F8"/>
    <w:rsid w:val="00A3695F"/>
    <w:rsid w:val="00A369BB"/>
    <w:rsid w:val="00A369DA"/>
    <w:rsid w:val="00A36B8C"/>
    <w:rsid w:val="00A36B91"/>
    <w:rsid w:val="00A36BA8"/>
    <w:rsid w:val="00A36F21"/>
    <w:rsid w:val="00A36F7E"/>
    <w:rsid w:val="00A37092"/>
    <w:rsid w:val="00A373AD"/>
    <w:rsid w:val="00A37431"/>
    <w:rsid w:val="00A37512"/>
    <w:rsid w:val="00A375DF"/>
    <w:rsid w:val="00A375FA"/>
    <w:rsid w:val="00A37686"/>
    <w:rsid w:val="00A37712"/>
    <w:rsid w:val="00A37BDC"/>
    <w:rsid w:val="00A4009E"/>
    <w:rsid w:val="00A4031E"/>
    <w:rsid w:val="00A405EB"/>
    <w:rsid w:val="00A4062D"/>
    <w:rsid w:val="00A40D81"/>
    <w:rsid w:val="00A40F44"/>
    <w:rsid w:val="00A4114D"/>
    <w:rsid w:val="00A412A2"/>
    <w:rsid w:val="00A41508"/>
    <w:rsid w:val="00A41565"/>
    <w:rsid w:val="00A41B87"/>
    <w:rsid w:val="00A41E6D"/>
    <w:rsid w:val="00A427F4"/>
    <w:rsid w:val="00A42874"/>
    <w:rsid w:val="00A42CE7"/>
    <w:rsid w:val="00A42E68"/>
    <w:rsid w:val="00A43274"/>
    <w:rsid w:val="00A432EF"/>
    <w:rsid w:val="00A434F1"/>
    <w:rsid w:val="00A4362B"/>
    <w:rsid w:val="00A4384D"/>
    <w:rsid w:val="00A43B85"/>
    <w:rsid w:val="00A43D4D"/>
    <w:rsid w:val="00A440AA"/>
    <w:rsid w:val="00A442B5"/>
    <w:rsid w:val="00A44498"/>
    <w:rsid w:val="00A444DA"/>
    <w:rsid w:val="00A44721"/>
    <w:rsid w:val="00A45092"/>
    <w:rsid w:val="00A45262"/>
    <w:rsid w:val="00A455C8"/>
    <w:rsid w:val="00A4592E"/>
    <w:rsid w:val="00A45E44"/>
    <w:rsid w:val="00A45ED1"/>
    <w:rsid w:val="00A45F58"/>
    <w:rsid w:val="00A45F73"/>
    <w:rsid w:val="00A46458"/>
    <w:rsid w:val="00A464DF"/>
    <w:rsid w:val="00A468B4"/>
    <w:rsid w:val="00A46EF8"/>
    <w:rsid w:val="00A4743B"/>
    <w:rsid w:val="00A47928"/>
    <w:rsid w:val="00A47ABF"/>
    <w:rsid w:val="00A47CD0"/>
    <w:rsid w:val="00A47DFB"/>
    <w:rsid w:val="00A47E95"/>
    <w:rsid w:val="00A502B2"/>
    <w:rsid w:val="00A50ABA"/>
    <w:rsid w:val="00A50DD1"/>
    <w:rsid w:val="00A50F00"/>
    <w:rsid w:val="00A510D8"/>
    <w:rsid w:val="00A5185E"/>
    <w:rsid w:val="00A51D1D"/>
    <w:rsid w:val="00A52026"/>
    <w:rsid w:val="00A52133"/>
    <w:rsid w:val="00A522D3"/>
    <w:rsid w:val="00A524E9"/>
    <w:rsid w:val="00A5274D"/>
    <w:rsid w:val="00A52CD2"/>
    <w:rsid w:val="00A533D4"/>
    <w:rsid w:val="00A542A8"/>
    <w:rsid w:val="00A546D4"/>
    <w:rsid w:val="00A54B43"/>
    <w:rsid w:val="00A5540D"/>
    <w:rsid w:val="00A55ED4"/>
    <w:rsid w:val="00A56140"/>
    <w:rsid w:val="00A5614A"/>
    <w:rsid w:val="00A5664E"/>
    <w:rsid w:val="00A56B39"/>
    <w:rsid w:val="00A57569"/>
    <w:rsid w:val="00A57C61"/>
    <w:rsid w:val="00A57F60"/>
    <w:rsid w:val="00A608E2"/>
    <w:rsid w:val="00A60DD6"/>
    <w:rsid w:val="00A61053"/>
    <w:rsid w:val="00A610B7"/>
    <w:rsid w:val="00A6120E"/>
    <w:rsid w:val="00A6137B"/>
    <w:rsid w:val="00A61C78"/>
    <w:rsid w:val="00A62420"/>
    <w:rsid w:val="00A6255C"/>
    <w:rsid w:val="00A62719"/>
    <w:rsid w:val="00A6275C"/>
    <w:rsid w:val="00A633C3"/>
    <w:rsid w:val="00A635A1"/>
    <w:rsid w:val="00A636C9"/>
    <w:rsid w:val="00A63975"/>
    <w:rsid w:val="00A640C2"/>
    <w:rsid w:val="00A6460A"/>
    <w:rsid w:val="00A64BDB"/>
    <w:rsid w:val="00A64D08"/>
    <w:rsid w:val="00A64D95"/>
    <w:rsid w:val="00A65071"/>
    <w:rsid w:val="00A650DB"/>
    <w:rsid w:val="00A65626"/>
    <w:rsid w:val="00A6594B"/>
    <w:rsid w:val="00A65D4C"/>
    <w:rsid w:val="00A65DF6"/>
    <w:rsid w:val="00A65E4E"/>
    <w:rsid w:val="00A65EE4"/>
    <w:rsid w:val="00A6615B"/>
    <w:rsid w:val="00A66167"/>
    <w:rsid w:val="00A66358"/>
    <w:rsid w:val="00A664CE"/>
    <w:rsid w:val="00A6695C"/>
    <w:rsid w:val="00A674C0"/>
    <w:rsid w:val="00A67504"/>
    <w:rsid w:val="00A675CF"/>
    <w:rsid w:val="00A6780D"/>
    <w:rsid w:val="00A67BAC"/>
    <w:rsid w:val="00A7000F"/>
    <w:rsid w:val="00A700E9"/>
    <w:rsid w:val="00A70429"/>
    <w:rsid w:val="00A704FA"/>
    <w:rsid w:val="00A7136E"/>
    <w:rsid w:val="00A716F1"/>
    <w:rsid w:val="00A7178A"/>
    <w:rsid w:val="00A72069"/>
    <w:rsid w:val="00A720CE"/>
    <w:rsid w:val="00A72127"/>
    <w:rsid w:val="00A72248"/>
    <w:rsid w:val="00A7224C"/>
    <w:rsid w:val="00A725EA"/>
    <w:rsid w:val="00A72EEA"/>
    <w:rsid w:val="00A73C26"/>
    <w:rsid w:val="00A73FEC"/>
    <w:rsid w:val="00A740F5"/>
    <w:rsid w:val="00A74AF1"/>
    <w:rsid w:val="00A74B05"/>
    <w:rsid w:val="00A7515A"/>
    <w:rsid w:val="00A7536B"/>
    <w:rsid w:val="00A75538"/>
    <w:rsid w:val="00A75D58"/>
    <w:rsid w:val="00A7640B"/>
    <w:rsid w:val="00A76613"/>
    <w:rsid w:val="00A76BAD"/>
    <w:rsid w:val="00A76D25"/>
    <w:rsid w:val="00A7717B"/>
    <w:rsid w:val="00A77707"/>
    <w:rsid w:val="00A77756"/>
    <w:rsid w:val="00A80081"/>
    <w:rsid w:val="00A80361"/>
    <w:rsid w:val="00A80677"/>
    <w:rsid w:val="00A80790"/>
    <w:rsid w:val="00A8100D"/>
    <w:rsid w:val="00A8122E"/>
    <w:rsid w:val="00A8179F"/>
    <w:rsid w:val="00A81DC6"/>
    <w:rsid w:val="00A81E03"/>
    <w:rsid w:val="00A81E44"/>
    <w:rsid w:val="00A81F93"/>
    <w:rsid w:val="00A81FDB"/>
    <w:rsid w:val="00A820ED"/>
    <w:rsid w:val="00A82125"/>
    <w:rsid w:val="00A82A8A"/>
    <w:rsid w:val="00A82DF6"/>
    <w:rsid w:val="00A82E15"/>
    <w:rsid w:val="00A83199"/>
    <w:rsid w:val="00A8327C"/>
    <w:rsid w:val="00A8342F"/>
    <w:rsid w:val="00A8349B"/>
    <w:rsid w:val="00A8371A"/>
    <w:rsid w:val="00A83926"/>
    <w:rsid w:val="00A83E4B"/>
    <w:rsid w:val="00A842DF"/>
    <w:rsid w:val="00A842E0"/>
    <w:rsid w:val="00A848D3"/>
    <w:rsid w:val="00A848FD"/>
    <w:rsid w:val="00A8571B"/>
    <w:rsid w:val="00A85BFD"/>
    <w:rsid w:val="00A8618F"/>
    <w:rsid w:val="00A86453"/>
    <w:rsid w:val="00A866BF"/>
    <w:rsid w:val="00A86744"/>
    <w:rsid w:val="00A867E7"/>
    <w:rsid w:val="00A8682E"/>
    <w:rsid w:val="00A86A7D"/>
    <w:rsid w:val="00A86B08"/>
    <w:rsid w:val="00A86B57"/>
    <w:rsid w:val="00A86C8C"/>
    <w:rsid w:val="00A8744E"/>
    <w:rsid w:val="00A8745E"/>
    <w:rsid w:val="00A874B2"/>
    <w:rsid w:val="00A87668"/>
    <w:rsid w:val="00A87BCC"/>
    <w:rsid w:val="00A87C28"/>
    <w:rsid w:val="00A87CE5"/>
    <w:rsid w:val="00A904A7"/>
    <w:rsid w:val="00A9072F"/>
    <w:rsid w:val="00A908C5"/>
    <w:rsid w:val="00A9114A"/>
    <w:rsid w:val="00A9158E"/>
    <w:rsid w:val="00A91800"/>
    <w:rsid w:val="00A91E14"/>
    <w:rsid w:val="00A91E5A"/>
    <w:rsid w:val="00A9209D"/>
    <w:rsid w:val="00A92411"/>
    <w:rsid w:val="00A92D5D"/>
    <w:rsid w:val="00A92E0C"/>
    <w:rsid w:val="00A931A3"/>
    <w:rsid w:val="00A93D8A"/>
    <w:rsid w:val="00A94065"/>
    <w:rsid w:val="00A94322"/>
    <w:rsid w:val="00A94333"/>
    <w:rsid w:val="00A94967"/>
    <w:rsid w:val="00A94C85"/>
    <w:rsid w:val="00A94EDE"/>
    <w:rsid w:val="00A95050"/>
    <w:rsid w:val="00A952FF"/>
    <w:rsid w:val="00A95307"/>
    <w:rsid w:val="00A956D1"/>
    <w:rsid w:val="00A9588E"/>
    <w:rsid w:val="00A959FF"/>
    <w:rsid w:val="00A9627D"/>
    <w:rsid w:val="00A962F8"/>
    <w:rsid w:val="00A96874"/>
    <w:rsid w:val="00A96C82"/>
    <w:rsid w:val="00A9704A"/>
    <w:rsid w:val="00A97251"/>
    <w:rsid w:val="00A972A9"/>
    <w:rsid w:val="00A975C8"/>
    <w:rsid w:val="00A976BB"/>
    <w:rsid w:val="00A979B0"/>
    <w:rsid w:val="00A97AC9"/>
    <w:rsid w:val="00AA0774"/>
    <w:rsid w:val="00AA0D21"/>
    <w:rsid w:val="00AA0F58"/>
    <w:rsid w:val="00AA0F59"/>
    <w:rsid w:val="00AA0F6B"/>
    <w:rsid w:val="00AA1130"/>
    <w:rsid w:val="00AA120F"/>
    <w:rsid w:val="00AA14EA"/>
    <w:rsid w:val="00AA174F"/>
    <w:rsid w:val="00AA1891"/>
    <w:rsid w:val="00AA18C4"/>
    <w:rsid w:val="00AA1CA1"/>
    <w:rsid w:val="00AA1DA5"/>
    <w:rsid w:val="00AA20D9"/>
    <w:rsid w:val="00AA2109"/>
    <w:rsid w:val="00AA2D9A"/>
    <w:rsid w:val="00AA332E"/>
    <w:rsid w:val="00AA33A6"/>
    <w:rsid w:val="00AA3416"/>
    <w:rsid w:val="00AA3807"/>
    <w:rsid w:val="00AA3C58"/>
    <w:rsid w:val="00AA44FC"/>
    <w:rsid w:val="00AA45FB"/>
    <w:rsid w:val="00AA4681"/>
    <w:rsid w:val="00AA47AD"/>
    <w:rsid w:val="00AA483F"/>
    <w:rsid w:val="00AA4BF5"/>
    <w:rsid w:val="00AA4C17"/>
    <w:rsid w:val="00AA5022"/>
    <w:rsid w:val="00AA51C1"/>
    <w:rsid w:val="00AA5276"/>
    <w:rsid w:val="00AA55E5"/>
    <w:rsid w:val="00AA5694"/>
    <w:rsid w:val="00AA5B2C"/>
    <w:rsid w:val="00AA5F64"/>
    <w:rsid w:val="00AA619D"/>
    <w:rsid w:val="00AA665D"/>
    <w:rsid w:val="00AA666A"/>
    <w:rsid w:val="00AA68A2"/>
    <w:rsid w:val="00AA7110"/>
    <w:rsid w:val="00AA714D"/>
    <w:rsid w:val="00AA730D"/>
    <w:rsid w:val="00AA7449"/>
    <w:rsid w:val="00AB00A0"/>
    <w:rsid w:val="00AB03DE"/>
    <w:rsid w:val="00AB0978"/>
    <w:rsid w:val="00AB0A1C"/>
    <w:rsid w:val="00AB116A"/>
    <w:rsid w:val="00AB13E4"/>
    <w:rsid w:val="00AB142F"/>
    <w:rsid w:val="00AB250D"/>
    <w:rsid w:val="00AB26ED"/>
    <w:rsid w:val="00AB2C92"/>
    <w:rsid w:val="00AB3002"/>
    <w:rsid w:val="00AB30AC"/>
    <w:rsid w:val="00AB30CD"/>
    <w:rsid w:val="00AB314F"/>
    <w:rsid w:val="00AB3AA1"/>
    <w:rsid w:val="00AB3BD6"/>
    <w:rsid w:val="00AB403E"/>
    <w:rsid w:val="00AB4370"/>
    <w:rsid w:val="00AB46E7"/>
    <w:rsid w:val="00AB489B"/>
    <w:rsid w:val="00AB4E88"/>
    <w:rsid w:val="00AB5025"/>
    <w:rsid w:val="00AB526E"/>
    <w:rsid w:val="00AB56CB"/>
    <w:rsid w:val="00AB5776"/>
    <w:rsid w:val="00AB59AC"/>
    <w:rsid w:val="00AB5EF7"/>
    <w:rsid w:val="00AB5F8C"/>
    <w:rsid w:val="00AB625E"/>
    <w:rsid w:val="00AB6556"/>
    <w:rsid w:val="00AB67D2"/>
    <w:rsid w:val="00AB6810"/>
    <w:rsid w:val="00AB6814"/>
    <w:rsid w:val="00AB6818"/>
    <w:rsid w:val="00AB693C"/>
    <w:rsid w:val="00AB6A7D"/>
    <w:rsid w:val="00AB6B8F"/>
    <w:rsid w:val="00AB7196"/>
    <w:rsid w:val="00AB71E4"/>
    <w:rsid w:val="00AB7395"/>
    <w:rsid w:val="00AB7488"/>
    <w:rsid w:val="00AB7F7B"/>
    <w:rsid w:val="00AC00C6"/>
    <w:rsid w:val="00AC01DB"/>
    <w:rsid w:val="00AC095F"/>
    <w:rsid w:val="00AC0CC2"/>
    <w:rsid w:val="00AC11BB"/>
    <w:rsid w:val="00AC1C07"/>
    <w:rsid w:val="00AC1C56"/>
    <w:rsid w:val="00AC2C8E"/>
    <w:rsid w:val="00AC2CCC"/>
    <w:rsid w:val="00AC3B49"/>
    <w:rsid w:val="00AC3DA9"/>
    <w:rsid w:val="00AC402F"/>
    <w:rsid w:val="00AC41F4"/>
    <w:rsid w:val="00AC422B"/>
    <w:rsid w:val="00AC45CF"/>
    <w:rsid w:val="00AC4836"/>
    <w:rsid w:val="00AC4E6B"/>
    <w:rsid w:val="00AC4E72"/>
    <w:rsid w:val="00AC501C"/>
    <w:rsid w:val="00AC5295"/>
    <w:rsid w:val="00AC55D4"/>
    <w:rsid w:val="00AC5657"/>
    <w:rsid w:val="00AC57CB"/>
    <w:rsid w:val="00AC5CD6"/>
    <w:rsid w:val="00AC5F90"/>
    <w:rsid w:val="00AC5FE6"/>
    <w:rsid w:val="00AC6318"/>
    <w:rsid w:val="00AC63D2"/>
    <w:rsid w:val="00AC640E"/>
    <w:rsid w:val="00AC67DA"/>
    <w:rsid w:val="00AC6ED9"/>
    <w:rsid w:val="00AC743E"/>
    <w:rsid w:val="00AC74A7"/>
    <w:rsid w:val="00AC75C4"/>
    <w:rsid w:val="00AC7CC1"/>
    <w:rsid w:val="00AD00C9"/>
    <w:rsid w:val="00AD01CB"/>
    <w:rsid w:val="00AD0692"/>
    <w:rsid w:val="00AD071A"/>
    <w:rsid w:val="00AD080A"/>
    <w:rsid w:val="00AD0BAA"/>
    <w:rsid w:val="00AD0F7D"/>
    <w:rsid w:val="00AD121A"/>
    <w:rsid w:val="00AD163F"/>
    <w:rsid w:val="00AD1661"/>
    <w:rsid w:val="00AD18B8"/>
    <w:rsid w:val="00AD1AF5"/>
    <w:rsid w:val="00AD1DA8"/>
    <w:rsid w:val="00AD1EA1"/>
    <w:rsid w:val="00AD20B6"/>
    <w:rsid w:val="00AD2196"/>
    <w:rsid w:val="00AD2385"/>
    <w:rsid w:val="00AD25F2"/>
    <w:rsid w:val="00AD264D"/>
    <w:rsid w:val="00AD2885"/>
    <w:rsid w:val="00AD2942"/>
    <w:rsid w:val="00AD2945"/>
    <w:rsid w:val="00AD2B06"/>
    <w:rsid w:val="00AD2E24"/>
    <w:rsid w:val="00AD2E50"/>
    <w:rsid w:val="00AD32EF"/>
    <w:rsid w:val="00AD386C"/>
    <w:rsid w:val="00AD3A19"/>
    <w:rsid w:val="00AD3A45"/>
    <w:rsid w:val="00AD3BA9"/>
    <w:rsid w:val="00AD3FE1"/>
    <w:rsid w:val="00AD46E5"/>
    <w:rsid w:val="00AD4A32"/>
    <w:rsid w:val="00AD4C9C"/>
    <w:rsid w:val="00AD4E33"/>
    <w:rsid w:val="00AD54EA"/>
    <w:rsid w:val="00AD5632"/>
    <w:rsid w:val="00AD5BAB"/>
    <w:rsid w:val="00AD5BFC"/>
    <w:rsid w:val="00AD5CE0"/>
    <w:rsid w:val="00AD5E5E"/>
    <w:rsid w:val="00AD6296"/>
    <w:rsid w:val="00AD6D71"/>
    <w:rsid w:val="00AD6EC1"/>
    <w:rsid w:val="00AD74E8"/>
    <w:rsid w:val="00AD78CC"/>
    <w:rsid w:val="00AD7C37"/>
    <w:rsid w:val="00AE0165"/>
    <w:rsid w:val="00AE02A6"/>
    <w:rsid w:val="00AE0373"/>
    <w:rsid w:val="00AE0BFE"/>
    <w:rsid w:val="00AE0D2D"/>
    <w:rsid w:val="00AE0DC7"/>
    <w:rsid w:val="00AE1044"/>
    <w:rsid w:val="00AE11E5"/>
    <w:rsid w:val="00AE14C7"/>
    <w:rsid w:val="00AE15CF"/>
    <w:rsid w:val="00AE164D"/>
    <w:rsid w:val="00AE1655"/>
    <w:rsid w:val="00AE1791"/>
    <w:rsid w:val="00AE19D4"/>
    <w:rsid w:val="00AE1ABA"/>
    <w:rsid w:val="00AE1D73"/>
    <w:rsid w:val="00AE28E9"/>
    <w:rsid w:val="00AE2B3B"/>
    <w:rsid w:val="00AE3163"/>
    <w:rsid w:val="00AE3199"/>
    <w:rsid w:val="00AE3482"/>
    <w:rsid w:val="00AE37B4"/>
    <w:rsid w:val="00AE38FD"/>
    <w:rsid w:val="00AE3A8B"/>
    <w:rsid w:val="00AE3BC8"/>
    <w:rsid w:val="00AE3DA4"/>
    <w:rsid w:val="00AE3E0D"/>
    <w:rsid w:val="00AE3E31"/>
    <w:rsid w:val="00AE3EC3"/>
    <w:rsid w:val="00AE3EF2"/>
    <w:rsid w:val="00AE464B"/>
    <w:rsid w:val="00AE46A6"/>
    <w:rsid w:val="00AE46EE"/>
    <w:rsid w:val="00AE4766"/>
    <w:rsid w:val="00AE4ACD"/>
    <w:rsid w:val="00AE4FE9"/>
    <w:rsid w:val="00AE50BF"/>
    <w:rsid w:val="00AE540F"/>
    <w:rsid w:val="00AE56A8"/>
    <w:rsid w:val="00AE5EF6"/>
    <w:rsid w:val="00AE6113"/>
    <w:rsid w:val="00AE62DE"/>
    <w:rsid w:val="00AE6730"/>
    <w:rsid w:val="00AE6D17"/>
    <w:rsid w:val="00AE6D7F"/>
    <w:rsid w:val="00AE6E5B"/>
    <w:rsid w:val="00AE7055"/>
    <w:rsid w:val="00AE7146"/>
    <w:rsid w:val="00AE7574"/>
    <w:rsid w:val="00AE766A"/>
    <w:rsid w:val="00AE77AB"/>
    <w:rsid w:val="00AE7801"/>
    <w:rsid w:val="00AE7893"/>
    <w:rsid w:val="00AE7957"/>
    <w:rsid w:val="00AE7BBF"/>
    <w:rsid w:val="00AE7E47"/>
    <w:rsid w:val="00AE7EE6"/>
    <w:rsid w:val="00AF01AB"/>
    <w:rsid w:val="00AF01FF"/>
    <w:rsid w:val="00AF0256"/>
    <w:rsid w:val="00AF02E9"/>
    <w:rsid w:val="00AF0404"/>
    <w:rsid w:val="00AF0836"/>
    <w:rsid w:val="00AF0AA4"/>
    <w:rsid w:val="00AF0B2C"/>
    <w:rsid w:val="00AF0BF9"/>
    <w:rsid w:val="00AF0DCF"/>
    <w:rsid w:val="00AF10C0"/>
    <w:rsid w:val="00AF17E1"/>
    <w:rsid w:val="00AF1977"/>
    <w:rsid w:val="00AF1F16"/>
    <w:rsid w:val="00AF2055"/>
    <w:rsid w:val="00AF224C"/>
    <w:rsid w:val="00AF2C87"/>
    <w:rsid w:val="00AF343C"/>
    <w:rsid w:val="00AF36AF"/>
    <w:rsid w:val="00AF3EC3"/>
    <w:rsid w:val="00AF3F13"/>
    <w:rsid w:val="00AF4017"/>
    <w:rsid w:val="00AF4297"/>
    <w:rsid w:val="00AF48C0"/>
    <w:rsid w:val="00AF4CF1"/>
    <w:rsid w:val="00AF4F7A"/>
    <w:rsid w:val="00AF507A"/>
    <w:rsid w:val="00AF5242"/>
    <w:rsid w:val="00AF5324"/>
    <w:rsid w:val="00AF576D"/>
    <w:rsid w:val="00AF5B4B"/>
    <w:rsid w:val="00AF638D"/>
    <w:rsid w:val="00AF695A"/>
    <w:rsid w:val="00AF6E92"/>
    <w:rsid w:val="00AF71D0"/>
    <w:rsid w:val="00AF732D"/>
    <w:rsid w:val="00B00035"/>
    <w:rsid w:val="00B0067F"/>
    <w:rsid w:val="00B00E1D"/>
    <w:rsid w:val="00B012B9"/>
    <w:rsid w:val="00B0136F"/>
    <w:rsid w:val="00B01BE4"/>
    <w:rsid w:val="00B01C06"/>
    <w:rsid w:val="00B01CB5"/>
    <w:rsid w:val="00B01E36"/>
    <w:rsid w:val="00B02349"/>
    <w:rsid w:val="00B02748"/>
    <w:rsid w:val="00B02936"/>
    <w:rsid w:val="00B02BE9"/>
    <w:rsid w:val="00B030AF"/>
    <w:rsid w:val="00B03C14"/>
    <w:rsid w:val="00B0409E"/>
    <w:rsid w:val="00B04377"/>
    <w:rsid w:val="00B043A8"/>
    <w:rsid w:val="00B0463E"/>
    <w:rsid w:val="00B04937"/>
    <w:rsid w:val="00B04F90"/>
    <w:rsid w:val="00B0510A"/>
    <w:rsid w:val="00B055AA"/>
    <w:rsid w:val="00B055B1"/>
    <w:rsid w:val="00B057DE"/>
    <w:rsid w:val="00B05B05"/>
    <w:rsid w:val="00B05CDF"/>
    <w:rsid w:val="00B05F8A"/>
    <w:rsid w:val="00B060B7"/>
    <w:rsid w:val="00B06269"/>
    <w:rsid w:val="00B0675C"/>
    <w:rsid w:val="00B06FB5"/>
    <w:rsid w:val="00B070F4"/>
    <w:rsid w:val="00B07238"/>
    <w:rsid w:val="00B07245"/>
    <w:rsid w:val="00B07C22"/>
    <w:rsid w:val="00B07C35"/>
    <w:rsid w:val="00B10935"/>
    <w:rsid w:val="00B10B94"/>
    <w:rsid w:val="00B10C16"/>
    <w:rsid w:val="00B10C97"/>
    <w:rsid w:val="00B11110"/>
    <w:rsid w:val="00B11342"/>
    <w:rsid w:val="00B11568"/>
    <w:rsid w:val="00B115E6"/>
    <w:rsid w:val="00B11819"/>
    <w:rsid w:val="00B118D4"/>
    <w:rsid w:val="00B11960"/>
    <w:rsid w:val="00B11E08"/>
    <w:rsid w:val="00B11E38"/>
    <w:rsid w:val="00B125B5"/>
    <w:rsid w:val="00B1297E"/>
    <w:rsid w:val="00B12A99"/>
    <w:rsid w:val="00B12BA7"/>
    <w:rsid w:val="00B12BB5"/>
    <w:rsid w:val="00B12DDA"/>
    <w:rsid w:val="00B134BB"/>
    <w:rsid w:val="00B13D4E"/>
    <w:rsid w:val="00B13EA1"/>
    <w:rsid w:val="00B14432"/>
    <w:rsid w:val="00B14999"/>
    <w:rsid w:val="00B14A83"/>
    <w:rsid w:val="00B14C0E"/>
    <w:rsid w:val="00B15BE7"/>
    <w:rsid w:val="00B15C2B"/>
    <w:rsid w:val="00B165C1"/>
    <w:rsid w:val="00B16923"/>
    <w:rsid w:val="00B16EAD"/>
    <w:rsid w:val="00B171CC"/>
    <w:rsid w:val="00B171CD"/>
    <w:rsid w:val="00B17A9A"/>
    <w:rsid w:val="00B17E39"/>
    <w:rsid w:val="00B17FD1"/>
    <w:rsid w:val="00B2008E"/>
    <w:rsid w:val="00B2023F"/>
    <w:rsid w:val="00B20461"/>
    <w:rsid w:val="00B20831"/>
    <w:rsid w:val="00B20BD8"/>
    <w:rsid w:val="00B20F70"/>
    <w:rsid w:val="00B21316"/>
    <w:rsid w:val="00B218BF"/>
    <w:rsid w:val="00B21C88"/>
    <w:rsid w:val="00B222A0"/>
    <w:rsid w:val="00B2270E"/>
    <w:rsid w:val="00B227CC"/>
    <w:rsid w:val="00B22BC8"/>
    <w:rsid w:val="00B22F49"/>
    <w:rsid w:val="00B22F6A"/>
    <w:rsid w:val="00B22F7C"/>
    <w:rsid w:val="00B2309D"/>
    <w:rsid w:val="00B232E3"/>
    <w:rsid w:val="00B23B44"/>
    <w:rsid w:val="00B23EBE"/>
    <w:rsid w:val="00B2498E"/>
    <w:rsid w:val="00B249E0"/>
    <w:rsid w:val="00B24D54"/>
    <w:rsid w:val="00B24E6F"/>
    <w:rsid w:val="00B25879"/>
    <w:rsid w:val="00B25885"/>
    <w:rsid w:val="00B25A6A"/>
    <w:rsid w:val="00B25CE7"/>
    <w:rsid w:val="00B260B2"/>
    <w:rsid w:val="00B262EF"/>
    <w:rsid w:val="00B264A4"/>
    <w:rsid w:val="00B26653"/>
    <w:rsid w:val="00B26913"/>
    <w:rsid w:val="00B26F96"/>
    <w:rsid w:val="00B27391"/>
    <w:rsid w:val="00B273E3"/>
    <w:rsid w:val="00B276E1"/>
    <w:rsid w:val="00B2788D"/>
    <w:rsid w:val="00B3018F"/>
    <w:rsid w:val="00B301FE"/>
    <w:rsid w:val="00B30287"/>
    <w:rsid w:val="00B30318"/>
    <w:rsid w:val="00B303BE"/>
    <w:rsid w:val="00B30D2E"/>
    <w:rsid w:val="00B315DE"/>
    <w:rsid w:val="00B31C3C"/>
    <w:rsid w:val="00B31EEB"/>
    <w:rsid w:val="00B3265D"/>
    <w:rsid w:val="00B33039"/>
    <w:rsid w:val="00B3344E"/>
    <w:rsid w:val="00B334A0"/>
    <w:rsid w:val="00B33940"/>
    <w:rsid w:val="00B33A47"/>
    <w:rsid w:val="00B33E4F"/>
    <w:rsid w:val="00B33FB2"/>
    <w:rsid w:val="00B345AD"/>
    <w:rsid w:val="00B34849"/>
    <w:rsid w:val="00B34F76"/>
    <w:rsid w:val="00B3504D"/>
    <w:rsid w:val="00B35103"/>
    <w:rsid w:val="00B35125"/>
    <w:rsid w:val="00B35812"/>
    <w:rsid w:val="00B35BEB"/>
    <w:rsid w:val="00B35C01"/>
    <w:rsid w:val="00B36045"/>
    <w:rsid w:val="00B3615D"/>
    <w:rsid w:val="00B36A9B"/>
    <w:rsid w:val="00B36CDA"/>
    <w:rsid w:val="00B36F00"/>
    <w:rsid w:val="00B3785E"/>
    <w:rsid w:val="00B37AFD"/>
    <w:rsid w:val="00B37B22"/>
    <w:rsid w:val="00B4020A"/>
    <w:rsid w:val="00B40501"/>
    <w:rsid w:val="00B405F0"/>
    <w:rsid w:val="00B406BE"/>
    <w:rsid w:val="00B4077E"/>
    <w:rsid w:val="00B407BD"/>
    <w:rsid w:val="00B40C21"/>
    <w:rsid w:val="00B413CB"/>
    <w:rsid w:val="00B4175B"/>
    <w:rsid w:val="00B41CF2"/>
    <w:rsid w:val="00B42009"/>
    <w:rsid w:val="00B42376"/>
    <w:rsid w:val="00B4243B"/>
    <w:rsid w:val="00B424EF"/>
    <w:rsid w:val="00B42C28"/>
    <w:rsid w:val="00B42D96"/>
    <w:rsid w:val="00B435F2"/>
    <w:rsid w:val="00B43660"/>
    <w:rsid w:val="00B43850"/>
    <w:rsid w:val="00B43CDC"/>
    <w:rsid w:val="00B4453B"/>
    <w:rsid w:val="00B4455F"/>
    <w:rsid w:val="00B44606"/>
    <w:rsid w:val="00B446FB"/>
    <w:rsid w:val="00B45015"/>
    <w:rsid w:val="00B45183"/>
    <w:rsid w:val="00B45258"/>
    <w:rsid w:val="00B452AA"/>
    <w:rsid w:val="00B45708"/>
    <w:rsid w:val="00B45A5F"/>
    <w:rsid w:val="00B45FEA"/>
    <w:rsid w:val="00B461FE"/>
    <w:rsid w:val="00B46284"/>
    <w:rsid w:val="00B467A6"/>
    <w:rsid w:val="00B46C5E"/>
    <w:rsid w:val="00B4767D"/>
    <w:rsid w:val="00B47681"/>
    <w:rsid w:val="00B47B48"/>
    <w:rsid w:val="00B47C84"/>
    <w:rsid w:val="00B500B9"/>
    <w:rsid w:val="00B50867"/>
    <w:rsid w:val="00B50CEA"/>
    <w:rsid w:val="00B5136B"/>
    <w:rsid w:val="00B51473"/>
    <w:rsid w:val="00B5161C"/>
    <w:rsid w:val="00B51752"/>
    <w:rsid w:val="00B5194B"/>
    <w:rsid w:val="00B51E2C"/>
    <w:rsid w:val="00B52207"/>
    <w:rsid w:val="00B528D9"/>
    <w:rsid w:val="00B52A92"/>
    <w:rsid w:val="00B52B71"/>
    <w:rsid w:val="00B530B5"/>
    <w:rsid w:val="00B537C8"/>
    <w:rsid w:val="00B537CB"/>
    <w:rsid w:val="00B53C3A"/>
    <w:rsid w:val="00B53D60"/>
    <w:rsid w:val="00B54090"/>
    <w:rsid w:val="00B547DB"/>
    <w:rsid w:val="00B54A4E"/>
    <w:rsid w:val="00B54A57"/>
    <w:rsid w:val="00B54AE1"/>
    <w:rsid w:val="00B550AF"/>
    <w:rsid w:val="00B554C8"/>
    <w:rsid w:val="00B556DE"/>
    <w:rsid w:val="00B557FC"/>
    <w:rsid w:val="00B55841"/>
    <w:rsid w:val="00B55854"/>
    <w:rsid w:val="00B559DA"/>
    <w:rsid w:val="00B55D21"/>
    <w:rsid w:val="00B55D6D"/>
    <w:rsid w:val="00B55F87"/>
    <w:rsid w:val="00B55FCD"/>
    <w:rsid w:val="00B56137"/>
    <w:rsid w:val="00B563A2"/>
    <w:rsid w:val="00B565DD"/>
    <w:rsid w:val="00B566FA"/>
    <w:rsid w:val="00B56A69"/>
    <w:rsid w:val="00B56D3C"/>
    <w:rsid w:val="00B577F2"/>
    <w:rsid w:val="00B57988"/>
    <w:rsid w:val="00B579F3"/>
    <w:rsid w:val="00B57C27"/>
    <w:rsid w:val="00B57C5D"/>
    <w:rsid w:val="00B6014D"/>
    <w:rsid w:val="00B604B6"/>
    <w:rsid w:val="00B60678"/>
    <w:rsid w:val="00B6069C"/>
    <w:rsid w:val="00B60FE4"/>
    <w:rsid w:val="00B613C0"/>
    <w:rsid w:val="00B617B7"/>
    <w:rsid w:val="00B61D7E"/>
    <w:rsid w:val="00B61FF2"/>
    <w:rsid w:val="00B62005"/>
    <w:rsid w:val="00B6216C"/>
    <w:rsid w:val="00B623B2"/>
    <w:rsid w:val="00B62588"/>
    <w:rsid w:val="00B62971"/>
    <w:rsid w:val="00B62FA9"/>
    <w:rsid w:val="00B630E4"/>
    <w:rsid w:val="00B63F80"/>
    <w:rsid w:val="00B64169"/>
    <w:rsid w:val="00B64322"/>
    <w:rsid w:val="00B645E2"/>
    <w:rsid w:val="00B64AF3"/>
    <w:rsid w:val="00B654F0"/>
    <w:rsid w:val="00B65707"/>
    <w:rsid w:val="00B65E4C"/>
    <w:rsid w:val="00B65F7F"/>
    <w:rsid w:val="00B660E4"/>
    <w:rsid w:val="00B66742"/>
    <w:rsid w:val="00B66926"/>
    <w:rsid w:val="00B66F4A"/>
    <w:rsid w:val="00B678AC"/>
    <w:rsid w:val="00B67951"/>
    <w:rsid w:val="00B67A70"/>
    <w:rsid w:val="00B67B42"/>
    <w:rsid w:val="00B67C4C"/>
    <w:rsid w:val="00B67F48"/>
    <w:rsid w:val="00B67F6C"/>
    <w:rsid w:val="00B701FD"/>
    <w:rsid w:val="00B702F4"/>
    <w:rsid w:val="00B70B3F"/>
    <w:rsid w:val="00B70EDE"/>
    <w:rsid w:val="00B71174"/>
    <w:rsid w:val="00B71397"/>
    <w:rsid w:val="00B7162B"/>
    <w:rsid w:val="00B717AD"/>
    <w:rsid w:val="00B71816"/>
    <w:rsid w:val="00B71990"/>
    <w:rsid w:val="00B72164"/>
    <w:rsid w:val="00B72597"/>
    <w:rsid w:val="00B7266E"/>
    <w:rsid w:val="00B72B83"/>
    <w:rsid w:val="00B72D65"/>
    <w:rsid w:val="00B72E0F"/>
    <w:rsid w:val="00B731F5"/>
    <w:rsid w:val="00B736E0"/>
    <w:rsid w:val="00B73B81"/>
    <w:rsid w:val="00B74169"/>
    <w:rsid w:val="00B741B3"/>
    <w:rsid w:val="00B742B4"/>
    <w:rsid w:val="00B742B5"/>
    <w:rsid w:val="00B7487C"/>
    <w:rsid w:val="00B74FA6"/>
    <w:rsid w:val="00B75072"/>
    <w:rsid w:val="00B75081"/>
    <w:rsid w:val="00B75380"/>
    <w:rsid w:val="00B7594E"/>
    <w:rsid w:val="00B75AB0"/>
    <w:rsid w:val="00B762A9"/>
    <w:rsid w:val="00B763C3"/>
    <w:rsid w:val="00B76545"/>
    <w:rsid w:val="00B76B18"/>
    <w:rsid w:val="00B76DB8"/>
    <w:rsid w:val="00B77060"/>
    <w:rsid w:val="00B7765C"/>
    <w:rsid w:val="00B7769A"/>
    <w:rsid w:val="00B77B68"/>
    <w:rsid w:val="00B80606"/>
    <w:rsid w:val="00B80608"/>
    <w:rsid w:val="00B8118E"/>
    <w:rsid w:val="00B816D9"/>
    <w:rsid w:val="00B81AA1"/>
    <w:rsid w:val="00B821C9"/>
    <w:rsid w:val="00B8247B"/>
    <w:rsid w:val="00B824EA"/>
    <w:rsid w:val="00B825E5"/>
    <w:rsid w:val="00B8260A"/>
    <w:rsid w:val="00B826ED"/>
    <w:rsid w:val="00B82886"/>
    <w:rsid w:val="00B82961"/>
    <w:rsid w:val="00B82A5D"/>
    <w:rsid w:val="00B82C61"/>
    <w:rsid w:val="00B82DAC"/>
    <w:rsid w:val="00B8317E"/>
    <w:rsid w:val="00B8342A"/>
    <w:rsid w:val="00B83478"/>
    <w:rsid w:val="00B838A4"/>
    <w:rsid w:val="00B840D2"/>
    <w:rsid w:val="00B84577"/>
    <w:rsid w:val="00B84777"/>
    <w:rsid w:val="00B84B13"/>
    <w:rsid w:val="00B85139"/>
    <w:rsid w:val="00B85B85"/>
    <w:rsid w:val="00B85D27"/>
    <w:rsid w:val="00B85F25"/>
    <w:rsid w:val="00B85F37"/>
    <w:rsid w:val="00B861AB"/>
    <w:rsid w:val="00B86338"/>
    <w:rsid w:val="00B8646C"/>
    <w:rsid w:val="00B8647A"/>
    <w:rsid w:val="00B8648F"/>
    <w:rsid w:val="00B865A4"/>
    <w:rsid w:val="00B86A0C"/>
    <w:rsid w:val="00B86B75"/>
    <w:rsid w:val="00B87021"/>
    <w:rsid w:val="00B870BA"/>
    <w:rsid w:val="00B870C3"/>
    <w:rsid w:val="00B87111"/>
    <w:rsid w:val="00B871F6"/>
    <w:rsid w:val="00B87338"/>
    <w:rsid w:val="00B87697"/>
    <w:rsid w:val="00B87B2B"/>
    <w:rsid w:val="00B90484"/>
    <w:rsid w:val="00B90593"/>
    <w:rsid w:val="00B90E97"/>
    <w:rsid w:val="00B91338"/>
    <w:rsid w:val="00B91837"/>
    <w:rsid w:val="00B91AEE"/>
    <w:rsid w:val="00B92C62"/>
    <w:rsid w:val="00B92CA5"/>
    <w:rsid w:val="00B92FFF"/>
    <w:rsid w:val="00B93AFC"/>
    <w:rsid w:val="00B93D6E"/>
    <w:rsid w:val="00B94151"/>
    <w:rsid w:val="00B948AC"/>
    <w:rsid w:val="00B94F14"/>
    <w:rsid w:val="00B95850"/>
    <w:rsid w:val="00B9595F"/>
    <w:rsid w:val="00B96226"/>
    <w:rsid w:val="00B964A4"/>
    <w:rsid w:val="00B966B0"/>
    <w:rsid w:val="00B969C0"/>
    <w:rsid w:val="00B96A2D"/>
    <w:rsid w:val="00B970A8"/>
    <w:rsid w:val="00B973F2"/>
    <w:rsid w:val="00B97E1C"/>
    <w:rsid w:val="00B97FF8"/>
    <w:rsid w:val="00BA042D"/>
    <w:rsid w:val="00BA05F7"/>
    <w:rsid w:val="00BA0D77"/>
    <w:rsid w:val="00BA0EC6"/>
    <w:rsid w:val="00BA15DA"/>
    <w:rsid w:val="00BA16C5"/>
    <w:rsid w:val="00BA1886"/>
    <w:rsid w:val="00BA1896"/>
    <w:rsid w:val="00BA19FC"/>
    <w:rsid w:val="00BA1B68"/>
    <w:rsid w:val="00BA1DE1"/>
    <w:rsid w:val="00BA2A9E"/>
    <w:rsid w:val="00BA3494"/>
    <w:rsid w:val="00BA358C"/>
    <w:rsid w:val="00BA3B13"/>
    <w:rsid w:val="00BA413F"/>
    <w:rsid w:val="00BA4294"/>
    <w:rsid w:val="00BA44C3"/>
    <w:rsid w:val="00BA467A"/>
    <w:rsid w:val="00BA46E0"/>
    <w:rsid w:val="00BA4958"/>
    <w:rsid w:val="00BA4D7E"/>
    <w:rsid w:val="00BA5693"/>
    <w:rsid w:val="00BA583A"/>
    <w:rsid w:val="00BA596F"/>
    <w:rsid w:val="00BA5980"/>
    <w:rsid w:val="00BA5B2C"/>
    <w:rsid w:val="00BA60A7"/>
    <w:rsid w:val="00BA62E9"/>
    <w:rsid w:val="00BA6961"/>
    <w:rsid w:val="00BA6A52"/>
    <w:rsid w:val="00BA6DD0"/>
    <w:rsid w:val="00BA6EEC"/>
    <w:rsid w:val="00BA7CDE"/>
    <w:rsid w:val="00BA7D4D"/>
    <w:rsid w:val="00BA7D6D"/>
    <w:rsid w:val="00BB010F"/>
    <w:rsid w:val="00BB02DA"/>
    <w:rsid w:val="00BB032D"/>
    <w:rsid w:val="00BB198F"/>
    <w:rsid w:val="00BB1AEE"/>
    <w:rsid w:val="00BB1EDD"/>
    <w:rsid w:val="00BB1EE0"/>
    <w:rsid w:val="00BB24BE"/>
    <w:rsid w:val="00BB24F2"/>
    <w:rsid w:val="00BB2758"/>
    <w:rsid w:val="00BB2936"/>
    <w:rsid w:val="00BB2BFC"/>
    <w:rsid w:val="00BB2CB5"/>
    <w:rsid w:val="00BB2DEB"/>
    <w:rsid w:val="00BB2E48"/>
    <w:rsid w:val="00BB2E6B"/>
    <w:rsid w:val="00BB3B27"/>
    <w:rsid w:val="00BB3D50"/>
    <w:rsid w:val="00BB3D64"/>
    <w:rsid w:val="00BB3F12"/>
    <w:rsid w:val="00BB4865"/>
    <w:rsid w:val="00BB48C7"/>
    <w:rsid w:val="00BB542F"/>
    <w:rsid w:val="00BB564C"/>
    <w:rsid w:val="00BB565B"/>
    <w:rsid w:val="00BB5679"/>
    <w:rsid w:val="00BB587F"/>
    <w:rsid w:val="00BB5908"/>
    <w:rsid w:val="00BB591B"/>
    <w:rsid w:val="00BB5A91"/>
    <w:rsid w:val="00BB5CA6"/>
    <w:rsid w:val="00BB6666"/>
    <w:rsid w:val="00BB6E88"/>
    <w:rsid w:val="00BB6F4E"/>
    <w:rsid w:val="00BB7178"/>
    <w:rsid w:val="00BB71A0"/>
    <w:rsid w:val="00BB7470"/>
    <w:rsid w:val="00BB7657"/>
    <w:rsid w:val="00BB7787"/>
    <w:rsid w:val="00BB7B5D"/>
    <w:rsid w:val="00BB7F4D"/>
    <w:rsid w:val="00BC0190"/>
    <w:rsid w:val="00BC02F0"/>
    <w:rsid w:val="00BC0331"/>
    <w:rsid w:val="00BC03AE"/>
    <w:rsid w:val="00BC0430"/>
    <w:rsid w:val="00BC04CE"/>
    <w:rsid w:val="00BC0C64"/>
    <w:rsid w:val="00BC12F7"/>
    <w:rsid w:val="00BC13A9"/>
    <w:rsid w:val="00BC142B"/>
    <w:rsid w:val="00BC14F0"/>
    <w:rsid w:val="00BC15AF"/>
    <w:rsid w:val="00BC161F"/>
    <w:rsid w:val="00BC1B61"/>
    <w:rsid w:val="00BC1E87"/>
    <w:rsid w:val="00BC2132"/>
    <w:rsid w:val="00BC2570"/>
    <w:rsid w:val="00BC2ABD"/>
    <w:rsid w:val="00BC34F4"/>
    <w:rsid w:val="00BC3BF3"/>
    <w:rsid w:val="00BC3CB5"/>
    <w:rsid w:val="00BC41D5"/>
    <w:rsid w:val="00BC47E0"/>
    <w:rsid w:val="00BC527D"/>
    <w:rsid w:val="00BC59BC"/>
    <w:rsid w:val="00BC5A57"/>
    <w:rsid w:val="00BC5FB5"/>
    <w:rsid w:val="00BC6194"/>
    <w:rsid w:val="00BC6218"/>
    <w:rsid w:val="00BC66F4"/>
    <w:rsid w:val="00BC6938"/>
    <w:rsid w:val="00BC69E9"/>
    <w:rsid w:val="00BC6F31"/>
    <w:rsid w:val="00BC713D"/>
    <w:rsid w:val="00BC72FB"/>
    <w:rsid w:val="00BC78D3"/>
    <w:rsid w:val="00BC7D7A"/>
    <w:rsid w:val="00BD0652"/>
    <w:rsid w:val="00BD06D6"/>
    <w:rsid w:val="00BD113D"/>
    <w:rsid w:val="00BD1507"/>
    <w:rsid w:val="00BD1939"/>
    <w:rsid w:val="00BD2039"/>
    <w:rsid w:val="00BD23EB"/>
    <w:rsid w:val="00BD2436"/>
    <w:rsid w:val="00BD267A"/>
    <w:rsid w:val="00BD2B97"/>
    <w:rsid w:val="00BD2FFF"/>
    <w:rsid w:val="00BD3078"/>
    <w:rsid w:val="00BD35B0"/>
    <w:rsid w:val="00BD3A33"/>
    <w:rsid w:val="00BD3CC7"/>
    <w:rsid w:val="00BD4A2D"/>
    <w:rsid w:val="00BD4AA5"/>
    <w:rsid w:val="00BD521F"/>
    <w:rsid w:val="00BD52B7"/>
    <w:rsid w:val="00BD5800"/>
    <w:rsid w:val="00BD5A84"/>
    <w:rsid w:val="00BD5BBD"/>
    <w:rsid w:val="00BD5BE2"/>
    <w:rsid w:val="00BD5DFD"/>
    <w:rsid w:val="00BD5ECF"/>
    <w:rsid w:val="00BD61F5"/>
    <w:rsid w:val="00BD644D"/>
    <w:rsid w:val="00BD6A58"/>
    <w:rsid w:val="00BD6A9A"/>
    <w:rsid w:val="00BD6BEA"/>
    <w:rsid w:val="00BD6D44"/>
    <w:rsid w:val="00BD6D7F"/>
    <w:rsid w:val="00BD720D"/>
    <w:rsid w:val="00BD72BA"/>
    <w:rsid w:val="00BD7838"/>
    <w:rsid w:val="00BD7A6F"/>
    <w:rsid w:val="00BE029C"/>
    <w:rsid w:val="00BE0B92"/>
    <w:rsid w:val="00BE0DF2"/>
    <w:rsid w:val="00BE0E22"/>
    <w:rsid w:val="00BE0FAE"/>
    <w:rsid w:val="00BE10B4"/>
    <w:rsid w:val="00BE1248"/>
    <w:rsid w:val="00BE1D70"/>
    <w:rsid w:val="00BE2353"/>
    <w:rsid w:val="00BE2400"/>
    <w:rsid w:val="00BE277F"/>
    <w:rsid w:val="00BE28F9"/>
    <w:rsid w:val="00BE29B0"/>
    <w:rsid w:val="00BE2C0D"/>
    <w:rsid w:val="00BE2CB2"/>
    <w:rsid w:val="00BE2D99"/>
    <w:rsid w:val="00BE350A"/>
    <w:rsid w:val="00BE4219"/>
    <w:rsid w:val="00BE447C"/>
    <w:rsid w:val="00BE44F2"/>
    <w:rsid w:val="00BE4A3B"/>
    <w:rsid w:val="00BE5055"/>
    <w:rsid w:val="00BE55C2"/>
    <w:rsid w:val="00BE56E7"/>
    <w:rsid w:val="00BE5937"/>
    <w:rsid w:val="00BE5A17"/>
    <w:rsid w:val="00BE5B03"/>
    <w:rsid w:val="00BE6142"/>
    <w:rsid w:val="00BE6375"/>
    <w:rsid w:val="00BE6496"/>
    <w:rsid w:val="00BE6AA7"/>
    <w:rsid w:val="00BE6D7B"/>
    <w:rsid w:val="00BE7024"/>
    <w:rsid w:val="00BE789E"/>
    <w:rsid w:val="00BE7E95"/>
    <w:rsid w:val="00BE7F5D"/>
    <w:rsid w:val="00BF0104"/>
    <w:rsid w:val="00BF02A5"/>
    <w:rsid w:val="00BF07D2"/>
    <w:rsid w:val="00BF09AA"/>
    <w:rsid w:val="00BF0B12"/>
    <w:rsid w:val="00BF0BE9"/>
    <w:rsid w:val="00BF0C37"/>
    <w:rsid w:val="00BF138A"/>
    <w:rsid w:val="00BF1687"/>
    <w:rsid w:val="00BF1C99"/>
    <w:rsid w:val="00BF1E38"/>
    <w:rsid w:val="00BF1E7B"/>
    <w:rsid w:val="00BF21DE"/>
    <w:rsid w:val="00BF230A"/>
    <w:rsid w:val="00BF2C69"/>
    <w:rsid w:val="00BF32D0"/>
    <w:rsid w:val="00BF33BC"/>
    <w:rsid w:val="00BF34F4"/>
    <w:rsid w:val="00BF390E"/>
    <w:rsid w:val="00BF439D"/>
    <w:rsid w:val="00BF43AD"/>
    <w:rsid w:val="00BF4485"/>
    <w:rsid w:val="00BF4961"/>
    <w:rsid w:val="00BF4D8F"/>
    <w:rsid w:val="00BF533A"/>
    <w:rsid w:val="00BF5721"/>
    <w:rsid w:val="00BF5AE7"/>
    <w:rsid w:val="00BF5FE7"/>
    <w:rsid w:val="00BF63C8"/>
    <w:rsid w:val="00BF68B5"/>
    <w:rsid w:val="00BF7974"/>
    <w:rsid w:val="00C00041"/>
    <w:rsid w:val="00C00570"/>
    <w:rsid w:val="00C0075C"/>
    <w:rsid w:val="00C00A69"/>
    <w:rsid w:val="00C00AAF"/>
    <w:rsid w:val="00C00E07"/>
    <w:rsid w:val="00C01241"/>
    <w:rsid w:val="00C0135F"/>
    <w:rsid w:val="00C01898"/>
    <w:rsid w:val="00C018BB"/>
    <w:rsid w:val="00C01A8F"/>
    <w:rsid w:val="00C01FE6"/>
    <w:rsid w:val="00C024BA"/>
    <w:rsid w:val="00C0269C"/>
    <w:rsid w:val="00C028A5"/>
    <w:rsid w:val="00C02C96"/>
    <w:rsid w:val="00C02E17"/>
    <w:rsid w:val="00C0302D"/>
    <w:rsid w:val="00C033EB"/>
    <w:rsid w:val="00C03586"/>
    <w:rsid w:val="00C0376C"/>
    <w:rsid w:val="00C03882"/>
    <w:rsid w:val="00C038CB"/>
    <w:rsid w:val="00C03DC1"/>
    <w:rsid w:val="00C03F91"/>
    <w:rsid w:val="00C04194"/>
    <w:rsid w:val="00C041E2"/>
    <w:rsid w:val="00C042B9"/>
    <w:rsid w:val="00C046B6"/>
    <w:rsid w:val="00C04CA7"/>
    <w:rsid w:val="00C04EF3"/>
    <w:rsid w:val="00C04F7B"/>
    <w:rsid w:val="00C050EF"/>
    <w:rsid w:val="00C0534C"/>
    <w:rsid w:val="00C058B5"/>
    <w:rsid w:val="00C05FDB"/>
    <w:rsid w:val="00C06CFA"/>
    <w:rsid w:val="00C06F71"/>
    <w:rsid w:val="00C0715C"/>
    <w:rsid w:val="00C075C5"/>
    <w:rsid w:val="00C076D5"/>
    <w:rsid w:val="00C07A4F"/>
    <w:rsid w:val="00C07F3D"/>
    <w:rsid w:val="00C10213"/>
    <w:rsid w:val="00C1048B"/>
    <w:rsid w:val="00C10992"/>
    <w:rsid w:val="00C109CF"/>
    <w:rsid w:val="00C10C10"/>
    <w:rsid w:val="00C11104"/>
    <w:rsid w:val="00C113B4"/>
    <w:rsid w:val="00C12235"/>
    <w:rsid w:val="00C12288"/>
    <w:rsid w:val="00C12348"/>
    <w:rsid w:val="00C123E1"/>
    <w:rsid w:val="00C12483"/>
    <w:rsid w:val="00C12C46"/>
    <w:rsid w:val="00C12C89"/>
    <w:rsid w:val="00C12FAF"/>
    <w:rsid w:val="00C130FF"/>
    <w:rsid w:val="00C138C8"/>
    <w:rsid w:val="00C141A3"/>
    <w:rsid w:val="00C142D1"/>
    <w:rsid w:val="00C14489"/>
    <w:rsid w:val="00C144F2"/>
    <w:rsid w:val="00C149E8"/>
    <w:rsid w:val="00C14D32"/>
    <w:rsid w:val="00C14FFB"/>
    <w:rsid w:val="00C1505F"/>
    <w:rsid w:val="00C152CA"/>
    <w:rsid w:val="00C15AB4"/>
    <w:rsid w:val="00C15B4B"/>
    <w:rsid w:val="00C15D3D"/>
    <w:rsid w:val="00C15E56"/>
    <w:rsid w:val="00C16113"/>
    <w:rsid w:val="00C165CD"/>
    <w:rsid w:val="00C1672F"/>
    <w:rsid w:val="00C169CD"/>
    <w:rsid w:val="00C16F3F"/>
    <w:rsid w:val="00C170B2"/>
    <w:rsid w:val="00C17362"/>
    <w:rsid w:val="00C176CD"/>
    <w:rsid w:val="00C200B1"/>
    <w:rsid w:val="00C2016A"/>
    <w:rsid w:val="00C20293"/>
    <w:rsid w:val="00C202E3"/>
    <w:rsid w:val="00C204DC"/>
    <w:rsid w:val="00C20566"/>
    <w:rsid w:val="00C20AD2"/>
    <w:rsid w:val="00C20AF0"/>
    <w:rsid w:val="00C20EC0"/>
    <w:rsid w:val="00C20FBB"/>
    <w:rsid w:val="00C21422"/>
    <w:rsid w:val="00C21669"/>
    <w:rsid w:val="00C2192A"/>
    <w:rsid w:val="00C21982"/>
    <w:rsid w:val="00C21CE2"/>
    <w:rsid w:val="00C22062"/>
    <w:rsid w:val="00C2260E"/>
    <w:rsid w:val="00C22ECB"/>
    <w:rsid w:val="00C2316D"/>
    <w:rsid w:val="00C237C7"/>
    <w:rsid w:val="00C23820"/>
    <w:rsid w:val="00C239B5"/>
    <w:rsid w:val="00C23A3B"/>
    <w:rsid w:val="00C23B13"/>
    <w:rsid w:val="00C23CA1"/>
    <w:rsid w:val="00C23E4E"/>
    <w:rsid w:val="00C247D5"/>
    <w:rsid w:val="00C24884"/>
    <w:rsid w:val="00C24900"/>
    <w:rsid w:val="00C24DCF"/>
    <w:rsid w:val="00C24F11"/>
    <w:rsid w:val="00C25492"/>
    <w:rsid w:val="00C25586"/>
    <w:rsid w:val="00C257E4"/>
    <w:rsid w:val="00C258B1"/>
    <w:rsid w:val="00C259FF"/>
    <w:rsid w:val="00C25E60"/>
    <w:rsid w:val="00C26A4D"/>
    <w:rsid w:val="00C26C54"/>
    <w:rsid w:val="00C27521"/>
    <w:rsid w:val="00C27681"/>
    <w:rsid w:val="00C27DB8"/>
    <w:rsid w:val="00C27FF3"/>
    <w:rsid w:val="00C307BA"/>
    <w:rsid w:val="00C308E7"/>
    <w:rsid w:val="00C30B56"/>
    <w:rsid w:val="00C30CDC"/>
    <w:rsid w:val="00C30E13"/>
    <w:rsid w:val="00C3108B"/>
    <w:rsid w:val="00C314B3"/>
    <w:rsid w:val="00C31689"/>
    <w:rsid w:val="00C31876"/>
    <w:rsid w:val="00C31AC2"/>
    <w:rsid w:val="00C31C74"/>
    <w:rsid w:val="00C32153"/>
    <w:rsid w:val="00C3234A"/>
    <w:rsid w:val="00C32520"/>
    <w:rsid w:val="00C32B58"/>
    <w:rsid w:val="00C32C7D"/>
    <w:rsid w:val="00C330CE"/>
    <w:rsid w:val="00C33128"/>
    <w:rsid w:val="00C3355B"/>
    <w:rsid w:val="00C33945"/>
    <w:rsid w:val="00C3405F"/>
    <w:rsid w:val="00C342F6"/>
    <w:rsid w:val="00C34376"/>
    <w:rsid w:val="00C346F3"/>
    <w:rsid w:val="00C34BA0"/>
    <w:rsid w:val="00C34F04"/>
    <w:rsid w:val="00C35458"/>
    <w:rsid w:val="00C3547C"/>
    <w:rsid w:val="00C357F7"/>
    <w:rsid w:val="00C35A28"/>
    <w:rsid w:val="00C35DC2"/>
    <w:rsid w:val="00C3611E"/>
    <w:rsid w:val="00C365BF"/>
    <w:rsid w:val="00C36709"/>
    <w:rsid w:val="00C36897"/>
    <w:rsid w:val="00C36F2C"/>
    <w:rsid w:val="00C370D1"/>
    <w:rsid w:val="00C37361"/>
    <w:rsid w:val="00C37504"/>
    <w:rsid w:val="00C377F4"/>
    <w:rsid w:val="00C378E7"/>
    <w:rsid w:val="00C37A15"/>
    <w:rsid w:val="00C37C50"/>
    <w:rsid w:val="00C37CD9"/>
    <w:rsid w:val="00C37D67"/>
    <w:rsid w:val="00C37E65"/>
    <w:rsid w:val="00C37FC5"/>
    <w:rsid w:val="00C37FFE"/>
    <w:rsid w:val="00C40185"/>
    <w:rsid w:val="00C40405"/>
    <w:rsid w:val="00C408B9"/>
    <w:rsid w:val="00C40D3D"/>
    <w:rsid w:val="00C40D4C"/>
    <w:rsid w:val="00C41253"/>
    <w:rsid w:val="00C41596"/>
    <w:rsid w:val="00C41B54"/>
    <w:rsid w:val="00C41C26"/>
    <w:rsid w:val="00C42054"/>
    <w:rsid w:val="00C425D9"/>
    <w:rsid w:val="00C42915"/>
    <w:rsid w:val="00C42C55"/>
    <w:rsid w:val="00C42F7F"/>
    <w:rsid w:val="00C431F6"/>
    <w:rsid w:val="00C437CB"/>
    <w:rsid w:val="00C43802"/>
    <w:rsid w:val="00C43B3F"/>
    <w:rsid w:val="00C43E53"/>
    <w:rsid w:val="00C44496"/>
    <w:rsid w:val="00C455D4"/>
    <w:rsid w:val="00C45748"/>
    <w:rsid w:val="00C4590D"/>
    <w:rsid w:val="00C4591F"/>
    <w:rsid w:val="00C459A3"/>
    <w:rsid w:val="00C45A15"/>
    <w:rsid w:val="00C45BAB"/>
    <w:rsid w:val="00C45C1B"/>
    <w:rsid w:val="00C45F94"/>
    <w:rsid w:val="00C46077"/>
    <w:rsid w:val="00C463F1"/>
    <w:rsid w:val="00C46444"/>
    <w:rsid w:val="00C46447"/>
    <w:rsid w:val="00C46B92"/>
    <w:rsid w:val="00C4709C"/>
    <w:rsid w:val="00C47376"/>
    <w:rsid w:val="00C47C18"/>
    <w:rsid w:val="00C50102"/>
    <w:rsid w:val="00C502C1"/>
    <w:rsid w:val="00C50329"/>
    <w:rsid w:val="00C50358"/>
    <w:rsid w:val="00C50589"/>
    <w:rsid w:val="00C505BC"/>
    <w:rsid w:val="00C506EA"/>
    <w:rsid w:val="00C50AFE"/>
    <w:rsid w:val="00C50E95"/>
    <w:rsid w:val="00C51021"/>
    <w:rsid w:val="00C51128"/>
    <w:rsid w:val="00C5114C"/>
    <w:rsid w:val="00C5115C"/>
    <w:rsid w:val="00C51277"/>
    <w:rsid w:val="00C51638"/>
    <w:rsid w:val="00C5187B"/>
    <w:rsid w:val="00C52220"/>
    <w:rsid w:val="00C52242"/>
    <w:rsid w:val="00C52322"/>
    <w:rsid w:val="00C52662"/>
    <w:rsid w:val="00C5275E"/>
    <w:rsid w:val="00C527CD"/>
    <w:rsid w:val="00C528D7"/>
    <w:rsid w:val="00C52C61"/>
    <w:rsid w:val="00C52FFC"/>
    <w:rsid w:val="00C53032"/>
    <w:rsid w:val="00C53426"/>
    <w:rsid w:val="00C53888"/>
    <w:rsid w:val="00C54D4D"/>
    <w:rsid w:val="00C54DA1"/>
    <w:rsid w:val="00C558E2"/>
    <w:rsid w:val="00C55ABA"/>
    <w:rsid w:val="00C56061"/>
    <w:rsid w:val="00C56276"/>
    <w:rsid w:val="00C5639F"/>
    <w:rsid w:val="00C565A6"/>
    <w:rsid w:val="00C567F6"/>
    <w:rsid w:val="00C56D4C"/>
    <w:rsid w:val="00C5765F"/>
    <w:rsid w:val="00C576BC"/>
    <w:rsid w:val="00C57789"/>
    <w:rsid w:val="00C57843"/>
    <w:rsid w:val="00C579B1"/>
    <w:rsid w:val="00C57B0D"/>
    <w:rsid w:val="00C57D10"/>
    <w:rsid w:val="00C57D7B"/>
    <w:rsid w:val="00C57F07"/>
    <w:rsid w:val="00C60895"/>
    <w:rsid w:val="00C6090A"/>
    <w:rsid w:val="00C60ACC"/>
    <w:rsid w:val="00C60BA9"/>
    <w:rsid w:val="00C60C69"/>
    <w:rsid w:val="00C60C90"/>
    <w:rsid w:val="00C61097"/>
    <w:rsid w:val="00C6109D"/>
    <w:rsid w:val="00C610BE"/>
    <w:rsid w:val="00C61127"/>
    <w:rsid w:val="00C613BD"/>
    <w:rsid w:val="00C61650"/>
    <w:rsid w:val="00C61830"/>
    <w:rsid w:val="00C61BF6"/>
    <w:rsid w:val="00C61CF9"/>
    <w:rsid w:val="00C61D18"/>
    <w:rsid w:val="00C61D5E"/>
    <w:rsid w:val="00C61FCE"/>
    <w:rsid w:val="00C61FFC"/>
    <w:rsid w:val="00C62332"/>
    <w:rsid w:val="00C6274E"/>
    <w:rsid w:val="00C628B8"/>
    <w:rsid w:val="00C62BA3"/>
    <w:rsid w:val="00C63254"/>
    <w:rsid w:val="00C635FE"/>
    <w:rsid w:val="00C638B5"/>
    <w:rsid w:val="00C6428D"/>
    <w:rsid w:val="00C6455F"/>
    <w:rsid w:val="00C646AE"/>
    <w:rsid w:val="00C647E8"/>
    <w:rsid w:val="00C6499C"/>
    <w:rsid w:val="00C64BD3"/>
    <w:rsid w:val="00C650C9"/>
    <w:rsid w:val="00C656F1"/>
    <w:rsid w:val="00C658DC"/>
    <w:rsid w:val="00C66013"/>
    <w:rsid w:val="00C665CA"/>
    <w:rsid w:val="00C674EC"/>
    <w:rsid w:val="00C67625"/>
    <w:rsid w:val="00C67AA4"/>
    <w:rsid w:val="00C67C39"/>
    <w:rsid w:val="00C67DEF"/>
    <w:rsid w:val="00C70128"/>
    <w:rsid w:val="00C70283"/>
    <w:rsid w:val="00C70D79"/>
    <w:rsid w:val="00C71086"/>
    <w:rsid w:val="00C711B3"/>
    <w:rsid w:val="00C71542"/>
    <w:rsid w:val="00C71DD5"/>
    <w:rsid w:val="00C71EF2"/>
    <w:rsid w:val="00C72067"/>
    <w:rsid w:val="00C727CA"/>
    <w:rsid w:val="00C72B1B"/>
    <w:rsid w:val="00C72F36"/>
    <w:rsid w:val="00C7306B"/>
    <w:rsid w:val="00C730F9"/>
    <w:rsid w:val="00C7320F"/>
    <w:rsid w:val="00C73301"/>
    <w:rsid w:val="00C738BE"/>
    <w:rsid w:val="00C73904"/>
    <w:rsid w:val="00C73F78"/>
    <w:rsid w:val="00C7456D"/>
    <w:rsid w:val="00C746B5"/>
    <w:rsid w:val="00C74E2A"/>
    <w:rsid w:val="00C75298"/>
    <w:rsid w:val="00C76420"/>
    <w:rsid w:val="00C76BCA"/>
    <w:rsid w:val="00C76C61"/>
    <w:rsid w:val="00C76DC7"/>
    <w:rsid w:val="00C774F3"/>
    <w:rsid w:val="00C77601"/>
    <w:rsid w:val="00C777BD"/>
    <w:rsid w:val="00C777D4"/>
    <w:rsid w:val="00C77AA9"/>
    <w:rsid w:val="00C77CFE"/>
    <w:rsid w:val="00C802ED"/>
    <w:rsid w:val="00C8083E"/>
    <w:rsid w:val="00C80B3F"/>
    <w:rsid w:val="00C80C2A"/>
    <w:rsid w:val="00C80C90"/>
    <w:rsid w:val="00C810D7"/>
    <w:rsid w:val="00C81176"/>
    <w:rsid w:val="00C814AD"/>
    <w:rsid w:val="00C81C31"/>
    <w:rsid w:val="00C81F84"/>
    <w:rsid w:val="00C820D9"/>
    <w:rsid w:val="00C822CB"/>
    <w:rsid w:val="00C82BE9"/>
    <w:rsid w:val="00C831D5"/>
    <w:rsid w:val="00C8375A"/>
    <w:rsid w:val="00C83763"/>
    <w:rsid w:val="00C839EC"/>
    <w:rsid w:val="00C83BC1"/>
    <w:rsid w:val="00C83D90"/>
    <w:rsid w:val="00C844AF"/>
    <w:rsid w:val="00C844BC"/>
    <w:rsid w:val="00C847A9"/>
    <w:rsid w:val="00C84B1D"/>
    <w:rsid w:val="00C84C4F"/>
    <w:rsid w:val="00C85842"/>
    <w:rsid w:val="00C8587A"/>
    <w:rsid w:val="00C859B9"/>
    <w:rsid w:val="00C85F82"/>
    <w:rsid w:val="00C8604A"/>
    <w:rsid w:val="00C866CD"/>
    <w:rsid w:val="00C86F51"/>
    <w:rsid w:val="00C86F9A"/>
    <w:rsid w:val="00C87850"/>
    <w:rsid w:val="00C9026A"/>
    <w:rsid w:val="00C906CA"/>
    <w:rsid w:val="00C90842"/>
    <w:rsid w:val="00C90B4B"/>
    <w:rsid w:val="00C90B6D"/>
    <w:rsid w:val="00C9112A"/>
    <w:rsid w:val="00C913A3"/>
    <w:rsid w:val="00C91711"/>
    <w:rsid w:val="00C91B87"/>
    <w:rsid w:val="00C91D91"/>
    <w:rsid w:val="00C91DF9"/>
    <w:rsid w:val="00C9250D"/>
    <w:rsid w:val="00C926B8"/>
    <w:rsid w:val="00C927B7"/>
    <w:rsid w:val="00C92922"/>
    <w:rsid w:val="00C93621"/>
    <w:rsid w:val="00C9388A"/>
    <w:rsid w:val="00C93897"/>
    <w:rsid w:val="00C93EFC"/>
    <w:rsid w:val="00C941B2"/>
    <w:rsid w:val="00C94402"/>
    <w:rsid w:val="00C94A87"/>
    <w:rsid w:val="00C94C5A"/>
    <w:rsid w:val="00C94EAB"/>
    <w:rsid w:val="00C952D5"/>
    <w:rsid w:val="00C95A80"/>
    <w:rsid w:val="00C95E23"/>
    <w:rsid w:val="00C9606A"/>
    <w:rsid w:val="00C96141"/>
    <w:rsid w:val="00C96D0A"/>
    <w:rsid w:val="00C96D55"/>
    <w:rsid w:val="00C970B2"/>
    <w:rsid w:val="00C97272"/>
    <w:rsid w:val="00C97322"/>
    <w:rsid w:val="00C974A9"/>
    <w:rsid w:val="00C974FB"/>
    <w:rsid w:val="00C9758A"/>
    <w:rsid w:val="00C976BA"/>
    <w:rsid w:val="00C97BF2"/>
    <w:rsid w:val="00C97F70"/>
    <w:rsid w:val="00C97FF8"/>
    <w:rsid w:val="00CA0013"/>
    <w:rsid w:val="00CA06D6"/>
    <w:rsid w:val="00CA0E40"/>
    <w:rsid w:val="00CA0FDE"/>
    <w:rsid w:val="00CA0FEB"/>
    <w:rsid w:val="00CA178B"/>
    <w:rsid w:val="00CA1899"/>
    <w:rsid w:val="00CA1EC9"/>
    <w:rsid w:val="00CA1F34"/>
    <w:rsid w:val="00CA202F"/>
    <w:rsid w:val="00CA2279"/>
    <w:rsid w:val="00CA2388"/>
    <w:rsid w:val="00CA29B9"/>
    <w:rsid w:val="00CA2A0B"/>
    <w:rsid w:val="00CA2B2E"/>
    <w:rsid w:val="00CA2EC4"/>
    <w:rsid w:val="00CA2FBD"/>
    <w:rsid w:val="00CA31A3"/>
    <w:rsid w:val="00CA43A3"/>
    <w:rsid w:val="00CA464F"/>
    <w:rsid w:val="00CA47F2"/>
    <w:rsid w:val="00CA4955"/>
    <w:rsid w:val="00CA4993"/>
    <w:rsid w:val="00CA4DCA"/>
    <w:rsid w:val="00CA4EA8"/>
    <w:rsid w:val="00CA4EEF"/>
    <w:rsid w:val="00CA5064"/>
    <w:rsid w:val="00CA55EE"/>
    <w:rsid w:val="00CA5771"/>
    <w:rsid w:val="00CA5922"/>
    <w:rsid w:val="00CA5AD4"/>
    <w:rsid w:val="00CA625B"/>
    <w:rsid w:val="00CA62EF"/>
    <w:rsid w:val="00CA65EF"/>
    <w:rsid w:val="00CA65F9"/>
    <w:rsid w:val="00CA6C43"/>
    <w:rsid w:val="00CA6C51"/>
    <w:rsid w:val="00CA6C68"/>
    <w:rsid w:val="00CA6D9C"/>
    <w:rsid w:val="00CA6DF9"/>
    <w:rsid w:val="00CA7113"/>
    <w:rsid w:val="00CA71D6"/>
    <w:rsid w:val="00CA7212"/>
    <w:rsid w:val="00CA73E4"/>
    <w:rsid w:val="00CA76BC"/>
    <w:rsid w:val="00CA781F"/>
    <w:rsid w:val="00CA7DA4"/>
    <w:rsid w:val="00CA7F6D"/>
    <w:rsid w:val="00CB0055"/>
    <w:rsid w:val="00CB0061"/>
    <w:rsid w:val="00CB0167"/>
    <w:rsid w:val="00CB05BF"/>
    <w:rsid w:val="00CB0867"/>
    <w:rsid w:val="00CB1649"/>
    <w:rsid w:val="00CB1A40"/>
    <w:rsid w:val="00CB1DE6"/>
    <w:rsid w:val="00CB224B"/>
    <w:rsid w:val="00CB2284"/>
    <w:rsid w:val="00CB279C"/>
    <w:rsid w:val="00CB27F5"/>
    <w:rsid w:val="00CB2931"/>
    <w:rsid w:val="00CB29F2"/>
    <w:rsid w:val="00CB3139"/>
    <w:rsid w:val="00CB3549"/>
    <w:rsid w:val="00CB3732"/>
    <w:rsid w:val="00CB3E7E"/>
    <w:rsid w:val="00CB42DB"/>
    <w:rsid w:val="00CB45D0"/>
    <w:rsid w:val="00CB4792"/>
    <w:rsid w:val="00CB4A26"/>
    <w:rsid w:val="00CB4C4E"/>
    <w:rsid w:val="00CB4D34"/>
    <w:rsid w:val="00CB53BC"/>
    <w:rsid w:val="00CB53DF"/>
    <w:rsid w:val="00CB5491"/>
    <w:rsid w:val="00CB555B"/>
    <w:rsid w:val="00CB57C5"/>
    <w:rsid w:val="00CB5B14"/>
    <w:rsid w:val="00CB5BC4"/>
    <w:rsid w:val="00CB5C60"/>
    <w:rsid w:val="00CB6155"/>
    <w:rsid w:val="00CB646A"/>
    <w:rsid w:val="00CB6807"/>
    <w:rsid w:val="00CB6970"/>
    <w:rsid w:val="00CB70E6"/>
    <w:rsid w:val="00CB723F"/>
    <w:rsid w:val="00CB7512"/>
    <w:rsid w:val="00CB7811"/>
    <w:rsid w:val="00CB783F"/>
    <w:rsid w:val="00CB78B5"/>
    <w:rsid w:val="00CC0728"/>
    <w:rsid w:val="00CC075A"/>
    <w:rsid w:val="00CC0A09"/>
    <w:rsid w:val="00CC0BB7"/>
    <w:rsid w:val="00CC105F"/>
    <w:rsid w:val="00CC118D"/>
    <w:rsid w:val="00CC12B7"/>
    <w:rsid w:val="00CC169F"/>
    <w:rsid w:val="00CC22F2"/>
    <w:rsid w:val="00CC254F"/>
    <w:rsid w:val="00CC2689"/>
    <w:rsid w:val="00CC2A42"/>
    <w:rsid w:val="00CC2F2C"/>
    <w:rsid w:val="00CC2FAE"/>
    <w:rsid w:val="00CC309C"/>
    <w:rsid w:val="00CC32A3"/>
    <w:rsid w:val="00CC3D1F"/>
    <w:rsid w:val="00CC3FE9"/>
    <w:rsid w:val="00CC42FB"/>
    <w:rsid w:val="00CC42FC"/>
    <w:rsid w:val="00CC475D"/>
    <w:rsid w:val="00CC4A6E"/>
    <w:rsid w:val="00CC51F9"/>
    <w:rsid w:val="00CC5604"/>
    <w:rsid w:val="00CC5987"/>
    <w:rsid w:val="00CC5AF7"/>
    <w:rsid w:val="00CC5E14"/>
    <w:rsid w:val="00CC685E"/>
    <w:rsid w:val="00CC6B0F"/>
    <w:rsid w:val="00CC6E9A"/>
    <w:rsid w:val="00CC6F84"/>
    <w:rsid w:val="00CC709F"/>
    <w:rsid w:val="00CC720D"/>
    <w:rsid w:val="00CC7300"/>
    <w:rsid w:val="00CC736E"/>
    <w:rsid w:val="00CC799E"/>
    <w:rsid w:val="00CD0097"/>
    <w:rsid w:val="00CD0345"/>
    <w:rsid w:val="00CD060C"/>
    <w:rsid w:val="00CD08C5"/>
    <w:rsid w:val="00CD16AE"/>
    <w:rsid w:val="00CD1856"/>
    <w:rsid w:val="00CD1924"/>
    <w:rsid w:val="00CD19C5"/>
    <w:rsid w:val="00CD1ED9"/>
    <w:rsid w:val="00CD1FBF"/>
    <w:rsid w:val="00CD2110"/>
    <w:rsid w:val="00CD37D9"/>
    <w:rsid w:val="00CD3DD0"/>
    <w:rsid w:val="00CD4114"/>
    <w:rsid w:val="00CD4150"/>
    <w:rsid w:val="00CD4404"/>
    <w:rsid w:val="00CD4720"/>
    <w:rsid w:val="00CD48F2"/>
    <w:rsid w:val="00CD4E0A"/>
    <w:rsid w:val="00CD4F1D"/>
    <w:rsid w:val="00CD54EC"/>
    <w:rsid w:val="00CD5785"/>
    <w:rsid w:val="00CD5C65"/>
    <w:rsid w:val="00CD5EE1"/>
    <w:rsid w:val="00CD5F46"/>
    <w:rsid w:val="00CD6044"/>
    <w:rsid w:val="00CD6505"/>
    <w:rsid w:val="00CD6813"/>
    <w:rsid w:val="00CD687B"/>
    <w:rsid w:val="00CD71B7"/>
    <w:rsid w:val="00CD7473"/>
    <w:rsid w:val="00CD75C4"/>
    <w:rsid w:val="00CD76C6"/>
    <w:rsid w:val="00CD7BBF"/>
    <w:rsid w:val="00CE0759"/>
    <w:rsid w:val="00CE0E0C"/>
    <w:rsid w:val="00CE0F37"/>
    <w:rsid w:val="00CE140A"/>
    <w:rsid w:val="00CE1972"/>
    <w:rsid w:val="00CE19D8"/>
    <w:rsid w:val="00CE1D6F"/>
    <w:rsid w:val="00CE2261"/>
    <w:rsid w:val="00CE23F4"/>
    <w:rsid w:val="00CE2C13"/>
    <w:rsid w:val="00CE2DA9"/>
    <w:rsid w:val="00CE2EE2"/>
    <w:rsid w:val="00CE2F27"/>
    <w:rsid w:val="00CE303A"/>
    <w:rsid w:val="00CE30E8"/>
    <w:rsid w:val="00CE31AA"/>
    <w:rsid w:val="00CE326C"/>
    <w:rsid w:val="00CE3358"/>
    <w:rsid w:val="00CE3BFB"/>
    <w:rsid w:val="00CE3D06"/>
    <w:rsid w:val="00CE3F96"/>
    <w:rsid w:val="00CE416D"/>
    <w:rsid w:val="00CE4C8C"/>
    <w:rsid w:val="00CE5B65"/>
    <w:rsid w:val="00CE617A"/>
    <w:rsid w:val="00CE6397"/>
    <w:rsid w:val="00CE669A"/>
    <w:rsid w:val="00CE72F2"/>
    <w:rsid w:val="00CE73BC"/>
    <w:rsid w:val="00CE73EC"/>
    <w:rsid w:val="00CE79C5"/>
    <w:rsid w:val="00CE7C53"/>
    <w:rsid w:val="00CE7F83"/>
    <w:rsid w:val="00CF01B4"/>
    <w:rsid w:val="00CF0227"/>
    <w:rsid w:val="00CF051B"/>
    <w:rsid w:val="00CF1FD2"/>
    <w:rsid w:val="00CF21C7"/>
    <w:rsid w:val="00CF24B9"/>
    <w:rsid w:val="00CF2F44"/>
    <w:rsid w:val="00CF327F"/>
    <w:rsid w:val="00CF32B7"/>
    <w:rsid w:val="00CF3528"/>
    <w:rsid w:val="00CF357A"/>
    <w:rsid w:val="00CF3B72"/>
    <w:rsid w:val="00CF42B4"/>
    <w:rsid w:val="00CF4700"/>
    <w:rsid w:val="00CF470A"/>
    <w:rsid w:val="00CF49EC"/>
    <w:rsid w:val="00CF4C61"/>
    <w:rsid w:val="00CF4FCA"/>
    <w:rsid w:val="00CF5109"/>
    <w:rsid w:val="00CF532E"/>
    <w:rsid w:val="00CF53AF"/>
    <w:rsid w:val="00CF5886"/>
    <w:rsid w:val="00CF5954"/>
    <w:rsid w:val="00CF595C"/>
    <w:rsid w:val="00CF5B6B"/>
    <w:rsid w:val="00CF5E2F"/>
    <w:rsid w:val="00CF6568"/>
    <w:rsid w:val="00CF6760"/>
    <w:rsid w:val="00CF6763"/>
    <w:rsid w:val="00CF6C70"/>
    <w:rsid w:val="00CF734B"/>
    <w:rsid w:val="00CF7403"/>
    <w:rsid w:val="00CF7954"/>
    <w:rsid w:val="00CF7EE1"/>
    <w:rsid w:val="00D003F8"/>
    <w:rsid w:val="00D00625"/>
    <w:rsid w:val="00D00711"/>
    <w:rsid w:val="00D00E33"/>
    <w:rsid w:val="00D00EE0"/>
    <w:rsid w:val="00D013EE"/>
    <w:rsid w:val="00D014C5"/>
    <w:rsid w:val="00D0169C"/>
    <w:rsid w:val="00D01743"/>
    <w:rsid w:val="00D018DC"/>
    <w:rsid w:val="00D01B06"/>
    <w:rsid w:val="00D01CBD"/>
    <w:rsid w:val="00D02207"/>
    <w:rsid w:val="00D0283D"/>
    <w:rsid w:val="00D02BE2"/>
    <w:rsid w:val="00D02D28"/>
    <w:rsid w:val="00D032D0"/>
    <w:rsid w:val="00D03520"/>
    <w:rsid w:val="00D037C2"/>
    <w:rsid w:val="00D03DCF"/>
    <w:rsid w:val="00D0439A"/>
    <w:rsid w:val="00D04489"/>
    <w:rsid w:val="00D044E1"/>
    <w:rsid w:val="00D0469D"/>
    <w:rsid w:val="00D0486D"/>
    <w:rsid w:val="00D04BD6"/>
    <w:rsid w:val="00D05333"/>
    <w:rsid w:val="00D056C7"/>
    <w:rsid w:val="00D05A11"/>
    <w:rsid w:val="00D05CC1"/>
    <w:rsid w:val="00D05F32"/>
    <w:rsid w:val="00D05F5C"/>
    <w:rsid w:val="00D05F89"/>
    <w:rsid w:val="00D06063"/>
    <w:rsid w:val="00D060F7"/>
    <w:rsid w:val="00D063F2"/>
    <w:rsid w:val="00D06A65"/>
    <w:rsid w:val="00D06E4B"/>
    <w:rsid w:val="00D0744B"/>
    <w:rsid w:val="00D077C4"/>
    <w:rsid w:val="00D07853"/>
    <w:rsid w:val="00D078FE"/>
    <w:rsid w:val="00D07FA7"/>
    <w:rsid w:val="00D10701"/>
    <w:rsid w:val="00D10921"/>
    <w:rsid w:val="00D10EE5"/>
    <w:rsid w:val="00D11580"/>
    <w:rsid w:val="00D11770"/>
    <w:rsid w:val="00D11942"/>
    <w:rsid w:val="00D11CDF"/>
    <w:rsid w:val="00D12D42"/>
    <w:rsid w:val="00D12E33"/>
    <w:rsid w:val="00D1391E"/>
    <w:rsid w:val="00D13BF4"/>
    <w:rsid w:val="00D13D7E"/>
    <w:rsid w:val="00D13D86"/>
    <w:rsid w:val="00D14574"/>
    <w:rsid w:val="00D14A83"/>
    <w:rsid w:val="00D15105"/>
    <w:rsid w:val="00D152E1"/>
    <w:rsid w:val="00D15567"/>
    <w:rsid w:val="00D15658"/>
    <w:rsid w:val="00D1628E"/>
    <w:rsid w:val="00D16450"/>
    <w:rsid w:val="00D16882"/>
    <w:rsid w:val="00D16883"/>
    <w:rsid w:val="00D16F33"/>
    <w:rsid w:val="00D16F84"/>
    <w:rsid w:val="00D17801"/>
    <w:rsid w:val="00D17DBC"/>
    <w:rsid w:val="00D2010A"/>
    <w:rsid w:val="00D20663"/>
    <w:rsid w:val="00D20B90"/>
    <w:rsid w:val="00D21077"/>
    <w:rsid w:val="00D211F9"/>
    <w:rsid w:val="00D215D4"/>
    <w:rsid w:val="00D21AF4"/>
    <w:rsid w:val="00D2233F"/>
    <w:rsid w:val="00D224C4"/>
    <w:rsid w:val="00D22558"/>
    <w:rsid w:val="00D22606"/>
    <w:rsid w:val="00D2266C"/>
    <w:rsid w:val="00D229E9"/>
    <w:rsid w:val="00D22BB7"/>
    <w:rsid w:val="00D22DC2"/>
    <w:rsid w:val="00D23065"/>
    <w:rsid w:val="00D231A6"/>
    <w:rsid w:val="00D233EB"/>
    <w:rsid w:val="00D23411"/>
    <w:rsid w:val="00D24976"/>
    <w:rsid w:val="00D24C2C"/>
    <w:rsid w:val="00D251D9"/>
    <w:rsid w:val="00D251F4"/>
    <w:rsid w:val="00D25377"/>
    <w:rsid w:val="00D25585"/>
    <w:rsid w:val="00D25640"/>
    <w:rsid w:val="00D25731"/>
    <w:rsid w:val="00D25825"/>
    <w:rsid w:val="00D25A23"/>
    <w:rsid w:val="00D25FD0"/>
    <w:rsid w:val="00D260DB"/>
    <w:rsid w:val="00D26177"/>
    <w:rsid w:val="00D2639B"/>
    <w:rsid w:val="00D26621"/>
    <w:rsid w:val="00D26A60"/>
    <w:rsid w:val="00D270C5"/>
    <w:rsid w:val="00D27B6C"/>
    <w:rsid w:val="00D27CA4"/>
    <w:rsid w:val="00D27F93"/>
    <w:rsid w:val="00D30A3C"/>
    <w:rsid w:val="00D30E5F"/>
    <w:rsid w:val="00D30F94"/>
    <w:rsid w:val="00D310E0"/>
    <w:rsid w:val="00D314FC"/>
    <w:rsid w:val="00D31735"/>
    <w:rsid w:val="00D324A4"/>
    <w:rsid w:val="00D326F2"/>
    <w:rsid w:val="00D32CEF"/>
    <w:rsid w:val="00D33216"/>
    <w:rsid w:val="00D3322A"/>
    <w:rsid w:val="00D338E1"/>
    <w:rsid w:val="00D33A60"/>
    <w:rsid w:val="00D33B43"/>
    <w:rsid w:val="00D33CA4"/>
    <w:rsid w:val="00D33D6E"/>
    <w:rsid w:val="00D33E82"/>
    <w:rsid w:val="00D3414B"/>
    <w:rsid w:val="00D34299"/>
    <w:rsid w:val="00D34457"/>
    <w:rsid w:val="00D34C11"/>
    <w:rsid w:val="00D34EE6"/>
    <w:rsid w:val="00D34F7B"/>
    <w:rsid w:val="00D35363"/>
    <w:rsid w:val="00D356CF"/>
    <w:rsid w:val="00D35F9D"/>
    <w:rsid w:val="00D362D4"/>
    <w:rsid w:val="00D36441"/>
    <w:rsid w:val="00D36587"/>
    <w:rsid w:val="00D368A3"/>
    <w:rsid w:val="00D36D6E"/>
    <w:rsid w:val="00D370CA"/>
    <w:rsid w:val="00D37221"/>
    <w:rsid w:val="00D37323"/>
    <w:rsid w:val="00D373F8"/>
    <w:rsid w:val="00D37643"/>
    <w:rsid w:val="00D37A17"/>
    <w:rsid w:val="00D37C43"/>
    <w:rsid w:val="00D37C7E"/>
    <w:rsid w:val="00D37EE4"/>
    <w:rsid w:val="00D401B9"/>
    <w:rsid w:val="00D4027D"/>
    <w:rsid w:val="00D40408"/>
    <w:rsid w:val="00D40BAF"/>
    <w:rsid w:val="00D40EC9"/>
    <w:rsid w:val="00D40F8B"/>
    <w:rsid w:val="00D41015"/>
    <w:rsid w:val="00D417B9"/>
    <w:rsid w:val="00D417D7"/>
    <w:rsid w:val="00D42010"/>
    <w:rsid w:val="00D421CA"/>
    <w:rsid w:val="00D42573"/>
    <w:rsid w:val="00D42729"/>
    <w:rsid w:val="00D42A04"/>
    <w:rsid w:val="00D42A90"/>
    <w:rsid w:val="00D42B24"/>
    <w:rsid w:val="00D42D88"/>
    <w:rsid w:val="00D435E8"/>
    <w:rsid w:val="00D436C5"/>
    <w:rsid w:val="00D4388E"/>
    <w:rsid w:val="00D4394D"/>
    <w:rsid w:val="00D43A58"/>
    <w:rsid w:val="00D43BF6"/>
    <w:rsid w:val="00D43C64"/>
    <w:rsid w:val="00D43C7A"/>
    <w:rsid w:val="00D43EDE"/>
    <w:rsid w:val="00D444EA"/>
    <w:rsid w:val="00D445F2"/>
    <w:rsid w:val="00D448EC"/>
    <w:rsid w:val="00D44BEB"/>
    <w:rsid w:val="00D44FD2"/>
    <w:rsid w:val="00D45DE4"/>
    <w:rsid w:val="00D4620F"/>
    <w:rsid w:val="00D46267"/>
    <w:rsid w:val="00D4627F"/>
    <w:rsid w:val="00D469D0"/>
    <w:rsid w:val="00D46A67"/>
    <w:rsid w:val="00D47015"/>
    <w:rsid w:val="00D470BD"/>
    <w:rsid w:val="00D47312"/>
    <w:rsid w:val="00D4732B"/>
    <w:rsid w:val="00D47906"/>
    <w:rsid w:val="00D47EE7"/>
    <w:rsid w:val="00D50041"/>
    <w:rsid w:val="00D5041D"/>
    <w:rsid w:val="00D5087E"/>
    <w:rsid w:val="00D513D5"/>
    <w:rsid w:val="00D51522"/>
    <w:rsid w:val="00D51854"/>
    <w:rsid w:val="00D51A17"/>
    <w:rsid w:val="00D51D51"/>
    <w:rsid w:val="00D51F67"/>
    <w:rsid w:val="00D52622"/>
    <w:rsid w:val="00D5292F"/>
    <w:rsid w:val="00D52CFD"/>
    <w:rsid w:val="00D53227"/>
    <w:rsid w:val="00D535AF"/>
    <w:rsid w:val="00D535B3"/>
    <w:rsid w:val="00D537F2"/>
    <w:rsid w:val="00D53B9B"/>
    <w:rsid w:val="00D53E67"/>
    <w:rsid w:val="00D544B3"/>
    <w:rsid w:val="00D544D4"/>
    <w:rsid w:val="00D546D6"/>
    <w:rsid w:val="00D54DCB"/>
    <w:rsid w:val="00D556F9"/>
    <w:rsid w:val="00D55B0D"/>
    <w:rsid w:val="00D55B23"/>
    <w:rsid w:val="00D56D67"/>
    <w:rsid w:val="00D572B7"/>
    <w:rsid w:val="00D576A8"/>
    <w:rsid w:val="00D57B47"/>
    <w:rsid w:val="00D57F44"/>
    <w:rsid w:val="00D601F4"/>
    <w:rsid w:val="00D60553"/>
    <w:rsid w:val="00D60640"/>
    <w:rsid w:val="00D6066B"/>
    <w:rsid w:val="00D606B9"/>
    <w:rsid w:val="00D60A13"/>
    <w:rsid w:val="00D60C4D"/>
    <w:rsid w:val="00D60C84"/>
    <w:rsid w:val="00D60C91"/>
    <w:rsid w:val="00D610F6"/>
    <w:rsid w:val="00D61343"/>
    <w:rsid w:val="00D61425"/>
    <w:rsid w:val="00D618F9"/>
    <w:rsid w:val="00D61CC0"/>
    <w:rsid w:val="00D61D23"/>
    <w:rsid w:val="00D62D1E"/>
    <w:rsid w:val="00D62FC9"/>
    <w:rsid w:val="00D630C3"/>
    <w:rsid w:val="00D6311A"/>
    <w:rsid w:val="00D633A4"/>
    <w:rsid w:val="00D633E0"/>
    <w:rsid w:val="00D639F1"/>
    <w:rsid w:val="00D63FC0"/>
    <w:rsid w:val="00D63FC1"/>
    <w:rsid w:val="00D643D7"/>
    <w:rsid w:val="00D64509"/>
    <w:rsid w:val="00D64688"/>
    <w:rsid w:val="00D6470A"/>
    <w:rsid w:val="00D64A4B"/>
    <w:rsid w:val="00D64E87"/>
    <w:rsid w:val="00D6670E"/>
    <w:rsid w:val="00D668E8"/>
    <w:rsid w:val="00D66D2C"/>
    <w:rsid w:val="00D670C8"/>
    <w:rsid w:val="00D671F4"/>
    <w:rsid w:val="00D675A6"/>
    <w:rsid w:val="00D678FE"/>
    <w:rsid w:val="00D67CA8"/>
    <w:rsid w:val="00D67D5A"/>
    <w:rsid w:val="00D70127"/>
    <w:rsid w:val="00D70148"/>
    <w:rsid w:val="00D70243"/>
    <w:rsid w:val="00D70285"/>
    <w:rsid w:val="00D702B6"/>
    <w:rsid w:val="00D70935"/>
    <w:rsid w:val="00D70C48"/>
    <w:rsid w:val="00D71636"/>
    <w:rsid w:val="00D71745"/>
    <w:rsid w:val="00D71895"/>
    <w:rsid w:val="00D7192A"/>
    <w:rsid w:val="00D71FAB"/>
    <w:rsid w:val="00D7259B"/>
    <w:rsid w:val="00D728B0"/>
    <w:rsid w:val="00D72926"/>
    <w:rsid w:val="00D73001"/>
    <w:rsid w:val="00D734F5"/>
    <w:rsid w:val="00D73553"/>
    <w:rsid w:val="00D73C36"/>
    <w:rsid w:val="00D73D4E"/>
    <w:rsid w:val="00D73F81"/>
    <w:rsid w:val="00D73FA9"/>
    <w:rsid w:val="00D7401F"/>
    <w:rsid w:val="00D74058"/>
    <w:rsid w:val="00D7420C"/>
    <w:rsid w:val="00D742D3"/>
    <w:rsid w:val="00D744BC"/>
    <w:rsid w:val="00D7477D"/>
    <w:rsid w:val="00D74A16"/>
    <w:rsid w:val="00D74E11"/>
    <w:rsid w:val="00D74EBD"/>
    <w:rsid w:val="00D74F44"/>
    <w:rsid w:val="00D74F83"/>
    <w:rsid w:val="00D75003"/>
    <w:rsid w:val="00D7527C"/>
    <w:rsid w:val="00D7537D"/>
    <w:rsid w:val="00D756DB"/>
    <w:rsid w:val="00D75764"/>
    <w:rsid w:val="00D75E26"/>
    <w:rsid w:val="00D75E4C"/>
    <w:rsid w:val="00D76254"/>
    <w:rsid w:val="00D763F5"/>
    <w:rsid w:val="00D76913"/>
    <w:rsid w:val="00D76D82"/>
    <w:rsid w:val="00D770F8"/>
    <w:rsid w:val="00D77ED2"/>
    <w:rsid w:val="00D8000C"/>
    <w:rsid w:val="00D80127"/>
    <w:rsid w:val="00D80317"/>
    <w:rsid w:val="00D8041C"/>
    <w:rsid w:val="00D809FF"/>
    <w:rsid w:val="00D80BE4"/>
    <w:rsid w:val="00D81691"/>
    <w:rsid w:val="00D8196B"/>
    <w:rsid w:val="00D819D4"/>
    <w:rsid w:val="00D82036"/>
    <w:rsid w:val="00D82117"/>
    <w:rsid w:val="00D82223"/>
    <w:rsid w:val="00D82446"/>
    <w:rsid w:val="00D826BD"/>
    <w:rsid w:val="00D82993"/>
    <w:rsid w:val="00D829BB"/>
    <w:rsid w:val="00D82C02"/>
    <w:rsid w:val="00D82CD5"/>
    <w:rsid w:val="00D83183"/>
    <w:rsid w:val="00D831DA"/>
    <w:rsid w:val="00D836C6"/>
    <w:rsid w:val="00D8372D"/>
    <w:rsid w:val="00D837A1"/>
    <w:rsid w:val="00D837E2"/>
    <w:rsid w:val="00D83865"/>
    <w:rsid w:val="00D83DBE"/>
    <w:rsid w:val="00D83F36"/>
    <w:rsid w:val="00D84031"/>
    <w:rsid w:val="00D84038"/>
    <w:rsid w:val="00D84216"/>
    <w:rsid w:val="00D842EC"/>
    <w:rsid w:val="00D84402"/>
    <w:rsid w:val="00D84D5C"/>
    <w:rsid w:val="00D854A9"/>
    <w:rsid w:val="00D85847"/>
    <w:rsid w:val="00D858EB"/>
    <w:rsid w:val="00D85AD4"/>
    <w:rsid w:val="00D85B74"/>
    <w:rsid w:val="00D85BAE"/>
    <w:rsid w:val="00D85BD0"/>
    <w:rsid w:val="00D860C4"/>
    <w:rsid w:val="00D8610C"/>
    <w:rsid w:val="00D861B6"/>
    <w:rsid w:val="00D866C7"/>
    <w:rsid w:val="00D868ED"/>
    <w:rsid w:val="00D86B79"/>
    <w:rsid w:val="00D86BC7"/>
    <w:rsid w:val="00D86EA6"/>
    <w:rsid w:val="00D86F3F"/>
    <w:rsid w:val="00D86F70"/>
    <w:rsid w:val="00D872C4"/>
    <w:rsid w:val="00D8799B"/>
    <w:rsid w:val="00D87BD2"/>
    <w:rsid w:val="00D87DAA"/>
    <w:rsid w:val="00D9028B"/>
    <w:rsid w:val="00D902E3"/>
    <w:rsid w:val="00D90A4A"/>
    <w:rsid w:val="00D90C35"/>
    <w:rsid w:val="00D910B6"/>
    <w:rsid w:val="00D91422"/>
    <w:rsid w:val="00D914D2"/>
    <w:rsid w:val="00D91A69"/>
    <w:rsid w:val="00D91CCD"/>
    <w:rsid w:val="00D91DCF"/>
    <w:rsid w:val="00D920AB"/>
    <w:rsid w:val="00D9211F"/>
    <w:rsid w:val="00D92247"/>
    <w:rsid w:val="00D9239C"/>
    <w:rsid w:val="00D92745"/>
    <w:rsid w:val="00D92DC4"/>
    <w:rsid w:val="00D934A5"/>
    <w:rsid w:val="00D9360D"/>
    <w:rsid w:val="00D93851"/>
    <w:rsid w:val="00D938DA"/>
    <w:rsid w:val="00D9416F"/>
    <w:rsid w:val="00D941A5"/>
    <w:rsid w:val="00D94240"/>
    <w:rsid w:val="00D94377"/>
    <w:rsid w:val="00D944C9"/>
    <w:rsid w:val="00D95110"/>
    <w:rsid w:val="00D95450"/>
    <w:rsid w:val="00D9573D"/>
    <w:rsid w:val="00D95773"/>
    <w:rsid w:val="00D95971"/>
    <w:rsid w:val="00D959B4"/>
    <w:rsid w:val="00D95B4C"/>
    <w:rsid w:val="00D961C3"/>
    <w:rsid w:val="00D96508"/>
    <w:rsid w:val="00D966EF"/>
    <w:rsid w:val="00D96F14"/>
    <w:rsid w:val="00D96F3E"/>
    <w:rsid w:val="00D96F50"/>
    <w:rsid w:val="00D96FF5"/>
    <w:rsid w:val="00D970F8"/>
    <w:rsid w:val="00D97A9A"/>
    <w:rsid w:val="00D97B61"/>
    <w:rsid w:val="00D97B65"/>
    <w:rsid w:val="00D97F40"/>
    <w:rsid w:val="00DA0F7E"/>
    <w:rsid w:val="00DA196C"/>
    <w:rsid w:val="00DA222F"/>
    <w:rsid w:val="00DA2721"/>
    <w:rsid w:val="00DA2E5C"/>
    <w:rsid w:val="00DA2E95"/>
    <w:rsid w:val="00DA2F0A"/>
    <w:rsid w:val="00DA348F"/>
    <w:rsid w:val="00DA3714"/>
    <w:rsid w:val="00DA385A"/>
    <w:rsid w:val="00DA3CCE"/>
    <w:rsid w:val="00DA4C7B"/>
    <w:rsid w:val="00DA5276"/>
    <w:rsid w:val="00DA529B"/>
    <w:rsid w:val="00DA535C"/>
    <w:rsid w:val="00DA54CE"/>
    <w:rsid w:val="00DA59C2"/>
    <w:rsid w:val="00DA5C22"/>
    <w:rsid w:val="00DA5C25"/>
    <w:rsid w:val="00DA5D19"/>
    <w:rsid w:val="00DA5F48"/>
    <w:rsid w:val="00DA67F0"/>
    <w:rsid w:val="00DA7004"/>
    <w:rsid w:val="00DA75E8"/>
    <w:rsid w:val="00DA7BC4"/>
    <w:rsid w:val="00DB004B"/>
    <w:rsid w:val="00DB00A8"/>
    <w:rsid w:val="00DB03AA"/>
    <w:rsid w:val="00DB0446"/>
    <w:rsid w:val="00DB06D5"/>
    <w:rsid w:val="00DB0774"/>
    <w:rsid w:val="00DB0F58"/>
    <w:rsid w:val="00DB1B1E"/>
    <w:rsid w:val="00DB1FFA"/>
    <w:rsid w:val="00DB3054"/>
    <w:rsid w:val="00DB3604"/>
    <w:rsid w:val="00DB3F70"/>
    <w:rsid w:val="00DB4193"/>
    <w:rsid w:val="00DB4470"/>
    <w:rsid w:val="00DB462E"/>
    <w:rsid w:val="00DB4636"/>
    <w:rsid w:val="00DB4DDD"/>
    <w:rsid w:val="00DB55D2"/>
    <w:rsid w:val="00DB5648"/>
    <w:rsid w:val="00DB59E0"/>
    <w:rsid w:val="00DB623B"/>
    <w:rsid w:val="00DB65CF"/>
    <w:rsid w:val="00DB6B15"/>
    <w:rsid w:val="00DB6CBE"/>
    <w:rsid w:val="00DB6FD9"/>
    <w:rsid w:val="00DB748A"/>
    <w:rsid w:val="00DC00B6"/>
    <w:rsid w:val="00DC0425"/>
    <w:rsid w:val="00DC0690"/>
    <w:rsid w:val="00DC06CA"/>
    <w:rsid w:val="00DC091C"/>
    <w:rsid w:val="00DC0A38"/>
    <w:rsid w:val="00DC0C4C"/>
    <w:rsid w:val="00DC0C7F"/>
    <w:rsid w:val="00DC0C96"/>
    <w:rsid w:val="00DC12FE"/>
    <w:rsid w:val="00DC144B"/>
    <w:rsid w:val="00DC1713"/>
    <w:rsid w:val="00DC17BF"/>
    <w:rsid w:val="00DC1FF6"/>
    <w:rsid w:val="00DC28E6"/>
    <w:rsid w:val="00DC2EAB"/>
    <w:rsid w:val="00DC33FE"/>
    <w:rsid w:val="00DC35B7"/>
    <w:rsid w:val="00DC3875"/>
    <w:rsid w:val="00DC3AB2"/>
    <w:rsid w:val="00DC3F4D"/>
    <w:rsid w:val="00DC473B"/>
    <w:rsid w:val="00DC4B21"/>
    <w:rsid w:val="00DC4EE3"/>
    <w:rsid w:val="00DC5144"/>
    <w:rsid w:val="00DC57B4"/>
    <w:rsid w:val="00DC5819"/>
    <w:rsid w:val="00DC5AA9"/>
    <w:rsid w:val="00DC5B14"/>
    <w:rsid w:val="00DC5B47"/>
    <w:rsid w:val="00DC6042"/>
    <w:rsid w:val="00DC6180"/>
    <w:rsid w:val="00DC61E2"/>
    <w:rsid w:val="00DC631B"/>
    <w:rsid w:val="00DC63A1"/>
    <w:rsid w:val="00DC659C"/>
    <w:rsid w:val="00DC65E0"/>
    <w:rsid w:val="00DC6B08"/>
    <w:rsid w:val="00DC7047"/>
    <w:rsid w:val="00DC76B6"/>
    <w:rsid w:val="00DD088A"/>
    <w:rsid w:val="00DD0B42"/>
    <w:rsid w:val="00DD0B52"/>
    <w:rsid w:val="00DD0D11"/>
    <w:rsid w:val="00DD0D46"/>
    <w:rsid w:val="00DD0DCD"/>
    <w:rsid w:val="00DD1325"/>
    <w:rsid w:val="00DD16CB"/>
    <w:rsid w:val="00DD19A1"/>
    <w:rsid w:val="00DD1A3F"/>
    <w:rsid w:val="00DD237D"/>
    <w:rsid w:val="00DD2BB3"/>
    <w:rsid w:val="00DD2C79"/>
    <w:rsid w:val="00DD3C26"/>
    <w:rsid w:val="00DD3CCE"/>
    <w:rsid w:val="00DD3D3E"/>
    <w:rsid w:val="00DD3D93"/>
    <w:rsid w:val="00DD42FC"/>
    <w:rsid w:val="00DD53F2"/>
    <w:rsid w:val="00DD562C"/>
    <w:rsid w:val="00DD5B60"/>
    <w:rsid w:val="00DD5CBC"/>
    <w:rsid w:val="00DD5F5D"/>
    <w:rsid w:val="00DD5F83"/>
    <w:rsid w:val="00DD66AA"/>
    <w:rsid w:val="00DD6806"/>
    <w:rsid w:val="00DD68E6"/>
    <w:rsid w:val="00DD6AB3"/>
    <w:rsid w:val="00DD6F36"/>
    <w:rsid w:val="00DD74A5"/>
    <w:rsid w:val="00DD75DA"/>
    <w:rsid w:val="00DE00FA"/>
    <w:rsid w:val="00DE034A"/>
    <w:rsid w:val="00DE0DEC"/>
    <w:rsid w:val="00DE1082"/>
    <w:rsid w:val="00DE11FA"/>
    <w:rsid w:val="00DE1289"/>
    <w:rsid w:val="00DE151B"/>
    <w:rsid w:val="00DE16DD"/>
    <w:rsid w:val="00DE1DC4"/>
    <w:rsid w:val="00DE20B7"/>
    <w:rsid w:val="00DE212B"/>
    <w:rsid w:val="00DE2AA8"/>
    <w:rsid w:val="00DE2D04"/>
    <w:rsid w:val="00DE2E56"/>
    <w:rsid w:val="00DE318E"/>
    <w:rsid w:val="00DE3D83"/>
    <w:rsid w:val="00DE4A33"/>
    <w:rsid w:val="00DE4C9E"/>
    <w:rsid w:val="00DE53AC"/>
    <w:rsid w:val="00DE569D"/>
    <w:rsid w:val="00DE571E"/>
    <w:rsid w:val="00DE5B9F"/>
    <w:rsid w:val="00DE5C95"/>
    <w:rsid w:val="00DE62BF"/>
    <w:rsid w:val="00DE654E"/>
    <w:rsid w:val="00DE691D"/>
    <w:rsid w:val="00DE6C47"/>
    <w:rsid w:val="00DE6CF8"/>
    <w:rsid w:val="00DE6E30"/>
    <w:rsid w:val="00DE6EF7"/>
    <w:rsid w:val="00DE70EB"/>
    <w:rsid w:val="00DE773A"/>
    <w:rsid w:val="00DE7C8D"/>
    <w:rsid w:val="00DF079C"/>
    <w:rsid w:val="00DF0BB8"/>
    <w:rsid w:val="00DF126B"/>
    <w:rsid w:val="00DF1533"/>
    <w:rsid w:val="00DF1874"/>
    <w:rsid w:val="00DF1A85"/>
    <w:rsid w:val="00DF1E03"/>
    <w:rsid w:val="00DF1F90"/>
    <w:rsid w:val="00DF1FA4"/>
    <w:rsid w:val="00DF2265"/>
    <w:rsid w:val="00DF227E"/>
    <w:rsid w:val="00DF290B"/>
    <w:rsid w:val="00DF2FF7"/>
    <w:rsid w:val="00DF3626"/>
    <w:rsid w:val="00DF3845"/>
    <w:rsid w:val="00DF420F"/>
    <w:rsid w:val="00DF42CC"/>
    <w:rsid w:val="00DF4601"/>
    <w:rsid w:val="00DF46B1"/>
    <w:rsid w:val="00DF4AC5"/>
    <w:rsid w:val="00DF4ACF"/>
    <w:rsid w:val="00DF4CE7"/>
    <w:rsid w:val="00DF4E25"/>
    <w:rsid w:val="00DF4FD5"/>
    <w:rsid w:val="00DF59FE"/>
    <w:rsid w:val="00DF5ADE"/>
    <w:rsid w:val="00DF691D"/>
    <w:rsid w:val="00DF698B"/>
    <w:rsid w:val="00DF6991"/>
    <w:rsid w:val="00DF6CE8"/>
    <w:rsid w:val="00DF75B9"/>
    <w:rsid w:val="00DF7788"/>
    <w:rsid w:val="00DF7C42"/>
    <w:rsid w:val="00E0016A"/>
    <w:rsid w:val="00E00424"/>
    <w:rsid w:val="00E006D1"/>
    <w:rsid w:val="00E00A03"/>
    <w:rsid w:val="00E0145F"/>
    <w:rsid w:val="00E01693"/>
    <w:rsid w:val="00E0173B"/>
    <w:rsid w:val="00E01756"/>
    <w:rsid w:val="00E01B06"/>
    <w:rsid w:val="00E01B0F"/>
    <w:rsid w:val="00E01DEB"/>
    <w:rsid w:val="00E029F1"/>
    <w:rsid w:val="00E02E1A"/>
    <w:rsid w:val="00E02E4B"/>
    <w:rsid w:val="00E02E89"/>
    <w:rsid w:val="00E0313E"/>
    <w:rsid w:val="00E03173"/>
    <w:rsid w:val="00E033A2"/>
    <w:rsid w:val="00E03569"/>
    <w:rsid w:val="00E03726"/>
    <w:rsid w:val="00E03743"/>
    <w:rsid w:val="00E0376A"/>
    <w:rsid w:val="00E037D5"/>
    <w:rsid w:val="00E039C1"/>
    <w:rsid w:val="00E03D22"/>
    <w:rsid w:val="00E041B2"/>
    <w:rsid w:val="00E043A8"/>
    <w:rsid w:val="00E04560"/>
    <w:rsid w:val="00E047CA"/>
    <w:rsid w:val="00E0532F"/>
    <w:rsid w:val="00E0561F"/>
    <w:rsid w:val="00E058AC"/>
    <w:rsid w:val="00E059C3"/>
    <w:rsid w:val="00E05FEB"/>
    <w:rsid w:val="00E06166"/>
    <w:rsid w:val="00E06222"/>
    <w:rsid w:val="00E062CE"/>
    <w:rsid w:val="00E0672D"/>
    <w:rsid w:val="00E06945"/>
    <w:rsid w:val="00E07BD3"/>
    <w:rsid w:val="00E10B81"/>
    <w:rsid w:val="00E10E2A"/>
    <w:rsid w:val="00E115C5"/>
    <w:rsid w:val="00E115CE"/>
    <w:rsid w:val="00E11644"/>
    <w:rsid w:val="00E1182D"/>
    <w:rsid w:val="00E119AC"/>
    <w:rsid w:val="00E11C39"/>
    <w:rsid w:val="00E11DA3"/>
    <w:rsid w:val="00E11DA7"/>
    <w:rsid w:val="00E12228"/>
    <w:rsid w:val="00E124E7"/>
    <w:rsid w:val="00E12700"/>
    <w:rsid w:val="00E1290B"/>
    <w:rsid w:val="00E129CA"/>
    <w:rsid w:val="00E12F13"/>
    <w:rsid w:val="00E13097"/>
    <w:rsid w:val="00E130B0"/>
    <w:rsid w:val="00E132B8"/>
    <w:rsid w:val="00E132FC"/>
    <w:rsid w:val="00E13334"/>
    <w:rsid w:val="00E13576"/>
    <w:rsid w:val="00E136DD"/>
    <w:rsid w:val="00E13957"/>
    <w:rsid w:val="00E13B01"/>
    <w:rsid w:val="00E13C25"/>
    <w:rsid w:val="00E13D3B"/>
    <w:rsid w:val="00E13D88"/>
    <w:rsid w:val="00E1424F"/>
    <w:rsid w:val="00E14361"/>
    <w:rsid w:val="00E148BE"/>
    <w:rsid w:val="00E15280"/>
    <w:rsid w:val="00E15BAA"/>
    <w:rsid w:val="00E16224"/>
    <w:rsid w:val="00E1643A"/>
    <w:rsid w:val="00E16C04"/>
    <w:rsid w:val="00E16EAD"/>
    <w:rsid w:val="00E17089"/>
    <w:rsid w:val="00E170AC"/>
    <w:rsid w:val="00E170C0"/>
    <w:rsid w:val="00E179FA"/>
    <w:rsid w:val="00E17AFF"/>
    <w:rsid w:val="00E206D5"/>
    <w:rsid w:val="00E209DB"/>
    <w:rsid w:val="00E20AE8"/>
    <w:rsid w:val="00E20C0D"/>
    <w:rsid w:val="00E20CA1"/>
    <w:rsid w:val="00E2116F"/>
    <w:rsid w:val="00E211A4"/>
    <w:rsid w:val="00E214E8"/>
    <w:rsid w:val="00E215FA"/>
    <w:rsid w:val="00E21772"/>
    <w:rsid w:val="00E21CF5"/>
    <w:rsid w:val="00E21EB0"/>
    <w:rsid w:val="00E226E4"/>
    <w:rsid w:val="00E227A8"/>
    <w:rsid w:val="00E22A3B"/>
    <w:rsid w:val="00E22B23"/>
    <w:rsid w:val="00E22EBF"/>
    <w:rsid w:val="00E2306A"/>
    <w:rsid w:val="00E230B1"/>
    <w:rsid w:val="00E230F5"/>
    <w:rsid w:val="00E236D8"/>
    <w:rsid w:val="00E2377C"/>
    <w:rsid w:val="00E23AD8"/>
    <w:rsid w:val="00E23DD0"/>
    <w:rsid w:val="00E23DF8"/>
    <w:rsid w:val="00E23FD0"/>
    <w:rsid w:val="00E241C1"/>
    <w:rsid w:val="00E24E41"/>
    <w:rsid w:val="00E24E86"/>
    <w:rsid w:val="00E24ED1"/>
    <w:rsid w:val="00E250AD"/>
    <w:rsid w:val="00E25274"/>
    <w:rsid w:val="00E2558B"/>
    <w:rsid w:val="00E25835"/>
    <w:rsid w:val="00E25F58"/>
    <w:rsid w:val="00E2604A"/>
    <w:rsid w:val="00E26318"/>
    <w:rsid w:val="00E26420"/>
    <w:rsid w:val="00E26969"/>
    <w:rsid w:val="00E27293"/>
    <w:rsid w:val="00E27BEF"/>
    <w:rsid w:val="00E27F10"/>
    <w:rsid w:val="00E27F17"/>
    <w:rsid w:val="00E30125"/>
    <w:rsid w:val="00E301BC"/>
    <w:rsid w:val="00E30A90"/>
    <w:rsid w:val="00E30B08"/>
    <w:rsid w:val="00E30EE1"/>
    <w:rsid w:val="00E30F90"/>
    <w:rsid w:val="00E317A8"/>
    <w:rsid w:val="00E321DB"/>
    <w:rsid w:val="00E324E2"/>
    <w:rsid w:val="00E326AB"/>
    <w:rsid w:val="00E328C0"/>
    <w:rsid w:val="00E32AD1"/>
    <w:rsid w:val="00E32BC7"/>
    <w:rsid w:val="00E32CC0"/>
    <w:rsid w:val="00E32D96"/>
    <w:rsid w:val="00E333C1"/>
    <w:rsid w:val="00E336F6"/>
    <w:rsid w:val="00E33812"/>
    <w:rsid w:val="00E33869"/>
    <w:rsid w:val="00E33A9B"/>
    <w:rsid w:val="00E33B7E"/>
    <w:rsid w:val="00E33CDA"/>
    <w:rsid w:val="00E3400B"/>
    <w:rsid w:val="00E34155"/>
    <w:rsid w:val="00E3436B"/>
    <w:rsid w:val="00E347D9"/>
    <w:rsid w:val="00E34810"/>
    <w:rsid w:val="00E34CDE"/>
    <w:rsid w:val="00E350EE"/>
    <w:rsid w:val="00E3519F"/>
    <w:rsid w:val="00E35229"/>
    <w:rsid w:val="00E355DA"/>
    <w:rsid w:val="00E356B1"/>
    <w:rsid w:val="00E35CF9"/>
    <w:rsid w:val="00E35EC0"/>
    <w:rsid w:val="00E35FBF"/>
    <w:rsid w:val="00E36074"/>
    <w:rsid w:val="00E363FE"/>
    <w:rsid w:val="00E366B1"/>
    <w:rsid w:val="00E36CF6"/>
    <w:rsid w:val="00E372CC"/>
    <w:rsid w:val="00E375B8"/>
    <w:rsid w:val="00E375E1"/>
    <w:rsid w:val="00E37631"/>
    <w:rsid w:val="00E376B1"/>
    <w:rsid w:val="00E37881"/>
    <w:rsid w:val="00E37F7B"/>
    <w:rsid w:val="00E405DC"/>
    <w:rsid w:val="00E40B37"/>
    <w:rsid w:val="00E40CE5"/>
    <w:rsid w:val="00E40E6D"/>
    <w:rsid w:val="00E40FF3"/>
    <w:rsid w:val="00E41446"/>
    <w:rsid w:val="00E4188C"/>
    <w:rsid w:val="00E4195E"/>
    <w:rsid w:val="00E41BF8"/>
    <w:rsid w:val="00E41F93"/>
    <w:rsid w:val="00E420F1"/>
    <w:rsid w:val="00E423A1"/>
    <w:rsid w:val="00E424CA"/>
    <w:rsid w:val="00E425FE"/>
    <w:rsid w:val="00E427AF"/>
    <w:rsid w:val="00E427BA"/>
    <w:rsid w:val="00E42B0C"/>
    <w:rsid w:val="00E42B66"/>
    <w:rsid w:val="00E4309F"/>
    <w:rsid w:val="00E430A1"/>
    <w:rsid w:val="00E430D8"/>
    <w:rsid w:val="00E43170"/>
    <w:rsid w:val="00E434B7"/>
    <w:rsid w:val="00E434F8"/>
    <w:rsid w:val="00E43DF3"/>
    <w:rsid w:val="00E442AB"/>
    <w:rsid w:val="00E44D70"/>
    <w:rsid w:val="00E44D7F"/>
    <w:rsid w:val="00E44FE6"/>
    <w:rsid w:val="00E45A21"/>
    <w:rsid w:val="00E45B43"/>
    <w:rsid w:val="00E45B71"/>
    <w:rsid w:val="00E45D0F"/>
    <w:rsid w:val="00E45E71"/>
    <w:rsid w:val="00E460C6"/>
    <w:rsid w:val="00E4621E"/>
    <w:rsid w:val="00E46667"/>
    <w:rsid w:val="00E4666F"/>
    <w:rsid w:val="00E46FBC"/>
    <w:rsid w:val="00E47014"/>
    <w:rsid w:val="00E47287"/>
    <w:rsid w:val="00E4742D"/>
    <w:rsid w:val="00E4786A"/>
    <w:rsid w:val="00E47B5D"/>
    <w:rsid w:val="00E503B8"/>
    <w:rsid w:val="00E50696"/>
    <w:rsid w:val="00E508B0"/>
    <w:rsid w:val="00E50B5B"/>
    <w:rsid w:val="00E50D18"/>
    <w:rsid w:val="00E510B9"/>
    <w:rsid w:val="00E512FB"/>
    <w:rsid w:val="00E5192F"/>
    <w:rsid w:val="00E519C0"/>
    <w:rsid w:val="00E51ACC"/>
    <w:rsid w:val="00E51C29"/>
    <w:rsid w:val="00E52776"/>
    <w:rsid w:val="00E5295F"/>
    <w:rsid w:val="00E52BE8"/>
    <w:rsid w:val="00E53259"/>
    <w:rsid w:val="00E534F6"/>
    <w:rsid w:val="00E53549"/>
    <w:rsid w:val="00E53585"/>
    <w:rsid w:val="00E53A60"/>
    <w:rsid w:val="00E53BBB"/>
    <w:rsid w:val="00E53CE4"/>
    <w:rsid w:val="00E53FB6"/>
    <w:rsid w:val="00E541B3"/>
    <w:rsid w:val="00E541FF"/>
    <w:rsid w:val="00E542CC"/>
    <w:rsid w:val="00E548AA"/>
    <w:rsid w:val="00E548C4"/>
    <w:rsid w:val="00E5498B"/>
    <w:rsid w:val="00E5508E"/>
    <w:rsid w:val="00E551A0"/>
    <w:rsid w:val="00E554CF"/>
    <w:rsid w:val="00E554EE"/>
    <w:rsid w:val="00E55CAC"/>
    <w:rsid w:val="00E560EB"/>
    <w:rsid w:val="00E568F4"/>
    <w:rsid w:val="00E56A26"/>
    <w:rsid w:val="00E56B55"/>
    <w:rsid w:val="00E56F8E"/>
    <w:rsid w:val="00E575DA"/>
    <w:rsid w:val="00E57951"/>
    <w:rsid w:val="00E57A8C"/>
    <w:rsid w:val="00E57B48"/>
    <w:rsid w:val="00E57B57"/>
    <w:rsid w:val="00E57F59"/>
    <w:rsid w:val="00E57FD4"/>
    <w:rsid w:val="00E601CC"/>
    <w:rsid w:val="00E603CE"/>
    <w:rsid w:val="00E60778"/>
    <w:rsid w:val="00E60A63"/>
    <w:rsid w:val="00E61115"/>
    <w:rsid w:val="00E61436"/>
    <w:rsid w:val="00E61680"/>
    <w:rsid w:val="00E61D7D"/>
    <w:rsid w:val="00E61DD8"/>
    <w:rsid w:val="00E61F45"/>
    <w:rsid w:val="00E62690"/>
    <w:rsid w:val="00E62CFD"/>
    <w:rsid w:val="00E62E6C"/>
    <w:rsid w:val="00E630F0"/>
    <w:rsid w:val="00E63780"/>
    <w:rsid w:val="00E63834"/>
    <w:rsid w:val="00E638E1"/>
    <w:rsid w:val="00E63934"/>
    <w:rsid w:val="00E63996"/>
    <w:rsid w:val="00E639FE"/>
    <w:rsid w:val="00E6400B"/>
    <w:rsid w:val="00E6409A"/>
    <w:rsid w:val="00E642A5"/>
    <w:rsid w:val="00E64414"/>
    <w:rsid w:val="00E64463"/>
    <w:rsid w:val="00E6457E"/>
    <w:rsid w:val="00E64682"/>
    <w:rsid w:val="00E64F36"/>
    <w:rsid w:val="00E654C6"/>
    <w:rsid w:val="00E65544"/>
    <w:rsid w:val="00E65E72"/>
    <w:rsid w:val="00E66832"/>
    <w:rsid w:val="00E66FA5"/>
    <w:rsid w:val="00E67024"/>
    <w:rsid w:val="00E672B8"/>
    <w:rsid w:val="00E6731F"/>
    <w:rsid w:val="00E67591"/>
    <w:rsid w:val="00E67A53"/>
    <w:rsid w:val="00E67D43"/>
    <w:rsid w:val="00E70869"/>
    <w:rsid w:val="00E70C42"/>
    <w:rsid w:val="00E713CB"/>
    <w:rsid w:val="00E71B75"/>
    <w:rsid w:val="00E7211A"/>
    <w:rsid w:val="00E72450"/>
    <w:rsid w:val="00E72540"/>
    <w:rsid w:val="00E726D9"/>
    <w:rsid w:val="00E727C3"/>
    <w:rsid w:val="00E72D83"/>
    <w:rsid w:val="00E7333D"/>
    <w:rsid w:val="00E7340E"/>
    <w:rsid w:val="00E73DD1"/>
    <w:rsid w:val="00E73F00"/>
    <w:rsid w:val="00E7464E"/>
    <w:rsid w:val="00E74776"/>
    <w:rsid w:val="00E74C49"/>
    <w:rsid w:val="00E74CD1"/>
    <w:rsid w:val="00E74F09"/>
    <w:rsid w:val="00E74FB7"/>
    <w:rsid w:val="00E7513F"/>
    <w:rsid w:val="00E754C9"/>
    <w:rsid w:val="00E75702"/>
    <w:rsid w:val="00E75AFF"/>
    <w:rsid w:val="00E761B3"/>
    <w:rsid w:val="00E761D9"/>
    <w:rsid w:val="00E7639B"/>
    <w:rsid w:val="00E765FD"/>
    <w:rsid w:val="00E768A3"/>
    <w:rsid w:val="00E769FA"/>
    <w:rsid w:val="00E76DC3"/>
    <w:rsid w:val="00E76F72"/>
    <w:rsid w:val="00E77296"/>
    <w:rsid w:val="00E7766D"/>
    <w:rsid w:val="00E77724"/>
    <w:rsid w:val="00E77772"/>
    <w:rsid w:val="00E778F9"/>
    <w:rsid w:val="00E779ED"/>
    <w:rsid w:val="00E8057A"/>
    <w:rsid w:val="00E80909"/>
    <w:rsid w:val="00E80E67"/>
    <w:rsid w:val="00E81212"/>
    <w:rsid w:val="00E814DA"/>
    <w:rsid w:val="00E81905"/>
    <w:rsid w:val="00E81B24"/>
    <w:rsid w:val="00E81C5A"/>
    <w:rsid w:val="00E821CE"/>
    <w:rsid w:val="00E825E4"/>
    <w:rsid w:val="00E827B8"/>
    <w:rsid w:val="00E829B4"/>
    <w:rsid w:val="00E82A41"/>
    <w:rsid w:val="00E82CC3"/>
    <w:rsid w:val="00E83338"/>
    <w:rsid w:val="00E83840"/>
    <w:rsid w:val="00E8390A"/>
    <w:rsid w:val="00E83BA7"/>
    <w:rsid w:val="00E83D32"/>
    <w:rsid w:val="00E83F22"/>
    <w:rsid w:val="00E842CB"/>
    <w:rsid w:val="00E842FC"/>
    <w:rsid w:val="00E84326"/>
    <w:rsid w:val="00E84522"/>
    <w:rsid w:val="00E84ACD"/>
    <w:rsid w:val="00E84D11"/>
    <w:rsid w:val="00E85382"/>
    <w:rsid w:val="00E854C4"/>
    <w:rsid w:val="00E85797"/>
    <w:rsid w:val="00E8587A"/>
    <w:rsid w:val="00E8591C"/>
    <w:rsid w:val="00E859A6"/>
    <w:rsid w:val="00E85E54"/>
    <w:rsid w:val="00E85E92"/>
    <w:rsid w:val="00E85FD5"/>
    <w:rsid w:val="00E866C3"/>
    <w:rsid w:val="00E86A77"/>
    <w:rsid w:val="00E86E63"/>
    <w:rsid w:val="00E86F2F"/>
    <w:rsid w:val="00E87233"/>
    <w:rsid w:val="00E8728D"/>
    <w:rsid w:val="00E900E8"/>
    <w:rsid w:val="00E90557"/>
    <w:rsid w:val="00E90984"/>
    <w:rsid w:val="00E90A1C"/>
    <w:rsid w:val="00E9110B"/>
    <w:rsid w:val="00E912B5"/>
    <w:rsid w:val="00E91634"/>
    <w:rsid w:val="00E916F8"/>
    <w:rsid w:val="00E91864"/>
    <w:rsid w:val="00E918B6"/>
    <w:rsid w:val="00E91A56"/>
    <w:rsid w:val="00E91A85"/>
    <w:rsid w:val="00E92051"/>
    <w:rsid w:val="00E921F9"/>
    <w:rsid w:val="00E922F0"/>
    <w:rsid w:val="00E923D3"/>
    <w:rsid w:val="00E92439"/>
    <w:rsid w:val="00E925BE"/>
    <w:rsid w:val="00E927ED"/>
    <w:rsid w:val="00E92BD3"/>
    <w:rsid w:val="00E92E30"/>
    <w:rsid w:val="00E9349F"/>
    <w:rsid w:val="00E93A25"/>
    <w:rsid w:val="00E93D36"/>
    <w:rsid w:val="00E93D57"/>
    <w:rsid w:val="00E93DDF"/>
    <w:rsid w:val="00E94178"/>
    <w:rsid w:val="00E94310"/>
    <w:rsid w:val="00E94667"/>
    <w:rsid w:val="00E94AC8"/>
    <w:rsid w:val="00E94FAB"/>
    <w:rsid w:val="00E95783"/>
    <w:rsid w:val="00E9608E"/>
    <w:rsid w:val="00E960AF"/>
    <w:rsid w:val="00E960C5"/>
    <w:rsid w:val="00E964B0"/>
    <w:rsid w:val="00E96539"/>
    <w:rsid w:val="00E96661"/>
    <w:rsid w:val="00E96802"/>
    <w:rsid w:val="00E96A3E"/>
    <w:rsid w:val="00E96A50"/>
    <w:rsid w:val="00E96D38"/>
    <w:rsid w:val="00E96F47"/>
    <w:rsid w:val="00E96FD3"/>
    <w:rsid w:val="00E972A7"/>
    <w:rsid w:val="00E972B7"/>
    <w:rsid w:val="00E972E3"/>
    <w:rsid w:val="00E97672"/>
    <w:rsid w:val="00E97E06"/>
    <w:rsid w:val="00EA0347"/>
    <w:rsid w:val="00EA0E4A"/>
    <w:rsid w:val="00EA0F7E"/>
    <w:rsid w:val="00EA1111"/>
    <w:rsid w:val="00EA15C9"/>
    <w:rsid w:val="00EA178E"/>
    <w:rsid w:val="00EA1893"/>
    <w:rsid w:val="00EA1EF8"/>
    <w:rsid w:val="00EA2000"/>
    <w:rsid w:val="00EA2B2F"/>
    <w:rsid w:val="00EA3016"/>
    <w:rsid w:val="00EA36FA"/>
    <w:rsid w:val="00EA376A"/>
    <w:rsid w:val="00EA38F8"/>
    <w:rsid w:val="00EA3B09"/>
    <w:rsid w:val="00EA3EFB"/>
    <w:rsid w:val="00EA3FDD"/>
    <w:rsid w:val="00EA4037"/>
    <w:rsid w:val="00EA4086"/>
    <w:rsid w:val="00EA46D8"/>
    <w:rsid w:val="00EA4728"/>
    <w:rsid w:val="00EA476A"/>
    <w:rsid w:val="00EA4B12"/>
    <w:rsid w:val="00EA522E"/>
    <w:rsid w:val="00EA5845"/>
    <w:rsid w:val="00EA5B2C"/>
    <w:rsid w:val="00EA5BD1"/>
    <w:rsid w:val="00EA5DA3"/>
    <w:rsid w:val="00EA5E73"/>
    <w:rsid w:val="00EA5F60"/>
    <w:rsid w:val="00EA5F61"/>
    <w:rsid w:val="00EA65C3"/>
    <w:rsid w:val="00EA7478"/>
    <w:rsid w:val="00EA754E"/>
    <w:rsid w:val="00EA785E"/>
    <w:rsid w:val="00EA7B15"/>
    <w:rsid w:val="00EA7C01"/>
    <w:rsid w:val="00EA7D79"/>
    <w:rsid w:val="00EB0102"/>
    <w:rsid w:val="00EB0231"/>
    <w:rsid w:val="00EB0294"/>
    <w:rsid w:val="00EB029C"/>
    <w:rsid w:val="00EB0520"/>
    <w:rsid w:val="00EB0745"/>
    <w:rsid w:val="00EB075A"/>
    <w:rsid w:val="00EB0764"/>
    <w:rsid w:val="00EB07A2"/>
    <w:rsid w:val="00EB08F1"/>
    <w:rsid w:val="00EB08FC"/>
    <w:rsid w:val="00EB0AE5"/>
    <w:rsid w:val="00EB0E96"/>
    <w:rsid w:val="00EB0F73"/>
    <w:rsid w:val="00EB14CE"/>
    <w:rsid w:val="00EB15BB"/>
    <w:rsid w:val="00EB170F"/>
    <w:rsid w:val="00EB176B"/>
    <w:rsid w:val="00EB1939"/>
    <w:rsid w:val="00EB1D7B"/>
    <w:rsid w:val="00EB1FD7"/>
    <w:rsid w:val="00EB1FFA"/>
    <w:rsid w:val="00EB215F"/>
    <w:rsid w:val="00EB2C74"/>
    <w:rsid w:val="00EB3226"/>
    <w:rsid w:val="00EB3527"/>
    <w:rsid w:val="00EB3D48"/>
    <w:rsid w:val="00EB458C"/>
    <w:rsid w:val="00EB4B55"/>
    <w:rsid w:val="00EB4DDB"/>
    <w:rsid w:val="00EB5E91"/>
    <w:rsid w:val="00EB5F17"/>
    <w:rsid w:val="00EB5F74"/>
    <w:rsid w:val="00EB67FE"/>
    <w:rsid w:val="00EB6A4D"/>
    <w:rsid w:val="00EB6A63"/>
    <w:rsid w:val="00EB6AEE"/>
    <w:rsid w:val="00EB6C71"/>
    <w:rsid w:val="00EB7125"/>
    <w:rsid w:val="00EB72A9"/>
    <w:rsid w:val="00EB72BB"/>
    <w:rsid w:val="00EB7733"/>
    <w:rsid w:val="00EB7925"/>
    <w:rsid w:val="00EB7CAB"/>
    <w:rsid w:val="00EC04F5"/>
    <w:rsid w:val="00EC0513"/>
    <w:rsid w:val="00EC0622"/>
    <w:rsid w:val="00EC06F7"/>
    <w:rsid w:val="00EC0789"/>
    <w:rsid w:val="00EC0B7B"/>
    <w:rsid w:val="00EC0C13"/>
    <w:rsid w:val="00EC0DD1"/>
    <w:rsid w:val="00EC11E4"/>
    <w:rsid w:val="00EC187F"/>
    <w:rsid w:val="00EC1993"/>
    <w:rsid w:val="00EC1C6C"/>
    <w:rsid w:val="00EC1CF5"/>
    <w:rsid w:val="00EC1D27"/>
    <w:rsid w:val="00EC1ED8"/>
    <w:rsid w:val="00EC2028"/>
    <w:rsid w:val="00EC23D1"/>
    <w:rsid w:val="00EC2A09"/>
    <w:rsid w:val="00EC2A80"/>
    <w:rsid w:val="00EC2AFB"/>
    <w:rsid w:val="00EC321A"/>
    <w:rsid w:val="00EC35BE"/>
    <w:rsid w:val="00EC37D0"/>
    <w:rsid w:val="00EC401E"/>
    <w:rsid w:val="00EC43C0"/>
    <w:rsid w:val="00EC43D1"/>
    <w:rsid w:val="00EC4449"/>
    <w:rsid w:val="00EC4559"/>
    <w:rsid w:val="00EC461F"/>
    <w:rsid w:val="00EC49A6"/>
    <w:rsid w:val="00EC49C8"/>
    <w:rsid w:val="00EC49D9"/>
    <w:rsid w:val="00EC4A2B"/>
    <w:rsid w:val="00EC4EDE"/>
    <w:rsid w:val="00EC52F9"/>
    <w:rsid w:val="00EC5686"/>
    <w:rsid w:val="00EC58B7"/>
    <w:rsid w:val="00EC5B42"/>
    <w:rsid w:val="00EC5C65"/>
    <w:rsid w:val="00EC5E05"/>
    <w:rsid w:val="00EC5FB8"/>
    <w:rsid w:val="00EC6114"/>
    <w:rsid w:val="00EC63BA"/>
    <w:rsid w:val="00EC67F1"/>
    <w:rsid w:val="00EC68C5"/>
    <w:rsid w:val="00EC68EF"/>
    <w:rsid w:val="00EC6C42"/>
    <w:rsid w:val="00EC6E5E"/>
    <w:rsid w:val="00EC7001"/>
    <w:rsid w:val="00EC7550"/>
    <w:rsid w:val="00EC79FA"/>
    <w:rsid w:val="00EC7C1A"/>
    <w:rsid w:val="00EC7F15"/>
    <w:rsid w:val="00EC7F43"/>
    <w:rsid w:val="00ED0CCD"/>
    <w:rsid w:val="00ED0D60"/>
    <w:rsid w:val="00ED111A"/>
    <w:rsid w:val="00ED1366"/>
    <w:rsid w:val="00ED149A"/>
    <w:rsid w:val="00ED1B34"/>
    <w:rsid w:val="00ED1CD3"/>
    <w:rsid w:val="00ED33CF"/>
    <w:rsid w:val="00ED3413"/>
    <w:rsid w:val="00ED38B9"/>
    <w:rsid w:val="00ED40D3"/>
    <w:rsid w:val="00ED42B0"/>
    <w:rsid w:val="00ED4626"/>
    <w:rsid w:val="00ED4737"/>
    <w:rsid w:val="00ED4763"/>
    <w:rsid w:val="00ED47C7"/>
    <w:rsid w:val="00ED47FC"/>
    <w:rsid w:val="00ED4935"/>
    <w:rsid w:val="00ED4DCB"/>
    <w:rsid w:val="00ED4ED8"/>
    <w:rsid w:val="00ED5497"/>
    <w:rsid w:val="00ED57FD"/>
    <w:rsid w:val="00ED58DF"/>
    <w:rsid w:val="00ED59CE"/>
    <w:rsid w:val="00ED5FFB"/>
    <w:rsid w:val="00ED614E"/>
    <w:rsid w:val="00ED6A3A"/>
    <w:rsid w:val="00ED6B04"/>
    <w:rsid w:val="00EE0109"/>
    <w:rsid w:val="00EE067D"/>
    <w:rsid w:val="00EE06C3"/>
    <w:rsid w:val="00EE088E"/>
    <w:rsid w:val="00EE0A4C"/>
    <w:rsid w:val="00EE0FDE"/>
    <w:rsid w:val="00EE1629"/>
    <w:rsid w:val="00EE1726"/>
    <w:rsid w:val="00EE1734"/>
    <w:rsid w:val="00EE17AB"/>
    <w:rsid w:val="00EE1BE7"/>
    <w:rsid w:val="00EE1C3A"/>
    <w:rsid w:val="00EE1E03"/>
    <w:rsid w:val="00EE20BE"/>
    <w:rsid w:val="00EE255A"/>
    <w:rsid w:val="00EE2561"/>
    <w:rsid w:val="00EE2704"/>
    <w:rsid w:val="00EE2F08"/>
    <w:rsid w:val="00EE2F3A"/>
    <w:rsid w:val="00EE32B6"/>
    <w:rsid w:val="00EE3300"/>
    <w:rsid w:val="00EE33BF"/>
    <w:rsid w:val="00EE4332"/>
    <w:rsid w:val="00EE434F"/>
    <w:rsid w:val="00EE447E"/>
    <w:rsid w:val="00EE460A"/>
    <w:rsid w:val="00EE46A9"/>
    <w:rsid w:val="00EE4B8C"/>
    <w:rsid w:val="00EE4CA4"/>
    <w:rsid w:val="00EE4CEA"/>
    <w:rsid w:val="00EE4F17"/>
    <w:rsid w:val="00EE554E"/>
    <w:rsid w:val="00EE5916"/>
    <w:rsid w:val="00EE5A25"/>
    <w:rsid w:val="00EE5BEA"/>
    <w:rsid w:val="00EE5E91"/>
    <w:rsid w:val="00EE5F1C"/>
    <w:rsid w:val="00EE621B"/>
    <w:rsid w:val="00EE6844"/>
    <w:rsid w:val="00EE6E66"/>
    <w:rsid w:val="00EE6ED3"/>
    <w:rsid w:val="00EE6F9D"/>
    <w:rsid w:val="00EE738B"/>
    <w:rsid w:val="00EE7393"/>
    <w:rsid w:val="00EE78CB"/>
    <w:rsid w:val="00EE7D1A"/>
    <w:rsid w:val="00EE7E4E"/>
    <w:rsid w:val="00EE7FBA"/>
    <w:rsid w:val="00EF0340"/>
    <w:rsid w:val="00EF070F"/>
    <w:rsid w:val="00EF0957"/>
    <w:rsid w:val="00EF0BCD"/>
    <w:rsid w:val="00EF0DA3"/>
    <w:rsid w:val="00EF0E63"/>
    <w:rsid w:val="00EF165A"/>
    <w:rsid w:val="00EF1970"/>
    <w:rsid w:val="00EF23E4"/>
    <w:rsid w:val="00EF2560"/>
    <w:rsid w:val="00EF2583"/>
    <w:rsid w:val="00EF2E86"/>
    <w:rsid w:val="00EF2EFE"/>
    <w:rsid w:val="00EF3300"/>
    <w:rsid w:val="00EF3695"/>
    <w:rsid w:val="00EF3880"/>
    <w:rsid w:val="00EF3AFE"/>
    <w:rsid w:val="00EF3CE6"/>
    <w:rsid w:val="00EF3E66"/>
    <w:rsid w:val="00EF4142"/>
    <w:rsid w:val="00EF4237"/>
    <w:rsid w:val="00EF4558"/>
    <w:rsid w:val="00EF45B3"/>
    <w:rsid w:val="00EF4B69"/>
    <w:rsid w:val="00EF50B3"/>
    <w:rsid w:val="00EF519C"/>
    <w:rsid w:val="00EF51AF"/>
    <w:rsid w:val="00EF59CA"/>
    <w:rsid w:val="00EF5C6F"/>
    <w:rsid w:val="00EF5C70"/>
    <w:rsid w:val="00EF60DD"/>
    <w:rsid w:val="00EF6492"/>
    <w:rsid w:val="00EF65B5"/>
    <w:rsid w:val="00EF68F6"/>
    <w:rsid w:val="00EF6923"/>
    <w:rsid w:val="00EF7055"/>
    <w:rsid w:val="00EF70C6"/>
    <w:rsid w:val="00EF7205"/>
    <w:rsid w:val="00EF7469"/>
    <w:rsid w:val="00EF7C8B"/>
    <w:rsid w:val="00F00305"/>
    <w:rsid w:val="00F0086C"/>
    <w:rsid w:val="00F00AF0"/>
    <w:rsid w:val="00F00CBE"/>
    <w:rsid w:val="00F00CF6"/>
    <w:rsid w:val="00F00D48"/>
    <w:rsid w:val="00F00E8C"/>
    <w:rsid w:val="00F0127B"/>
    <w:rsid w:val="00F01737"/>
    <w:rsid w:val="00F01AD5"/>
    <w:rsid w:val="00F01F34"/>
    <w:rsid w:val="00F0206B"/>
    <w:rsid w:val="00F02837"/>
    <w:rsid w:val="00F02968"/>
    <w:rsid w:val="00F02A9B"/>
    <w:rsid w:val="00F02E2E"/>
    <w:rsid w:val="00F03127"/>
    <w:rsid w:val="00F0357A"/>
    <w:rsid w:val="00F038B6"/>
    <w:rsid w:val="00F03B7E"/>
    <w:rsid w:val="00F03C53"/>
    <w:rsid w:val="00F04205"/>
    <w:rsid w:val="00F04968"/>
    <w:rsid w:val="00F051F0"/>
    <w:rsid w:val="00F053DD"/>
    <w:rsid w:val="00F055DE"/>
    <w:rsid w:val="00F05751"/>
    <w:rsid w:val="00F05F74"/>
    <w:rsid w:val="00F05F85"/>
    <w:rsid w:val="00F065E8"/>
    <w:rsid w:val="00F066F6"/>
    <w:rsid w:val="00F06728"/>
    <w:rsid w:val="00F06C18"/>
    <w:rsid w:val="00F0779A"/>
    <w:rsid w:val="00F078D6"/>
    <w:rsid w:val="00F078F2"/>
    <w:rsid w:val="00F10022"/>
    <w:rsid w:val="00F10189"/>
    <w:rsid w:val="00F10398"/>
    <w:rsid w:val="00F10AAC"/>
    <w:rsid w:val="00F10B0F"/>
    <w:rsid w:val="00F10C22"/>
    <w:rsid w:val="00F1107F"/>
    <w:rsid w:val="00F111E7"/>
    <w:rsid w:val="00F1140A"/>
    <w:rsid w:val="00F11521"/>
    <w:rsid w:val="00F11820"/>
    <w:rsid w:val="00F119C9"/>
    <w:rsid w:val="00F11B58"/>
    <w:rsid w:val="00F11FED"/>
    <w:rsid w:val="00F12000"/>
    <w:rsid w:val="00F12093"/>
    <w:rsid w:val="00F1263C"/>
    <w:rsid w:val="00F127D5"/>
    <w:rsid w:val="00F12B1E"/>
    <w:rsid w:val="00F12B35"/>
    <w:rsid w:val="00F12C71"/>
    <w:rsid w:val="00F1345E"/>
    <w:rsid w:val="00F13D19"/>
    <w:rsid w:val="00F13FEC"/>
    <w:rsid w:val="00F143A6"/>
    <w:rsid w:val="00F145D7"/>
    <w:rsid w:val="00F14639"/>
    <w:rsid w:val="00F147FB"/>
    <w:rsid w:val="00F14A6F"/>
    <w:rsid w:val="00F14FE3"/>
    <w:rsid w:val="00F154D1"/>
    <w:rsid w:val="00F15685"/>
    <w:rsid w:val="00F15C9C"/>
    <w:rsid w:val="00F15D85"/>
    <w:rsid w:val="00F1633A"/>
    <w:rsid w:val="00F167C3"/>
    <w:rsid w:val="00F16B3B"/>
    <w:rsid w:val="00F17183"/>
    <w:rsid w:val="00F1736B"/>
    <w:rsid w:val="00F17408"/>
    <w:rsid w:val="00F17803"/>
    <w:rsid w:val="00F178E0"/>
    <w:rsid w:val="00F17E89"/>
    <w:rsid w:val="00F2018A"/>
    <w:rsid w:val="00F201D8"/>
    <w:rsid w:val="00F2036A"/>
    <w:rsid w:val="00F2037A"/>
    <w:rsid w:val="00F203D9"/>
    <w:rsid w:val="00F206E7"/>
    <w:rsid w:val="00F20822"/>
    <w:rsid w:val="00F20CF6"/>
    <w:rsid w:val="00F216F4"/>
    <w:rsid w:val="00F2186E"/>
    <w:rsid w:val="00F21933"/>
    <w:rsid w:val="00F21993"/>
    <w:rsid w:val="00F21CAD"/>
    <w:rsid w:val="00F21D1A"/>
    <w:rsid w:val="00F21D45"/>
    <w:rsid w:val="00F21E4D"/>
    <w:rsid w:val="00F22128"/>
    <w:rsid w:val="00F22D7D"/>
    <w:rsid w:val="00F23210"/>
    <w:rsid w:val="00F233DF"/>
    <w:rsid w:val="00F23562"/>
    <w:rsid w:val="00F23D8E"/>
    <w:rsid w:val="00F24111"/>
    <w:rsid w:val="00F2458A"/>
    <w:rsid w:val="00F24687"/>
    <w:rsid w:val="00F246E1"/>
    <w:rsid w:val="00F2499D"/>
    <w:rsid w:val="00F24B52"/>
    <w:rsid w:val="00F24DFC"/>
    <w:rsid w:val="00F24F83"/>
    <w:rsid w:val="00F250AD"/>
    <w:rsid w:val="00F25153"/>
    <w:rsid w:val="00F251E6"/>
    <w:rsid w:val="00F25261"/>
    <w:rsid w:val="00F252D8"/>
    <w:rsid w:val="00F25DD4"/>
    <w:rsid w:val="00F2662C"/>
    <w:rsid w:val="00F26E26"/>
    <w:rsid w:val="00F2729E"/>
    <w:rsid w:val="00F274A4"/>
    <w:rsid w:val="00F276D0"/>
    <w:rsid w:val="00F27A6E"/>
    <w:rsid w:val="00F27D1D"/>
    <w:rsid w:val="00F27EB1"/>
    <w:rsid w:val="00F306D8"/>
    <w:rsid w:val="00F30C0A"/>
    <w:rsid w:val="00F30C44"/>
    <w:rsid w:val="00F30E36"/>
    <w:rsid w:val="00F30F4F"/>
    <w:rsid w:val="00F30F92"/>
    <w:rsid w:val="00F3113E"/>
    <w:rsid w:val="00F31F29"/>
    <w:rsid w:val="00F32138"/>
    <w:rsid w:val="00F321FE"/>
    <w:rsid w:val="00F323C7"/>
    <w:rsid w:val="00F329D7"/>
    <w:rsid w:val="00F32D74"/>
    <w:rsid w:val="00F334C7"/>
    <w:rsid w:val="00F33899"/>
    <w:rsid w:val="00F33943"/>
    <w:rsid w:val="00F33D1E"/>
    <w:rsid w:val="00F33F13"/>
    <w:rsid w:val="00F345D0"/>
    <w:rsid w:val="00F34838"/>
    <w:rsid w:val="00F34B37"/>
    <w:rsid w:val="00F3520D"/>
    <w:rsid w:val="00F356FA"/>
    <w:rsid w:val="00F35E08"/>
    <w:rsid w:val="00F362E3"/>
    <w:rsid w:val="00F365AA"/>
    <w:rsid w:val="00F366AF"/>
    <w:rsid w:val="00F367C8"/>
    <w:rsid w:val="00F3683E"/>
    <w:rsid w:val="00F36855"/>
    <w:rsid w:val="00F36D91"/>
    <w:rsid w:val="00F373BF"/>
    <w:rsid w:val="00F37B8A"/>
    <w:rsid w:val="00F37E1A"/>
    <w:rsid w:val="00F407EB"/>
    <w:rsid w:val="00F409E0"/>
    <w:rsid w:val="00F40D99"/>
    <w:rsid w:val="00F40EBB"/>
    <w:rsid w:val="00F412B0"/>
    <w:rsid w:val="00F41461"/>
    <w:rsid w:val="00F4155F"/>
    <w:rsid w:val="00F4177B"/>
    <w:rsid w:val="00F41879"/>
    <w:rsid w:val="00F41AB4"/>
    <w:rsid w:val="00F41C7A"/>
    <w:rsid w:val="00F421E6"/>
    <w:rsid w:val="00F42329"/>
    <w:rsid w:val="00F425A5"/>
    <w:rsid w:val="00F429E8"/>
    <w:rsid w:val="00F42B26"/>
    <w:rsid w:val="00F42F1A"/>
    <w:rsid w:val="00F42FC1"/>
    <w:rsid w:val="00F431D0"/>
    <w:rsid w:val="00F4338F"/>
    <w:rsid w:val="00F43A75"/>
    <w:rsid w:val="00F43CD9"/>
    <w:rsid w:val="00F4448A"/>
    <w:rsid w:val="00F44612"/>
    <w:rsid w:val="00F446E1"/>
    <w:rsid w:val="00F447AB"/>
    <w:rsid w:val="00F44824"/>
    <w:rsid w:val="00F44AC4"/>
    <w:rsid w:val="00F44C31"/>
    <w:rsid w:val="00F452E6"/>
    <w:rsid w:val="00F45373"/>
    <w:rsid w:val="00F454DE"/>
    <w:rsid w:val="00F4574A"/>
    <w:rsid w:val="00F45CE0"/>
    <w:rsid w:val="00F45D18"/>
    <w:rsid w:val="00F45D53"/>
    <w:rsid w:val="00F45E04"/>
    <w:rsid w:val="00F46115"/>
    <w:rsid w:val="00F462C4"/>
    <w:rsid w:val="00F462FC"/>
    <w:rsid w:val="00F4639A"/>
    <w:rsid w:val="00F46729"/>
    <w:rsid w:val="00F46821"/>
    <w:rsid w:val="00F468CB"/>
    <w:rsid w:val="00F4697C"/>
    <w:rsid w:val="00F46991"/>
    <w:rsid w:val="00F46C88"/>
    <w:rsid w:val="00F46D92"/>
    <w:rsid w:val="00F47236"/>
    <w:rsid w:val="00F472EF"/>
    <w:rsid w:val="00F4752A"/>
    <w:rsid w:val="00F47F0C"/>
    <w:rsid w:val="00F50058"/>
    <w:rsid w:val="00F5030F"/>
    <w:rsid w:val="00F506C6"/>
    <w:rsid w:val="00F50738"/>
    <w:rsid w:val="00F50775"/>
    <w:rsid w:val="00F50981"/>
    <w:rsid w:val="00F5130B"/>
    <w:rsid w:val="00F51E84"/>
    <w:rsid w:val="00F5279D"/>
    <w:rsid w:val="00F52802"/>
    <w:rsid w:val="00F528FC"/>
    <w:rsid w:val="00F5290B"/>
    <w:rsid w:val="00F52A89"/>
    <w:rsid w:val="00F52DF7"/>
    <w:rsid w:val="00F53357"/>
    <w:rsid w:val="00F533C8"/>
    <w:rsid w:val="00F534DC"/>
    <w:rsid w:val="00F5366D"/>
    <w:rsid w:val="00F5382B"/>
    <w:rsid w:val="00F5383B"/>
    <w:rsid w:val="00F5385B"/>
    <w:rsid w:val="00F538D9"/>
    <w:rsid w:val="00F5395D"/>
    <w:rsid w:val="00F53DB5"/>
    <w:rsid w:val="00F53DFF"/>
    <w:rsid w:val="00F53E56"/>
    <w:rsid w:val="00F541D3"/>
    <w:rsid w:val="00F54564"/>
    <w:rsid w:val="00F54651"/>
    <w:rsid w:val="00F54D61"/>
    <w:rsid w:val="00F5511F"/>
    <w:rsid w:val="00F551BC"/>
    <w:rsid w:val="00F5535C"/>
    <w:rsid w:val="00F555D2"/>
    <w:rsid w:val="00F55710"/>
    <w:rsid w:val="00F55CEA"/>
    <w:rsid w:val="00F564DA"/>
    <w:rsid w:val="00F56661"/>
    <w:rsid w:val="00F56D06"/>
    <w:rsid w:val="00F56D5D"/>
    <w:rsid w:val="00F56F7C"/>
    <w:rsid w:val="00F57034"/>
    <w:rsid w:val="00F572AD"/>
    <w:rsid w:val="00F5735C"/>
    <w:rsid w:val="00F5739B"/>
    <w:rsid w:val="00F574F0"/>
    <w:rsid w:val="00F57727"/>
    <w:rsid w:val="00F57739"/>
    <w:rsid w:val="00F60167"/>
    <w:rsid w:val="00F60381"/>
    <w:rsid w:val="00F60610"/>
    <w:rsid w:val="00F6089E"/>
    <w:rsid w:val="00F609DA"/>
    <w:rsid w:val="00F60AC9"/>
    <w:rsid w:val="00F60D6C"/>
    <w:rsid w:val="00F60E2E"/>
    <w:rsid w:val="00F6154C"/>
    <w:rsid w:val="00F615BF"/>
    <w:rsid w:val="00F61932"/>
    <w:rsid w:val="00F619DA"/>
    <w:rsid w:val="00F61E7E"/>
    <w:rsid w:val="00F620F9"/>
    <w:rsid w:val="00F621D8"/>
    <w:rsid w:val="00F62442"/>
    <w:rsid w:val="00F62C35"/>
    <w:rsid w:val="00F6309C"/>
    <w:rsid w:val="00F632D1"/>
    <w:rsid w:val="00F63743"/>
    <w:rsid w:val="00F64421"/>
    <w:rsid w:val="00F64B66"/>
    <w:rsid w:val="00F650B0"/>
    <w:rsid w:val="00F65C2C"/>
    <w:rsid w:val="00F65CEA"/>
    <w:rsid w:val="00F66322"/>
    <w:rsid w:val="00F6636A"/>
    <w:rsid w:val="00F66A3F"/>
    <w:rsid w:val="00F66F29"/>
    <w:rsid w:val="00F6738E"/>
    <w:rsid w:val="00F6748C"/>
    <w:rsid w:val="00F67B41"/>
    <w:rsid w:val="00F67D38"/>
    <w:rsid w:val="00F67DE1"/>
    <w:rsid w:val="00F67F62"/>
    <w:rsid w:val="00F700B6"/>
    <w:rsid w:val="00F70719"/>
    <w:rsid w:val="00F707C9"/>
    <w:rsid w:val="00F70811"/>
    <w:rsid w:val="00F70894"/>
    <w:rsid w:val="00F70A69"/>
    <w:rsid w:val="00F70D44"/>
    <w:rsid w:val="00F70E44"/>
    <w:rsid w:val="00F70E74"/>
    <w:rsid w:val="00F717E6"/>
    <w:rsid w:val="00F71BBA"/>
    <w:rsid w:val="00F72019"/>
    <w:rsid w:val="00F72A9E"/>
    <w:rsid w:val="00F72E98"/>
    <w:rsid w:val="00F73400"/>
    <w:rsid w:val="00F73469"/>
    <w:rsid w:val="00F734B1"/>
    <w:rsid w:val="00F73565"/>
    <w:rsid w:val="00F7358B"/>
    <w:rsid w:val="00F73A22"/>
    <w:rsid w:val="00F73E6A"/>
    <w:rsid w:val="00F74589"/>
    <w:rsid w:val="00F7465E"/>
    <w:rsid w:val="00F74689"/>
    <w:rsid w:val="00F74831"/>
    <w:rsid w:val="00F74D07"/>
    <w:rsid w:val="00F74E59"/>
    <w:rsid w:val="00F74F26"/>
    <w:rsid w:val="00F752F5"/>
    <w:rsid w:val="00F75671"/>
    <w:rsid w:val="00F7573B"/>
    <w:rsid w:val="00F759BA"/>
    <w:rsid w:val="00F75B67"/>
    <w:rsid w:val="00F75F12"/>
    <w:rsid w:val="00F762F4"/>
    <w:rsid w:val="00F76F66"/>
    <w:rsid w:val="00F7726F"/>
    <w:rsid w:val="00F77A77"/>
    <w:rsid w:val="00F77C4A"/>
    <w:rsid w:val="00F77E37"/>
    <w:rsid w:val="00F77EC9"/>
    <w:rsid w:val="00F804C6"/>
    <w:rsid w:val="00F80766"/>
    <w:rsid w:val="00F807C7"/>
    <w:rsid w:val="00F808F8"/>
    <w:rsid w:val="00F80B5D"/>
    <w:rsid w:val="00F810E6"/>
    <w:rsid w:val="00F8160E"/>
    <w:rsid w:val="00F81AC7"/>
    <w:rsid w:val="00F81BB0"/>
    <w:rsid w:val="00F821A9"/>
    <w:rsid w:val="00F82407"/>
    <w:rsid w:val="00F82B6E"/>
    <w:rsid w:val="00F82C04"/>
    <w:rsid w:val="00F83208"/>
    <w:rsid w:val="00F834D4"/>
    <w:rsid w:val="00F8360C"/>
    <w:rsid w:val="00F836B0"/>
    <w:rsid w:val="00F8381F"/>
    <w:rsid w:val="00F83A55"/>
    <w:rsid w:val="00F83AA5"/>
    <w:rsid w:val="00F83DFC"/>
    <w:rsid w:val="00F83ECF"/>
    <w:rsid w:val="00F84B21"/>
    <w:rsid w:val="00F84C1D"/>
    <w:rsid w:val="00F84FAA"/>
    <w:rsid w:val="00F8505A"/>
    <w:rsid w:val="00F85357"/>
    <w:rsid w:val="00F853EA"/>
    <w:rsid w:val="00F85491"/>
    <w:rsid w:val="00F85AA1"/>
    <w:rsid w:val="00F85FCE"/>
    <w:rsid w:val="00F8621F"/>
    <w:rsid w:val="00F8651F"/>
    <w:rsid w:val="00F8671B"/>
    <w:rsid w:val="00F86783"/>
    <w:rsid w:val="00F86C32"/>
    <w:rsid w:val="00F86F25"/>
    <w:rsid w:val="00F87A7E"/>
    <w:rsid w:val="00F87D8E"/>
    <w:rsid w:val="00F900FC"/>
    <w:rsid w:val="00F902C9"/>
    <w:rsid w:val="00F904D4"/>
    <w:rsid w:val="00F90639"/>
    <w:rsid w:val="00F90A8D"/>
    <w:rsid w:val="00F90B31"/>
    <w:rsid w:val="00F90B79"/>
    <w:rsid w:val="00F910A2"/>
    <w:rsid w:val="00F910F1"/>
    <w:rsid w:val="00F916F8"/>
    <w:rsid w:val="00F923E2"/>
    <w:rsid w:val="00F927C2"/>
    <w:rsid w:val="00F92956"/>
    <w:rsid w:val="00F9299D"/>
    <w:rsid w:val="00F92AC9"/>
    <w:rsid w:val="00F92E71"/>
    <w:rsid w:val="00F93078"/>
    <w:rsid w:val="00F93435"/>
    <w:rsid w:val="00F93A0F"/>
    <w:rsid w:val="00F93D2B"/>
    <w:rsid w:val="00F93DB4"/>
    <w:rsid w:val="00F9410F"/>
    <w:rsid w:val="00F9455B"/>
    <w:rsid w:val="00F94BB4"/>
    <w:rsid w:val="00F94EC7"/>
    <w:rsid w:val="00F95027"/>
    <w:rsid w:val="00F951CB"/>
    <w:rsid w:val="00F9577E"/>
    <w:rsid w:val="00F95D0D"/>
    <w:rsid w:val="00F95FA9"/>
    <w:rsid w:val="00F96194"/>
    <w:rsid w:val="00F9652A"/>
    <w:rsid w:val="00F96560"/>
    <w:rsid w:val="00F96712"/>
    <w:rsid w:val="00F96BD3"/>
    <w:rsid w:val="00F976F3"/>
    <w:rsid w:val="00F97C75"/>
    <w:rsid w:val="00F97D59"/>
    <w:rsid w:val="00F97E41"/>
    <w:rsid w:val="00FA01E4"/>
    <w:rsid w:val="00FA0272"/>
    <w:rsid w:val="00FA03E3"/>
    <w:rsid w:val="00FA0552"/>
    <w:rsid w:val="00FA05E7"/>
    <w:rsid w:val="00FA0A67"/>
    <w:rsid w:val="00FA0B0D"/>
    <w:rsid w:val="00FA0F24"/>
    <w:rsid w:val="00FA1383"/>
    <w:rsid w:val="00FA1745"/>
    <w:rsid w:val="00FA1923"/>
    <w:rsid w:val="00FA1C57"/>
    <w:rsid w:val="00FA1CEA"/>
    <w:rsid w:val="00FA271B"/>
    <w:rsid w:val="00FA2B00"/>
    <w:rsid w:val="00FA2CC1"/>
    <w:rsid w:val="00FA2EE5"/>
    <w:rsid w:val="00FA31C0"/>
    <w:rsid w:val="00FA3321"/>
    <w:rsid w:val="00FA3329"/>
    <w:rsid w:val="00FA33A2"/>
    <w:rsid w:val="00FA33DA"/>
    <w:rsid w:val="00FA3694"/>
    <w:rsid w:val="00FA376D"/>
    <w:rsid w:val="00FA3B51"/>
    <w:rsid w:val="00FA4EE9"/>
    <w:rsid w:val="00FA5226"/>
    <w:rsid w:val="00FA524B"/>
    <w:rsid w:val="00FA55A3"/>
    <w:rsid w:val="00FA5726"/>
    <w:rsid w:val="00FA624B"/>
    <w:rsid w:val="00FA6446"/>
    <w:rsid w:val="00FA6672"/>
    <w:rsid w:val="00FA6782"/>
    <w:rsid w:val="00FA6EE7"/>
    <w:rsid w:val="00FA6F49"/>
    <w:rsid w:val="00FA71BC"/>
    <w:rsid w:val="00FA795A"/>
    <w:rsid w:val="00FB042D"/>
    <w:rsid w:val="00FB0622"/>
    <w:rsid w:val="00FB0823"/>
    <w:rsid w:val="00FB0AB0"/>
    <w:rsid w:val="00FB0B56"/>
    <w:rsid w:val="00FB10D0"/>
    <w:rsid w:val="00FB1A6A"/>
    <w:rsid w:val="00FB23A6"/>
    <w:rsid w:val="00FB253F"/>
    <w:rsid w:val="00FB263C"/>
    <w:rsid w:val="00FB2BC8"/>
    <w:rsid w:val="00FB2E96"/>
    <w:rsid w:val="00FB3F5C"/>
    <w:rsid w:val="00FB41CD"/>
    <w:rsid w:val="00FB45E1"/>
    <w:rsid w:val="00FB4884"/>
    <w:rsid w:val="00FB496E"/>
    <w:rsid w:val="00FB497A"/>
    <w:rsid w:val="00FB49CB"/>
    <w:rsid w:val="00FB4CAC"/>
    <w:rsid w:val="00FB4DBA"/>
    <w:rsid w:val="00FB51F8"/>
    <w:rsid w:val="00FB53B2"/>
    <w:rsid w:val="00FB54EF"/>
    <w:rsid w:val="00FB5704"/>
    <w:rsid w:val="00FB5E6D"/>
    <w:rsid w:val="00FB62A2"/>
    <w:rsid w:val="00FB672F"/>
    <w:rsid w:val="00FB676F"/>
    <w:rsid w:val="00FB6DE4"/>
    <w:rsid w:val="00FB7036"/>
    <w:rsid w:val="00FB7F91"/>
    <w:rsid w:val="00FC0104"/>
    <w:rsid w:val="00FC081E"/>
    <w:rsid w:val="00FC088A"/>
    <w:rsid w:val="00FC122B"/>
    <w:rsid w:val="00FC1A23"/>
    <w:rsid w:val="00FC2291"/>
    <w:rsid w:val="00FC267E"/>
    <w:rsid w:val="00FC3648"/>
    <w:rsid w:val="00FC3CB2"/>
    <w:rsid w:val="00FC3CFD"/>
    <w:rsid w:val="00FC44CD"/>
    <w:rsid w:val="00FC457C"/>
    <w:rsid w:val="00FC4857"/>
    <w:rsid w:val="00FC561A"/>
    <w:rsid w:val="00FC56B0"/>
    <w:rsid w:val="00FC5776"/>
    <w:rsid w:val="00FC57EC"/>
    <w:rsid w:val="00FC62D3"/>
    <w:rsid w:val="00FC6560"/>
    <w:rsid w:val="00FC6619"/>
    <w:rsid w:val="00FC67E5"/>
    <w:rsid w:val="00FC6C35"/>
    <w:rsid w:val="00FC6E4E"/>
    <w:rsid w:val="00FC7080"/>
    <w:rsid w:val="00FC7DE0"/>
    <w:rsid w:val="00FC7F47"/>
    <w:rsid w:val="00FD0B23"/>
    <w:rsid w:val="00FD0E9F"/>
    <w:rsid w:val="00FD0F6F"/>
    <w:rsid w:val="00FD188E"/>
    <w:rsid w:val="00FD1A17"/>
    <w:rsid w:val="00FD1F8A"/>
    <w:rsid w:val="00FD20A6"/>
    <w:rsid w:val="00FD20FB"/>
    <w:rsid w:val="00FD2469"/>
    <w:rsid w:val="00FD2608"/>
    <w:rsid w:val="00FD359D"/>
    <w:rsid w:val="00FD35E9"/>
    <w:rsid w:val="00FD3818"/>
    <w:rsid w:val="00FD4564"/>
    <w:rsid w:val="00FD4873"/>
    <w:rsid w:val="00FD4EDF"/>
    <w:rsid w:val="00FD56B9"/>
    <w:rsid w:val="00FD59F7"/>
    <w:rsid w:val="00FD5B0E"/>
    <w:rsid w:val="00FD6007"/>
    <w:rsid w:val="00FD6974"/>
    <w:rsid w:val="00FD6A6D"/>
    <w:rsid w:val="00FD6B69"/>
    <w:rsid w:val="00FD6EB8"/>
    <w:rsid w:val="00FD6FE9"/>
    <w:rsid w:val="00FD7191"/>
    <w:rsid w:val="00FD7649"/>
    <w:rsid w:val="00FD7E78"/>
    <w:rsid w:val="00FE06BB"/>
    <w:rsid w:val="00FE09BA"/>
    <w:rsid w:val="00FE0AA9"/>
    <w:rsid w:val="00FE0C9E"/>
    <w:rsid w:val="00FE0D92"/>
    <w:rsid w:val="00FE1294"/>
    <w:rsid w:val="00FE1427"/>
    <w:rsid w:val="00FE153A"/>
    <w:rsid w:val="00FE15A4"/>
    <w:rsid w:val="00FE1662"/>
    <w:rsid w:val="00FE1B59"/>
    <w:rsid w:val="00FE1B8C"/>
    <w:rsid w:val="00FE1E30"/>
    <w:rsid w:val="00FE1E42"/>
    <w:rsid w:val="00FE2176"/>
    <w:rsid w:val="00FE27F2"/>
    <w:rsid w:val="00FE2BDB"/>
    <w:rsid w:val="00FE2F69"/>
    <w:rsid w:val="00FE306C"/>
    <w:rsid w:val="00FE3076"/>
    <w:rsid w:val="00FE33C0"/>
    <w:rsid w:val="00FE3488"/>
    <w:rsid w:val="00FE365C"/>
    <w:rsid w:val="00FE3BA4"/>
    <w:rsid w:val="00FE4346"/>
    <w:rsid w:val="00FE4661"/>
    <w:rsid w:val="00FE47D0"/>
    <w:rsid w:val="00FE4934"/>
    <w:rsid w:val="00FE4B6C"/>
    <w:rsid w:val="00FE4B8D"/>
    <w:rsid w:val="00FE5287"/>
    <w:rsid w:val="00FE5368"/>
    <w:rsid w:val="00FE53FE"/>
    <w:rsid w:val="00FE5571"/>
    <w:rsid w:val="00FE59BB"/>
    <w:rsid w:val="00FE5B20"/>
    <w:rsid w:val="00FE5D5B"/>
    <w:rsid w:val="00FE63A3"/>
    <w:rsid w:val="00FE63ED"/>
    <w:rsid w:val="00FE6B40"/>
    <w:rsid w:val="00FE6B89"/>
    <w:rsid w:val="00FE74EA"/>
    <w:rsid w:val="00FE75B5"/>
    <w:rsid w:val="00FE790B"/>
    <w:rsid w:val="00FE7B03"/>
    <w:rsid w:val="00FE7B07"/>
    <w:rsid w:val="00FF004F"/>
    <w:rsid w:val="00FF02B1"/>
    <w:rsid w:val="00FF0769"/>
    <w:rsid w:val="00FF08BC"/>
    <w:rsid w:val="00FF0CBB"/>
    <w:rsid w:val="00FF0D4E"/>
    <w:rsid w:val="00FF0DC6"/>
    <w:rsid w:val="00FF10D9"/>
    <w:rsid w:val="00FF1191"/>
    <w:rsid w:val="00FF15AD"/>
    <w:rsid w:val="00FF1638"/>
    <w:rsid w:val="00FF1A55"/>
    <w:rsid w:val="00FF1B07"/>
    <w:rsid w:val="00FF1BB6"/>
    <w:rsid w:val="00FF1E60"/>
    <w:rsid w:val="00FF209E"/>
    <w:rsid w:val="00FF2130"/>
    <w:rsid w:val="00FF2509"/>
    <w:rsid w:val="00FF26BF"/>
    <w:rsid w:val="00FF2AD9"/>
    <w:rsid w:val="00FF2E76"/>
    <w:rsid w:val="00FF30B8"/>
    <w:rsid w:val="00FF31C6"/>
    <w:rsid w:val="00FF3671"/>
    <w:rsid w:val="00FF3775"/>
    <w:rsid w:val="00FF37D8"/>
    <w:rsid w:val="00FF3E99"/>
    <w:rsid w:val="00FF426C"/>
    <w:rsid w:val="00FF455C"/>
    <w:rsid w:val="00FF495C"/>
    <w:rsid w:val="00FF4A4A"/>
    <w:rsid w:val="00FF4AD5"/>
    <w:rsid w:val="00FF4C44"/>
    <w:rsid w:val="00FF52E7"/>
    <w:rsid w:val="00FF56A3"/>
    <w:rsid w:val="00FF5A4D"/>
    <w:rsid w:val="00FF5B3F"/>
    <w:rsid w:val="00FF5C21"/>
    <w:rsid w:val="00FF67C8"/>
    <w:rsid w:val="00FF6B1F"/>
    <w:rsid w:val="00FF6D02"/>
    <w:rsid w:val="00FF710A"/>
    <w:rsid w:val="00FF71A0"/>
    <w:rsid w:val="00FF7295"/>
    <w:rsid w:val="00FF7312"/>
    <w:rsid w:val="00FF746E"/>
    <w:rsid w:val="00FF7ADE"/>
    <w:rsid w:val="011411D4"/>
    <w:rsid w:val="01156C56"/>
    <w:rsid w:val="015675DA"/>
    <w:rsid w:val="01672268"/>
    <w:rsid w:val="01AF35D1"/>
    <w:rsid w:val="02AB476E"/>
    <w:rsid w:val="02AE0667"/>
    <w:rsid w:val="02B11C83"/>
    <w:rsid w:val="02F538E8"/>
    <w:rsid w:val="030176FB"/>
    <w:rsid w:val="03034482"/>
    <w:rsid w:val="03312448"/>
    <w:rsid w:val="03A9562E"/>
    <w:rsid w:val="03CA4BC5"/>
    <w:rsid w:val="04556D28"/>
    <w:rsid w:val="05161364"/>
    <w:rsid w:val="051E11F4"/>
    <w:rsid w:val="05D7579B"/>
    <w:rsid w:val="061D4115"/>
    <w:rsid w:val="06205436"/>
    <w:rsid w:val="06361B7E"/>
    <w:rsid w:val="063F594E"/>
    <w:rsid w:val="06582C75"/>
    <w:rsid w:val="06654509"/>
    <w:rsid w:val="07020F0F"/>
    <w:rsid w:val="079E0D8E"/>
    <w:rsid w:val="07C025C7"/>
    <w:rsid w:val="07C81BD2"/>
    <w:rsid w:val="080C13C2"/>
    <w:rsid w:val="084C21AB"/>
    <w:rsid w:val="08510A75"/>
    <w:rsid w:val="08B50556"/>
    <w:rsid w:val="09ED18D7"/>
    <w:rsid w:val="0A84208C"/>
    <w:rsid w:val="0AB944A3"/>
    <w:rsid w:val="0B6D08D3"/>
    <w:rsid w:val="0BB337C2"/>
    <w:rsid w:val="0BF75AF7"/>
    <w:rsid w:val="0CE96032"/>
    <w:rsid w:val="0D2A0A24"/>
    <w:rsid w:val="10863CAA"/>
    <w:rsid w:val="11185797"/>
    <w:rsid w:val="12CF28EA"/>
    <w:rsid w:val="13EF07C3"/>
    <w:rsid w:val="141B4B0A"/>
    <w:rsid w:val="141D32E8"/>
    <w:rsid w:val="147A5A4D"/>
    <w:rsid w:val="14A20267"/>
    <w:rsid w:val="14AF456E"/>
    <w:rsid w:val="15403B59"/>
    <w:rsid w:val="1542236E"/>
    <w:rsid w:val="158E7E03"/>
    <w:rsid w:val="16AB3EBF"/>
    <w:rsid w:val="17407C36"/>
    <w:rsid w:val="175A6EEB"/>
    <w:rsid w:val="17A26916"/>
    <w:rsid w:val="17E85AC5"/>
    <w:rsid w:val="192D67EC"/>
    <w:rsid w:val="196056B2"/>
    <w:rsid w:val="1A8743DB"/>
    <w:rsid w:val="1AA44A44"/>
    <w:rsid w:val="1B94434C"/>
    <w:rsid w:val="1BA47E6A"/>
    <w:rsid w:val="1BC872C4"/>
    <w:rsid w:val="1C9E2280"/>
    <w:rsid w:val="1CC1746E"/>
    <w:rsid w:val="1CD062D3"/>
    <w:rsid w:val="1D145AF8"/>
    <w:rsid w:val="1D970CFC"/>
    <w:rsid w:val="1E2D2246"/>
    <w:rsid w:val="1E320A25"/>
    <w:rsid w:val="1EFB66B0"/>
    <w:rsid w:val="1F8B5C14"/>
    <w:rsid w:val="1FF22678"/>
    <w:rsid w:val="20051698"/>
    <w:rsid w:val="207E5827"/>
    <w:rsid w:val="209B760D"/>
    <w:rsid w:val="21C612F9"/>
    <w:rsid w:val="21C940B9"/>
    <w:rsid w:val="21E87D78"/>
    <w:rsid w:val="21F46A3A"/>
    <w:rsid w:val="225F2771"/>
    <w:rsid w:val="22CC2DA5"/>
    <w:rsid w:val="230B288A"/>
    <w:rsid w:val="233F30E4"/>
    <w:rsid w:val="23921869"/>
    <w:rsid w:val="23D017BE"/>
    <w:rsid w:val="23D1113E"/>
    <w:rsid w:val="246031BB"/>
    <w:rsid w:val="24A216A6"/>
    <w:rsid w:val="24A600AD"/>
    <w:rsid w:val="25496785"/>
    <w:rsid w:val="25CC7E8F"/>
    <w:rsid w:val="25D971A5"/>
    <w:rsid w:val="26423351"/>
    <w:rsid w:val="26747E2C"/>
    <w:rsid w:val="26A52992"/>
    <w:rsid w:val="26EA2865"/>
    <w:rsid w:val="279C4C81"/>
    <w:rsid w:val="284C4DD4"/>
    <w:rsid w:val="296341F3"/>
    <w:rsid w:val="2A462824"/>
    <w:rsid w:val="2A81244C"/>
    <w:rsid w:val="2A930168"/>
    <w:rsid w:val="2B547422"/>
    <w:rsid w:val="2B573C92"/>
    <w:rsid w:val="2B9D609C"/>
    <w:rsid w:val="2BD829FE"/>
    <w:rsid w:val="2C6C02D1"/>
    <w:rsid w:val="2CB67C6F"/>
    <w:rsid w:val="2D8C4C11"/>
    <w:rsid w:val="2DBE1221"/>
    <w:rsid w:val="2E041101"/>
    <w:rsid w:val="2E251B04"/>
    <w:rsid w:val="2E922BF6"/>
    <w:rsid w:val="2E9F60A9"/>
    <w:rsid w:val="30605A9B"/>
    <w:rsid w:val="316A19EE"/>
    <w:rsid w:val="31845746"/>
    <w:rsid w:val="318C08EF"/>
    <w:rsid w:val="319331E3"/>
    <w:rsid w:val="31A30D4B"/>
    <w:rsid w:val="31FF619A"/>
    <w:rsid w:val="323C0179"/>
    <w:rsid w:val="3251489B"/>
    <w:rsid w:val="32526B60"/>
    <w:rsid w:val="325B2390"/>
    <w:rsid w:val="33C36CFB"/>
    <w:rsid w:val="3435494F"/>
    <w:rsid w:val="344949D6"/>
    <w:rsid w:val="34BB68CF"/>
    <w:rsid w:val="36020CC6"/>
    <w:rsid w:val="36D34080"/>
    <w:rsid w:val="37371951"/>
    <w:rsid w:val="37FB2BE8"/>
    <w:rsid w:val="38826345"/>
    <w:rsid w:val="38D160C4"/>
    <w:rsid w:val="38E9376A"/>
    <w:rsid w:val="38F143FA"/>
    <w:rsid w:val="3A4B5771"/>
    <w:rsid w:val="3A765E31"/>
    <w:rsid w:val="3B3C3FBF"/>
    <w:rsid w:val="3B822B94"/>
    <w:rsid w:val="3BF16F66"/>
    <w:rsid w:val="3BF3026A"/>
    <w:rsid w:val="3CBB4430"/>
    <w:rsid w:val="3CC1429B"/>
    <w:rsid w:val="3D674549"/>
    <w:rsid w:val="3D8B4223"/>
    <w:rsid w:val="3DA962B7"/>
    <w:rsid w:val="3E1271F0"/>
    <w:rsid w:val="3E2964EB"/>
    <w:rsid w:val="3E6A003B"/>
    <w:rsid w:val="3EB22FFD"/>
    <w:rsid w:val="3F9470DC"/>
    <w:rsid w:val="3FC15B5E"/>
    <w:rsid w:val="3FCC262F"/>
    <w:rsid w:val="40C00DC8"/>
    <w:rsid w:val="40F33BDC"/>
    <w:rsid w:val="41A0173B"/>
    <w:rsid w:val="426623FD"/>
    <w:rsid w:val="42675C80"/>
    <w:rsid w:val="42FA73ED"/>
    <w:rsid w:val="431C0C27"/>
    <w:rsid w:val="435370BF"/>
    <w:rsid w:val="436D0AC3"/>
    <w:rsid w:val="449F53C5"/>
    <w:rsid w:val="45005AFF"/>
    <w:rsid w:val="454271CF"/>
    <w:rsid w:val="457C4F0E"/>
    <w:rsid w:val="45A40651"/>
    <w:rsid w:val="465F1A79"/>
    <w:rsid w:val="46737CA9"/>
    <w:rsid w:val="46CE3826"/>
    <w:rsid w:val="47E0207F"/>
    <w:rsid w:val="47E95008"/>
    <w:rsid w:val="48CC307C"/>
    <w:rsid w:val="49384D99"/>
    <w:rsid w:val="4A581909"/>
    <w:rsid w:val="4A59738B"/>
    <w:rsid w:val="4B0557AD"/>
    <w:rsid w:val="4B9506C1"/>
    <w:rsid w:val="4C226976"/>
    <w:rsid w:val="4CBD1458"/>
    <w:rsid w:val="4CE76CFB"/>
    <w:rsid w:val="4CF958CC"/>
    <w:rsid w:val="4DEE782F"/>
    <w:rsid w:val="4DFC16FF"/>
    <w:rsid w:val="4FAE4FC4"/>
    <w:rsid w:val="4FB94ED8"/>
    <w:rsid w:val="4FCA57E0"/>
    <w:rsid w:val="50DC3D36"/>
    <w:rsid w:val="50E81293"/>
    <w:rsid w:val="51635294"/>
    <w:rsid w:val="52161B6E"/>
    <w:rsid w:val="5283316D"/>
    <w:rsid w:val="52952D55"/>
    <w:rsid w:val="5298788F"/>
    <w:rsid w:val="52C30090"/>
    <w:rsid w:val="52E3448B"/>
    <w:rsid w:val="54005178"/>
    <w:rsid w:val="540A3EEE"/>
    <w:rsid w:val="56163D24"/>
    <w:rsid w:val="56594A37"/>
    <w:rsid w:val="5716066D"/>
    <w:rsid w:val="581B7F1B"/>
    <w:rsid w:val="58422359"/>
    <w:rsid w:val="588E3F51"/>
    <w:rsid w:val="5905591A"/>
    <w:rsid w:val="591745DC"/>
    <w:rsid w:val="5A1E3E69"/>
    <w:rsid w:val="5A885A96"/>
    <w:rsid w:val="5ADB421C"/>
    <w:rsid w:val="5C11209A"/>
    <w:rsid w:val="5CF16F40"/>
    <w:rsid w:val="5CF94596"/>
    <w:rsid w:val="5D1C12D3"/>
    <w:rsid w:val="5D743EE0"/>
    <w:rsid w:val="5E8F5931"/>
    <w:rsid w:val="5ECC1F13"/>
    <w:rsid w:val="5EE7053E"/>
    <w:rsid w:val="5F34063D"/>
    <w:rsid w:val="5F8B5515"/>
    <w:rsid w:val="600A4E1D"/>
    <w:rsid w:val="60A11E99"/>
    <w:rsid w:val="616D02E8"/>
    <w:rsid w:val="62A33D9C"/>
    <w:rsid w:val="62D3782F"/>
    <w:rsid w:val="63F563DA"/>
    <w:rsid w:val="642906FA"/>
    <w:rsid w:val="642A2DA9"/>
    <w:rsid w:val="642B3664"/>
    <w:rsid w:val="647B4B22"/>
    <w:rsid w:val="64C47FDF"/>
    <w:rsid w:val="64DE698B"/>
    <w:rsid w:val="669A46E2"/>
    <w:rsid w:val="66BD0E71"/>
    <w:rsid w:val="66D16DBA"/>
    <w:rsid w:val="66E862B4"/>
    <w:rsid w:val="671D1C6A"/>
    <w:rsid w:val="677862CF"/>
    <w:rsid w:val="699700AE"/>
    <w:rsid w:val="69BF6825"/>
    <w:rsid w:val="69E04EDE"/>
    <w:rsid w:val="6A7243DC"/>
    <w:rsid w:val="6B3E78FE"/>
    <w:rsid w:val="6B8E2B66"/>
    <w:rsid w:val="6BA7649C"/>
    <w:rsid w:val="6BEF1CA0"/>
    <w:rsid w:val="6C375918"/>
    <w:rsid w:val="6D465AD5"/>
    <w:rsid w:val="6D605E1E"/>
    <w:rsid w:val="6E150496"/>
    <w:rsid w:val="6E4D5003"/>
    <w:rsid w:val="6E501734"/>
    <w:rsid w:val="6E526F0C"/>
    <w:rsid w:val="6E7F6AD7"/>
    <w:rsid w:val="72997B90"/>
    <w:rsid w:val="72C309D4"/>
    <w:rsid w:val="731068D5"/>
    <w:rsid w:val="747E452E"/>
    <w:rsid w:val="7544443B"/>
    <w:rsid w:val="756E6113"/>
    <w:rsid w:val="773A5E64"/>
    <w:rsid w:val="77632FEC"/>
    <w:rsid w:val="78E56C96"/>
    <w:rsid w:val="79065C1B"/>
    <w:rsid w:val="79504D96"/>
    <w:rsid w:val="79AB5ED5"/>
    <w:rsid w:val="79B6253C"/>
    <w:rsid w:val="7A5B2CCA"/>
    <w:rsid w:val="7B6569FF"/>
    <w:rsid w:val="7B6B7C1E"/>
    <w:rsid w:val="7BA07ADE"/>
    <w:rsid w:val="7BB1107D"/>
    <w:rsid w:val="7C891802"/>
    <w:rsid w:val="7D585F36"/>
    <w:rsid w:val="7E264382"/>
    <w:rsid w:val="7E52614D"/>
    <w:rsid w:val="7E8369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semiHidden="0"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left="400" w:leftChars="400" w:right="200" w:rightChars="200" w:firstLine="200" w:firstLineChars="200"/>
      <w:jc w:val="both"/>
    </w:pPr>
    <w:rPr>
      <w:rFonts w:ascii="Times New Roman" w:hAnsi="Times New Roman" w:eastAsia="宋体" w:cs="Times New Roman"/>
      <w:kern w:val="2"/>
      <w:sz w:val="24"/>
      <w:lang w:val="en-US" w:eastAsia="zh-CN" w:bidi="ar-SA"/>
    </w:rPr>
  </w:style>
  <w:style w:type="paragraph" w:styleId="2">
    <w:name w:val="heading 1"/>
    <w:basedOn w:val="1"/>
    <w:next w:val="1"/>
    <w:link w:val="8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7"/>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82"/>
    <w:qFormat/>
    <w:uiPriority w:val="0"/>
    <w:pPr>
      <w:keepNext/>
      <w:keepLines/>
      <w:numPr>
        <w:ilvl w:val="0"/>
        <w:numId w:val="1"/>
      </w:numPr>
      <w:spacing w:before="260" w:after="260" w:line="416" w:lineRule="auto"/>
      <w:ind w:left="0" w:leftChars="0" w:firstLine="0" w:firstLineChars="0"/>
      <w:outlineLvl w:val="2"/>
    </w:pPr>
    <w:rPr>
      <w:b/>
      <w:bCs/>
      <w:sz w:val="32"/>
      <w:szCs w:val="32"/>
    </w:rPr>
  </w:style>
  <w:style w:type="paragraph" w:styleId="5">
    <w:name w:val="heading 4"/>
    <w:basedOn w:val="1"/>
    <w:next w:val="6"/>
    <w:link w:val="50"/>
    <w:qFormat/>
    <w:uiPriority w:val="0"/>
    <w:pPr>
      <w:keepNext/>
      <w:keepLines/>
      <w:spacing w:before="280" w:after="290"/>
      <w:ind w:left="100" w:leftChars="100" w:right="100" w:rightChars="100"/>
      <w:outlineLvl w:val="3"/>
    </w:pPr>
    <w:rPr>
      <w:rFonts w:ascii="Arial" w:hAnsi="Arial" w:eastAsia="黑体"/>
      <w:b/>
      <w:bCs/>
      <w:sz w:val="28"/>
      <w:szCs w:val="28"/>
    </w:rPr>
  </w:style>
  <w:style w:type="paragraph" w:styleId="8">
    <w:name w:val="heading 5"/>
    <w:basedOn w:val="1"/>
    <w:next w:val="6"/>
    <w:link w:val="165"/>
    <w:qFormat/>
    <w:uiPriority w:val="0"/>
    <w:pPr>
      <w:keepNext/>
      <w:keepLines/>
      <w:spacing w:before="280" w:after="290" w:line="376" w:lineRule="auto"/>
      <w:ind w:left="0" w:leftChars="0" w:right="0" w:rightChars="0" w:firstLine="0" w:firstLineChars="0"/>
      <w:outlineLvl w:val="4"/>
    </w:pPr>
    <w:rPr>
      <w:b/>
      <w:bCs/>
      <w:sz w:val="28"/>
      <w:szCs w:val="28"/>
    </w:rPr>
  </w:style>
  <w:style w:type="paragraph" w:styleId="9">
    <w:name w:val="heading 6"/>
    <w:basedOn w:val="1"/>
    <w:next w:val="1"/>
    <w:link w:val="68"/>
    <w:qFormat/>
    <w:uiPriority w:val="0"/>
    <w:pPr>
      <w:keepNext/>
      <w:keepLines/>
      <w:spacing w:before="240" w:after="64" w:line="300" w:lineRule="auto"/>
      <w:ind w:left="0" w:leftChars="0" w:right="0" w:rightChars="0" w:firstLine="0" w:firstLineChars="0"/>
      <w:outlineLvl w:val="5"/>
    </w:pPr>
    <w:rPr>
      <w:rFonts w:ascii="Arial" w:hAnsi="Arial" w:eastAsia="黑体"/>
      <w:bCs/>
      <w:szCs w:val="24"/>
    </w:rPr>
  </w:style>
  <w:style w:type="paragraph" w:styleId="10">
    <w:name w:val="heading 7"/>
    <w:basedOn w:val="1"/>
    <w:next w:val="1"/>
    <w:link w:val="62"/>
    <w:qFormat/>
    <w:uiPriority w:val="0"/>
    <w:pPr>
      <w:keepNext/>
      <w:keepLines/>
      <w:spacing w:before="240" w:after="64" w:line="320" w:lineRule="auto"/>
      <w:ind w:left="0" w:leftChars="0" w:right="0" w:rightChars="0" w:firstLine="0" w:firstLineChars="0"/>
      <w:outlineLvl w:val="6"/>
    </w:pPr>
    <w:rPr>
      <w:b/>
      <w:bCs/>
      <w:szCs w:val="24"/>
    </w:rPr>
  </w:style>
  <w:style w:type="paragraph" w:styleId="11">
    <w:name w:val="heading 8"/>
    <w:basedOn w:val="1"/>
    <w:next w:val="1"/>
    <w:link w:val="81"/>
    <w:qFormat/>
    <w:uiPriority w:val="0"/>
    <w:pPr>
      <w:keepNext/>
      <w:keepLines/>
      <w:spacing w:before="240" w:after="64" w:line="320" w:lineRule="auto"/>
      <w:ind w:left="0" w:leftChars="0" w:right="0" w:rightChars="0" w:firstLine="0" w:firstLineChars="0"/>
      <w:outlineLvl w:val="7"/>
    </w:pPr>
    <w:rPr>
      <w:rFonts w:ascii="Arial" w:hAnsi="Arial" w:eastAsia="黑体"/>
      <w:szCs w:val="24"/>
    </w:rPr>
  </w:style>
  <w:style w:type="paragraph" w:styleId="12">
    <w:name w:val="heading 9"/>
    <w:basedOn w:val="1"/>
    <w:next w:val="1"/>
    <w:link w:val="65"/>
    <w:qFormat/>
    <w:uiPriority w:val="0"/>
    <w:pPr>
      <w:keepNext/>
      <w:keepLines/>
      <w:spacing w:before="240" w:after="64" w:line="320" w:lineRule="auto"/>
      <w:ind w:left="0" w:leftChars="0" w:right="0" w:rightChars="0" w:firstLine="0" w:firstLineChars="0"/>
      <w:outlineLvl w:val="8"/>
    </w:pPr>
    <w:rPr>
      <w:rFonts w:ascii="Arial" w:hAnsi="Arial" w:eastAsia="黑体"/>
      <w:sz w:val="21"/>
      <w:szCs w:val="21"/>
    </w:rPr>
  </w:style>
  <w:style w:type="character" w:default="1" w:styleId="42">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customStyle="1" w:styleId="6">
    <w:name w:val="正文缩进1"/>
    <w:basedOn w:val="7"/>
    <w:qFormat/>
    <w:uiPriority w:val="0"/>
    <w:pPr>
      <w:spacing w:afterLines="50" w:line="288" w:lineRule="auto"/>
      <w:ind w:left="0" w:leftChars="0" w:right="0" w:rightChars="0" w:firstLine="0" w:firstLineChars="0"/>
    </w:pPr>
    <w:rPr>
      <w:rFonts w:cs="宋体"/>
      <w:sz w:val="21"/>
    </w:rPr>
  </w:style>
  <w:style w:type="paragraph" w:styleId="7">
    <w:name w:val="Normal Indent"/>
    <w:basedOn w:val="1"/>
    <w:link w:val="145"/>
    <w:qFormat/>
    <w:uiPriority w:val="99"/>
    <w:pPr>
      <w:ind w:firstLine="420"/>
    </w:pPr>
  </w:style>
  <w:style w:type="paragraph" w:styleId="13">
    <w:name w:val="toc 7"/>
    <w:basedOn w:val="1"/>
    <w:next w:val="1"/>
    <w:unhideWhenUsed/>
    <w:qFormat/>
    <w:uiPriority w:val="39"/>
    <w:pPr>
      <w:ind w:left="1440"/>
      <w:jc w:val="left"/>
    </w:pPr>
    <w:rPr>
      <w:sz w:val="18"/>
      <w:szCs w:val="18"/>
    </w:rPr>
  </w:style>
  <w:style w:type="paragraph" w:styleId="14">
    <w:name w:val="caption"/>
    <w:basedOn w:val="1"/>
    <w:next w:val="1"/>
    <w:link w:val="78"/>
    <w:qFormat/>
    <w:uiPriority w:val="0"/>
    <w:pPr>
      <w:spacing w:before="100" w:after="100" w:line="240" w:lineRule="auto"/>
      <w:ind w:left="0" w:leftChars="0" w:right="0" w:rightChars="0" w:firstLine="0" w:firstLineChars="0"/>
      <w:jc w:val="center"/>
    </w:pPr>
    <w:rPr>
      <w:rFonts w:ascii="Arial" w:hAnsi="Arial" w:eastAsia="黑体"/>
      <w:sz w:val="20"/>
    </w:rPr>
  </w:style>
  <w:style w:type="paragraph" w:styleId="15">
    <w:name w:val="Document Map"/>
    <w:basedOn w:val="1"/>
    <w:link w:val="67"/>
    <w:unhideWhenUsed/>
    <w:qFormat/>
    <w:uiPriority w:val="99"/>
    <w:rPr>
      <w:rFonts w:ascii="宋体"/>
      <w:sz w:val="18"/>
      <w:szCs w:val="18"/>
    </w:rPr>
  </w:style>
  <w:style w:type="paragraph" w:styleId="16">
    <w:name w:val="annotation text"/>
    <w:basedOn w:val="1"/>
    <w:link w:val="61"/>
    <w:unhideWhenUsed/>
    <w:qFormat/>
    <w:uiPriority w:val="99"/>
    <w:pPr>
      <w:ind w:left="960" w:right="480" w:firstLine="420"/>
      <w:jc w:val="left"/>
    </w:pPr>
  </w:style>
  <w:style w:type="paragraph" w:styleId="17">
    <w:name w:val="Body Text"/>
    <w:basedOn w:val="1"/>
    <w:link w:val="51"/>
    <w:qFormat/>
    <w:uiPriority w:val="0"/>
    <w:pPr>
      <w:spacing w:after="120"/>
    </w:pPr>
    <w:rPr>
      <w:sz w:val="21"/>
      <w:szCs w:val="24"/>
    </w:rPr>
  </w:style>
  <w:style w:type="paragraph" w:styleId="18">
    <w:name w:val="Body Text Indent"/>
    <w:basedOn w:val="1"/>
    <w:link w:val="85"/>
    <w:qFormat/>
    <w:uiPriority w:val="0"/>
    <w:pPr>
      <w:spacing w:line="324" w:lineRule="auto"/>
      <w:ind w:firstLine="480"/>
    </w:pPr>
    <w:rPr>
      <w:szCs w:val="24"/>
    </w:rPr>
  </w:style>
  <w:style w:type="paragraph" w:styleId="19">
    <w:name w:val="toc 5"/>
    <w:basedOn w:val="1"/>
    <w:next w:val="1"/>
    <w:unhideWhenUsed/>
    <w:qFormat/>
    <w:uiPriority w:val="39"/>
    <w:pPr>
      <w:ind w:left="960"/>
      <w:jc w:val="left"/>
    </w:pPr>
    <w:rPr>
      <w:sz w:val="18"/>
      <w:szCs w:val="18"/>
    </w:rPr>
  </w:style>
  <w:style w:type="paragraph" w:styleId="20">
    <w:name w:val="toc 3"/>
    <w:basedOn w:val="1"/>
    <w:next w:val="1"/>
    <w:unhideWhenUsed/>
    <w:qFormat/>
    <w:uiPriority w:val="39"/>
    <w:pPr>
      <w:ind w:left="480"/>
      <w:jc w:val="left"/>
    </w:pPr>
    <w:rPr>
      <w:i/>
      <w:iCs/>
      <w:sz w:val="20"/>
    </w:rPr>
  </w:style>
  <w:style w:type="paragraph" w:styleId="21">
    <w:name w:val="toc 8"/>
    <w:basedOn w:val="1"/>
    <w:next w:val="1"/>
    <w:unhideWhenUsed/>
    <w:qFormat/>
    <w:uiPriority w:val="39"/>
    <w:pPr>
      <w:ind w:left="1680"/>
      <w:jc w:val="left"/>
    </w:pPr>
    <w:rPr>
      <w:sz w:val="18"/>
      <w:szCs w:val="18"/>
    </w:rPr>
  </w:style>
  <w:style w:type="paragraph" w:styleId="22">
    <w:name w:val="Date"/>
    <w:basedOn w:val="1"/>
    <w:next w:val="1"/>
    <w:link w:val="70"/>
    <w:qFormat/>
    <w:uiPriority w:val="0"/>
    <w:pPr>
      <w:ind w:left="100" w:leftChars="2500"/>
    </w:pPr>
    <w:rPr>
      <w:sz w:val="21"/>
    </w:rPr>
  </w:style>
  <w:style w:type="paragraph" w:styleId="23">
    <w:name w:val="Body Text Indent 2"/>
    <w:basedOn w:val="1"/>
    <w:link w:val="84"/>
    <w:unhideWhenUsed/>
    <w:qFormat/>
    <w:uiPriority w:val="99"/>
    <w:pPr>
      <w:spacing w:after="120" w:line="480" w:lineRule="auto"/>
      <w:ind w:left="420" w:leftChars="200"/>
    </w:pPr>
  </w:style>
  <w:style w:type="paragraph" w:styleId="24">
    <w:name w:val="Balloon Text"/>
    <w:basedOn w:val="1"/>
    <w:link w:val="69"/>
    <w:unhideWhenUsed/>
    <w:qFormat/>
    <w:uiPriority w:val="99"/>
    <w:rPr>
      <w:kern w:val="0"/>
      <w:sz w:val="18"/>
      <w:szCs w:val="18"/>
    </w:rPr>
  </w:style>
  <w:style w:type="paragraph" w:styleId="25">
    <w:name w:val="footer"/>
    <w:basedOn w:val="1"/>
    <w:link w:val="75"/>
    <w:qFormat/>
    <w:uiPriority w:val="99"/>
    <w:pPr>
      <w:tabs>
        <w:tab w:val="center" w:pos="4153"/>
        <w:tab w:val="right" w:pos="8306"/>
      </w:tabs>
      <w:snapToGrid w:val="0"/>
      <w:jc w:val="left"/>
    </w:pPr>
    <w:rPr>
      <w:kern w:val="0"/>
      <w:sz w:val="18"/>
      <w:szCs w:val="18"/>
    </w:rPr>
  </w:style>
  <w:style w:type="paragraph" w:styleId="26">
    <w:name w:val="header"/>
    <w:basedOn w:val="1"/>
    <w:link w:val="60"/>
    <w:unhideWhenUsed/>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spacing w:before="120" w:after="120"/>
      <w:ind w:left="0" w:leftChars="100" w:right="100" w:rightChars="100"/>
      <w:jc w:val="left"/>
    </w:pPr>
    <w:rPr>
      <w:b/>
      <w:bCs/>
      <w:caps/>
    </w:rPr>
  </w:style>
  <w:style w:type="paragraph" w:styleId="28">
    <w:name w:val="toc 4"/>
    <w:basedOn w:val="1"/>
    <w:next w:val="1"/>
    <w:unhideWhenUsed/>
    <w:qFormat/>
    <w:uiPriority w:val="39"/>
    <w:pPr>
      <w:ind w:left="720"/>
      <w:jc w:val="left"/>
    </w:pPr>
    <w:rPr>
      <w:sz w:val="18"/>
      <w:szCs w:val="18"/>
    </w:rPr>
  </w:style>
  <w:style w:type="paragraph" w:styleId="29">
    <w:name w:val="Subtitle"/>
    <w:basedOn w:val="1"/>
    <w:next w:val="1"/>
    <w:link w:val="154"/>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30">
    <w:name w:val="footnote text"/>
    <w:basedOn w:val="1"/>
    <w:link w:val="178"/>
    <w:unhideWhenUsed/>
    <w:qFormat/>
    <w:uiPriority w:val="99"/>
    <w:pPr>
      <w:widowControl/>
      <w:snapToGrid w:val="0"/>
      <w:jc w:val="left"/>
    </w:pPr>
    <w:rPr>
      <w:kern w:val="0"/>
      <w:sz w:val="18"/>
    </w:rPr>
  </w:style>
  <w:style w:type="paragraph" w:styleId="31">
    <w:name w:val="toc 6"/>
    <w:basedOn w:val="1"/>
    <w:next w:val="1"/>
    <w:unhideWhenUsed/>
    <w:qFormat/>
    <w:uiPriority w:val="39"/>
    <w:pPr>
      <w:ind w:left="1200"/>
      <w:jc w:val="left"/>
    </w:pPr>
    <w:rPr>
      <w:sz w:val="18"/>
      <w:szCs w:val="18"/>
    </w:rPr>
  </w:style>
  <w:style w:type="paragraph" w:styleId="32">
    <w:name w:val="Body Text Indent 3"/>
    <w:basedOn w:val="1"/>
    <w:link w:val="52"/>
    <w:qFormat/>
    <w:uiPriority w:val="0"/>
    <w:pPr>
      <w:ind w:firstLine="601"/>
    </w:pPr>
    <w:rPr>
      <w:rFonts w:ascii="宋体"/>
      <w:sz w:val="28"/>
    </w:rPr>
  </w:style>
  <w:style w:type="paragraph" w:styleId="33">
    <w:name w:val="toc 2"/>
    <w:basedOn w:val="1"/>
    <w:next w:val="1"/>
    <w:unhideWhenUsed/>
    <w:qFormat/>
    <w:uiPriority w:val="39"/>
    <w:pPr>
      <w:ind w:left="0" w:leftChars="100" w:right="100" w:rightChars="100"/>
      <w:jc w:val="left"/>
    </w:pPr>
    <w:rPr>
      <w:smallCaps/>
      <w:sz w:val="21"/>
    </w:rPr>
  </w:style>
  <w:style w:type="paragraph" w:styleId="34">
    <w:name w:val="toc 9"/>
    <w:basedOn w:val="1"/>
    <w:next w:val="1"/>
    <w:unhideWhenUsed/>
    <w:qFormat/>
    <w:uiPriority w:val="39"/>
    <w:pPr>
      <w:ind w:left="1920"/>
      <w:jc w:val="left"/>
    </w:pPr>
    <w:rPr>
      <w:sz w:val="18"/>
      <w:szCs w:val="18"/>
    </w:rPr>
  </w:style>
  <w:style w:type="paragraph" w:styleId="35">
    <w:name w:val="Normal (Web)"/>
    <w:basedOn w:val="1"/>
    <w:qFormat/>
    <w:uiPriority w:val="99"/>
    <w:pPr>
      <w:widowControl/>
      <w:spacing w:before="100" w:beforeAutospacing="1" w:after="100" w:afterAutospacing="1" w:line="240" w:lineRule="auto"/>
      <w:ind w:left="0" w:leftChars="0" w:right="0" w:rightChars="0" w:firstLine="0" w:firstLineChars="0"/>
      <w:jc w:val="left"/>
    </w:pPr>
    <w:rPr>
      <w:rFonts w:ascii="宋体" w:hAnsi="宋体" w:cs="宋体"/>
      <w:kern w:val="0"/>
      <w:szCs w:val="24"/>
    </w:rPr>
  </w:style>
  <w:style w:type="paragraph" w:styleId="36">
    <w:name w:val="Title"/>
    <w:basedOn w:val="1"/>
    <w:next w:val="1"/>
    <w:link w:val="153"/>
    <w:qFormat/>
    <w:uiPriority w:val="10"/>
    <w:pPr>
      <w:spacing w:before="240" w:after="60"/>
      <w:jc w:val="center"/>
      <w:outlineLvl w:val="0"/>
    </w:pPr>
    <w:rPr>
      <w:rFonts w:asciiTheme="majorHAnsi" w:hAnsiTheme="majorHAnsi" w:cstheme="majorBidi"/>
      <w:b/>
      <w:bCs/>
      <w:sz w:val="32"/>
      <w:szCs w:val="32"/>
    </w:rPr>
  </w:style>
  <w:style w:type="paragraph" w:styleId="37">
    <w:name w:val="annotation subject"/>
    <w:basedOn w:val="16"/>
    <w:next w:val="16"/>
    <w:link w:val="66"/>
    <w:unhideWhenUsed/>
    <w:qFormat/>
    <w:uiPriority w:val="99"/>
    <w:rPr>
      <w:b/>
      <w:bCs/>
    </w:rPr>
  </w:style>
  <w:style w:type="paragraph" w:styleId="38">
    <w:name w:val="Body Text First Indent"/>
    <w:basedOn w:val="17"/>
    <w:link w:val="71"/>
    <w:unhideWhenUsed/>
    <w:qFormat/>
    <w:uiPriority w:val="99"/>
    <w:pPr>
      <w:ind w:firstLine="420" w:firstLineChars="100"/>
    </w:pPr>
    <w:rPr>
      <w:szCs w:val="20"/>
    </w:rPr>
  </w:style>
  <w:style w:type="table" w:styleId="40">
    <w:name w:val="Table Grid"/>
    <w:basedOn w:val="3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1">
    <w:name w:val="Table Elegant"/>
    <w:basedOn w:val="3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3">
    <w:name w:val="Strong"/>
    <w:qFormat/>
    <w:uiPriority w:val="22"/>
    <w:rPr>
      <w:b/>
      <w:bCs/>
    </w:rPr>
  </w:style>
  <w:style w:type="character" w:styleId="44">
    <w:name w:val="page number"/>
    <w:basedOn w:val="42"/>
    <w:qFormat/>
    <w:uiPriority w:val="0"/>
  </w:style>
  <w:style w:type="character" w:styleId="45">
    <w:name w:val="FollowedHyperlink"/>
    <w:unhideWhenUsed/>
    <w:qFormat/>
    <w:uiPriority w:val="99"/>
    <w:rPr>
      <w:color w:val="954F72"/>
      <w:u w:val="single"/>
    </w:rPr>
  </w:style>
  <w:style w:type="character" w:styleId="46">
    <w:name w:val="Emphasis"/>
    <w:qFormat/>
    <w:uiPriority w:val="20"/>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unhideWhenUsed/>
    <w:qFormat/>
    <w:uiPriority w:val="99"/>
    <w:rPr>
      <w:vertAlign w:val="superscript"/>
    </w:rPr>
  </w:style>
  <w:style w:type="character" w:customStyle="1" w:styleId="50">
    <w:name w:val="标题 4 Char"/>
    <w:link w:val="5"/>
    <w:qFormat/>
    <w:uiPriority w:val="0"/>
    <w:rPr>
      <w:rFonts w:ascii="Arial" w:hAnsi="Arial" w:eastAsia="黑体"/>
      <w:b/>
      <w:bCs/>
      <w:kern w:val="2"/>
      <w:sz w:val="28"/>
      <w:szCs w:val="28"/>
    </w:rPr>
  </w:style>
  <w:style w:type="character" w:customStyle="1" w:styleId="51">
    <w:name w:val="正文文本 Char"/>
    <w:link w:val="17"/>
    <w:qFormat/>
    <w:uiPriority w:val="0"/>
    <w:rPr>
      <w:rFonts w:ascii="Times New Roman" w:hAnsi="Times New Roman"/>
      <w:kern w:val="2"/>
      <w:sz w:val="21"/>
      <w:szCs w:val="24"/>
    </w:rPr>
  </w:style>
  <w:style w:type="character" w:customStyle="1" w:styleId="52">
    <w:name w:val="正文文本缩进 3 Char"/>
    <w:link w:val="32"/>
    <w:qFormat/>
    <w:uiPriority w:val="0"/>
    <w:rPr>
      <w:rFonts w:ascii="宋体" w:hAnsi="Times New Roman"/>
      <w:kern w:val="2"/>
      <w:sz w:val="28"/>
    </w:rPr>
  </w:style>
  <w:style w:type="character" w:customStyle="1" w:styleId="53">
    <w:name w:val="样式 正文1 + 首行缩进:  2 字符 Char"/>
    <w:link w:val="54"/>
    <w:qFormat/>
    <w:uiPriority w:val="0"/>
    <w:rPr>
      <w:rFonts w:ascii="Times New Roman" w:hAnsi="Times New Roman" w:cs="宋体"/>
      <w:sz w:val="24"/>
    </w:rPr>
  </w:style>
  <w:style w:type="paragraph" w:customStyle="1" w:styleId="54">
    <w:name w:val="样式 正文1 + 首行缩进:  2 字符"/>
    <w:basedOn w:val="1"/>
    <w:link w:val="53"/>
    <w:qFormat/>
    <w:uiPriority w:val="0"/>
    <w:pPr>
      <w:spacing w:line="520" w:lineRule="exact"/>
      <w:ind w:left="0" w:leftChars="0" w:right="0" w:rightChars="0" w:firstLine="480"/>
      <w:jc w:val="left"/>
    </w:pPr>
    <w:rPr>
      <w:kern w:val="0"/>
    </w:rPr>
  </w:style>
  <w:style w:type="character" w:customStyle="1" w:styleId="55">
    <w:name w:val="表格 Char"/>
    <w:link w:val="56"/>
    <w:qFormat/>
    <w:uiPriority w:val="0"/>
    <w:rPr>
      <w:sz w:val="24"/>
    </w:rPr>
  </w:style>
  <w:style w:type="paragraph" w:customStyle="1" w:styleId="56">
    <w:name w:val="表格"/>
    <w:basedOn w:val="1"/>
    <w:link w:val="55"/>
    <w:qFormat/>
    <w:uiPriority w:val="0"/>
    <w:pPr>
      <w:spacing w:line="276" w:lineRule="auto"/>
      <w:ind w:left="0" w:leftChars="0" w:right="0" w:rightChars="0" w:firstLine="0" w:firstLineChars="0"/>
      <w:jc w:val="center"/>
    </w:pPr>
    <w:rPr>
      <w:kern w:val="0"/>
    </w:rPr>
  </w:style>
  <w:style w:type="character" w:customStyle="1" w:styleId="57">
    <w:name w:val="标题 2 Char"/>
    <w:link w:val="3"/>
    <w:qFormat/>
    <w:uiPriority w:val="0"/>
    <w:rPr>
      <w:rFonts w:ascii="Arial" w:hAnsi="Arial" w:eastAsia="黑体"/>
      <w:b/>
      <w:bCs/>
      <w:kern w:val="2"/>
      <w:sz w:val="32"/>
      <w:szCs w:val="32"/>
    </w:rPr>
  </w:style>
  <w:style w:type="character" w:customStyle="1" w:styleId="58">
    <w:name w:val="未处理的提及1"/>
    <w:unhideWhenUsed/>
    <w:qFormat/>
    <w:uiPriority w:val="99"/>
    <w:rPr>
      <w:color w:val="808080"/>
      <w:shd w:val="clear" w:color="auto" w:fill="E6E6E6"/>
    </w:rPr>
  </w:style>
  <w:style w:type="character" w:customStyle="1" w:styleId="59">
    <w:name w:val="apple-converted-space"/>
    <w:basedOn w:val="42"/>
    <w:qFormat/>
    <w:uiPriority w:val="0"/>
  </w:style>
  <w:style w:type="character" w:customStyle="1" w:styleId="60">
    <w:name w:val="页眉 Char"/>
    <w:link w:val="26"/>
    <w:qFormat/>
    <w:uiPriority w:val="99"/>
    <w:rPr>
      <w:rFonts w:ascii="Times New Roman" w:hAnsi="Times New Roman"/>
      <w:kern w:val="2"/>
      <w:sz w:val="18"/>
      <w:szCs w:val="18"/>
    </w:rPr>
  </w:style>
  <w:style w:type="character" w:customStyle="1" w:styleId="61">
    <w:name w:val="批注文字 Char"/>
    <w:link w:val="16"/>
    <w:qFormat/>
    <w:uiPriority w:val="99"/>
    <w:rPr>
      <w:kern w:val="2"/>
      <w:sz w:val="24"/>
    </w:rPr>
  </w:style>
  <w:style w:type="character" w:customStyle="1" w:styleId="62">
    <w:name w:val="标题 7 Char"/>
    <w:link w:val="10"/>
    <w:qFormat/>
    <w:uiPriority w:val="0"/>
    <w:rPr>
      <w:rFonts w:ascii="Times New Roman" w:hAnsi="Times New Roman"/>
      <w:b/>
      <w:bCs/>
      <w:kern w:val="2"/>
      <w:sz w:val="24"/>
      <w:szCs w:val="24"/>
    </w:rPr>
  </w:style>
  <w:style w:type="character" w:customStyle="1" w:styleId="63">
    <w:name w:val="表头 Char"/>
    <w:link w:val="64"/>
    <w:qFormat/>
    <w:uiPriority w:val="0"/>
    <w:rPr>
      <w:rFonts w:ascii="Times New Roman" w:hAnsi="Times New Roman" w:eastAsia="黑体"/>
      <w:b/>
      <w:w w:val="102"/>
      <w:kern w:val="2"/>
      <w:sz w:val="24"/>
      <w:szCs w:val="24"/>
    </w:rPr>
  </w:style>
  <w:style w:type="paragraph" w:customStyle="1" w:styleId="64">
    <w:name w:val="表头"/>
    <w:basedOn w:val="1"/>
    <w:link w:val="63"/>
    <w:qFormat/>
    <w:uiPriority w:val="0"/>
    <w:pPr>
      <w:jc w:val="center"/>
    </w:pPr>
    <w:rPr>
      <w:rFonts w:eastAsia="黑体"/>
      <w:b/>
      <w:w w:val="102"/>
      <w:szCs w:val="24"/>
    </w:rPr>
  </w:style>
  <w:style w:type="character" w:customStyle="1" w:styleId="65">
    <w:name w:val="标题 9 Char"/>
    <w:link w:val="12"/>
    <w:qFormat/>
    <w:uiPriority w:val="0"/>
    <w:rPr>
      <w:rFonts w:ascii="Arial" w:hAnsi="Arial" w:eastAsia="黑体"/>
      <w:kern w:val="2"/>
      <w:sz w:val="21"/>
      <w:szCs w:val="21"/>
    </w:rPr>
  </w:style>
  <w:style w:type="character" w:customStyle="1" w:styleId="66">
    <w:name w:val="批注主题 Char"/>
    <w:link w:val="37"/>
    <w:qFormat/>
    <w:uiPriority w:val="99"/>
    <w:rPr>
      <w:b/>
      <w:bCs/>
      <w:kern w:val="2"/>
      <w:sz w:val="24"/>
    </w:rPr>
  </w:style>
  <w:style w:type="character" w:customStyle="1" w:styleId="67">
    <w:name w:val="文档结构图 Char"/>
    <w:link w:val="15"/>
    <w:qFormat/>
    <w:uiPriority w:val="99"/>
    <w:rPr>
      <w:rFonts w:ascii="宋体" w:hAnsi="Times New Roman"/>
      <w:kern w:val="2"/>
      <w:sz w:val="18"/>
      <w:szCs w:val="18"/>
    </w:rPr>
  </w:style>
  <w:style w:type="character" w:customStyle="1" w:styleId="68">
    <w:name w:val="标题 6 Char"/>
    <w:link w:val="9"/>
    <w:qFormat/>
    <w:uiPriority w:val="0"/>
    <w:rPr>
      <w:rFonts w:ascii="Arial" w:hAnsi="Arial" w:eastAsia="黑体"/>
      <w:bCs/>
      <w:kern w:val="2"/>
      <w:sz w:val="24"/>
      <w:szCs w:val="24"/>
    </w:rPr>
  </w:style>
  <w:style w:type="character" w:customStyle="1" w:styleId="69">
    <w:name w:val="批注框文本 Char"/>
    <w:link w:val="24"/>
    <w:qFormat/>
    <w:uiPriority w:val="99"/>
    <w:rPr>
      <w:rFonts w:ascii="Times New Roman" w:hAnsi="Times New Roman" w:eastAsia="宋体" w:cs="Times New Roman"/>
      <w:sz w:val="18"/>
      <w:szCs w:val="18"/>
    </w:rPr>
  </w:style>
  <w:style w:type="character" w:customStyle="1" w:styleId="70">
    <w:name w:val="日期 Char"/>
    <w:link w:val="22"/>
    <w:qFormat/>
    <w:uiPriority w:val="0"/>
    <w:rPr>
      <w:rFonts w:ascii="Times New Roman" w:hAnsi="Times New Roman"/>
      <w:kern w:val="2"/>
      <w:sz w:val="21"/>
    </w:rPr>
  </w:style>
  <w:style w:type="character" w:customStyle="1" w:styleId="71">
    <w:name w:val="正文首行缩进 Char"/>
    <w:basedOn w:val="51"/>
    <w:link w:val="38"/>
    <w:qFormat/>
    <w:uiPriority w:val="99"/>
    <w:rPr>
      <w:rFonts w:ascii="Times New Roman" w:hAnsi="Times New Roman"/>
      <w:kern w:val="2"/>
      <w:sz w:val="21"/>
      <w:szCs w:val="24"/>
    </w:rPr>
  </w:style>
  <w:style w:type="character" w:customStyle="1" w:styleId="72">
    <w:name w:val="表格文字 Char"/>
    <w:link w:val="73"/>
    <w:qFormat/>
    <w:uiPriority w:val="0"/>
    <w:rPr>
      <w:rFonts w:ascii="Times New Roman" w:hAnsi="Times New Roman"/>
      <w:sz w:val="21"/>
      <w:szCs w:val="24"/>
    </w:rPr>
  </w:style>
  <w:style w:type="paragraph" w:customStyle="1" w:styleId="73">
    <w:name w:val="表格文字"/>
    <w:basedOn w:val="1"/>
    <w:next w:val="1"/>
    <w:link w:val="72"/>
    <w:qFormat/>
    <w:uiPriority w:val="0"/>
    <w:pPr>
      <w:spacing w:line="280" w:lineRule="exact"/>
      <w:ind w:left="0" w:leftChars="0" w:right="0" w:rightChars="0" w:firstLine="0" w:firstLineChars="0"/>
      <w:jc w:val="center"/>
    </w:pPr>
    <w:rPr>
      <w:kern w:val="0"/>
      <w:sz w:val="21"/>
      <w:szCs w:val="24"/>
    </w:rPr>
  </w:style>
  <w:style w:type="character" w:customStyle="1" w:styleId="74">
    <w:name w:val="number"/>
    <w:qFormat/>
    <w:uiPriority w:val="0"/>
  </w:style>
  <w:style w:type="character" w:customStyle="1" w:styleId="75">
    <w:name w:val="页脚 Char"/>
    <w:link w:val="25"/>
    <w:qFormat/>
    <w:uiPriority w:val="99"/>
    <w:rPr>
      <w:rFonts w:ascii="Times New Roman" w:hAnsi="Times New Roman" w:eastAsia="宋体" w:cs="Times New Roman"/>
      <w:sz w:val="18"/>
      <w:szCs w:val="18"/>
    </w:rPr>
  </w:style>
  <w:style w:type="character" w:customStyle="1" w:styleId="76">
    <w:name w:val="知识城环卫-正文 Char"/>
    <w:link w:val="77"/>
    <w:qFormat/>
    <w:uiPriority w:val="0"/>
    <w:rPr>
      <w:rFonts w:ascii="Times New Roman" w:hAnsi="Times New Roman"/>
      <w:kern w:val="2"/>
      <w:sz w:val="24"/>
      <w:szCs w:val="24"/>
    </w:rPr>
  </w:style>
  <w:style w:type="paragraph" w:customStyle="1" w:styleId="77">
    <w:name w:val="知识城环卫-正文"/>
    <w:basedOn w:val="1"/>
    <w:link w:val="76"/>
    <w:qFormat/>
    <w:uiPriority w:val="0"/>
    <w:rPr>
      <w:szCs w:val="24"/>
    </w:rPr>
  </w:style>
  <w:style w:type="character" w:customStyle="1" w:styleId="78">
    <w:name w:val="题注 Char"/>
    <w:link w:val="14"/>
    <w:qFormat/>
    <w:uiPriority w:val="0"/>
    <w:rPr>
      <w:rFonts w:ascii="Arial" w:hAnsi="Arial" w:eastAsia="黑体" w:cs="Arial"/>
      <w:kern w:val="2"/>
    </w:rPr>
  </w:style>
  <w:style w:type="character" w:customStyle="1" w:styleId="79">
    <w:name w:val="t Char Char"/>
    <w:link w:val="80"/>
    <w:qFormat/>
    <w:uiPriority w:val="0"/>
    <w:rPr>
      <w:rFonts w:ascii="Times New Roman" w:hAnsi="Times New Roman"/>
      <w:sz w:val="28"/>
      <w:szCs w:val="24"/>
    </w:rPr>
  </w:style>
  <w:style w:type="paragraph" w:customStyle="1" w:styleId="80">
    <w:name w:val="t Char"/>
    <w:basedOn w:val="1"/>
    <w:link w:val="79"/>
    <w:qFormat/>
    <w:uiPriority w:val="0"/>
    <w:pPr>
      <w:adjustRightInd w:val="0"/>
      <w:snapToGrid w:val="0"/>
      <w:ind w:left="0" w:leftChars="0" w:right="0" w:rightChars="0" w:firstLine="480"/>
    </w:pPr>
    <w:rPr>
      <w:kern w:val="0"/>
      <w:sz w:val="28"/>
      <w:szCs w:val="24"/>
    </w:rPr>
  </w:style>
  <w:style w:type="character" w:customStyle="1" w:styleId="81">
    <w:name w:val="标题 8 Char"/>
    <w:link w:val="11"/>
    <w:qFormat/>
    <w:uiPriority w:val="0"/>
    <w:rPr>
      <w:rFonts w:ascii="Arial" w:hAnsi="Arial" w:eastAsia="黑体"/>
      <w:kern w:val="2"/>
      <w:sz w:val="24"/>
      <w:szCs w:val="24"/>
    </w:rPr>
  </w:style>
  <w:style w:type="character" w:customStyle="1" w:styleId="82">
    <w:name w:val="标题 3 Char"/>
    <w:link w:val="4"/>
    <w:qFormat/>
    <w:uiPriority w:val="0"/>
    <w:rPr>
      <w:b/>
      <w:bCs/>
      <w:kern w:val="2"/>
      <w:sz w:val="32"/>
      <w:szCs w:val="32"/>
    </w:rPr>
  </w:style>
  <w:style w:type="character" w:customStyle="1" w:styleId="83">
    <w:name w:val="标题 1 Char"/>
    <w:link w:val="2"/>
    <w:qFormat/>
    <w:uiPriority w:val="0"/>
    <w:rPr>
      <w:rFonts w:ascii="Times New Roman" w:hAnsi="Times New Roman"/>
      <w:b/>
      <w:bCs/>
      <w:kern w:val="44"/>
      <w:sz w:val="44"/>
      <w:szCs w:val="44"/>
    </w:rPr>
  </w:style>
  <w:style w:type="character" w:customStyle="1" w:styleId="84">
    <w:name w:val="正文文本缩进 2 Char"/>
    <w:link w:val="23"/>
    <w:qFormat/>
    <w:uiPriority w:val="99"/>
    <w:rPr>
      <w:rFonts w:ascii="Times New Roman" w:hAnsi="Times New Roman"/>
      <w:kern w:val="2"/>
      <w:sz w:val="24"/>
    </w:rPr>
  </w:style>
  <w:style w:type="character" w:customStyle="1" w:styleId="85">
    <w:name w:val="正文文本缩进 Char"/>
    <w:link w:val="18"/>
    <w:qFormat/>
    <w:uiPriority w:val="0"/>
    <w:rPr>
      <w:rFonts w:ascii="Times New Roman" w:hAnsi="Times New Roman"/>
      <w:kern w:val="2"/>
      <w:sz w:val="24"/>
      <w:szCs w:val="24"/>
    </w:rPr>
  </w:style>
  <w:style w:type="character" w:customStyle="1" w:styleId="86">
    <w:name w:val="正文-第几条 Char"/>
    <w:link w:val="87"/>
    <w:qFormat/>
    <w:uiPriority w:val="0"/>
    <w:rPr>
      <w:rFonts w:ascii="Times New Roman" w:hAnsi="Times New Roman"/>
      <w:b/>
      <w:kern w:val="2"/>
      <w:sz w:val="24"/>
      <w:szCs w:val="24"/>
    </w:rPr>
  </w:style>
  <w:style w:type="paragraph" w:customStyle="1" w:styleId="87">
    <w:name w:val="正文-第几条"/>
    <w:basedOn w:val="1"/>
    <w:link w:val="86"/>
    <w:qFormat/>
    <w:uiPriority w:val="0"/>
    <w:rPr>
      <w:b/>
      <w:szCs w:val="24"/>
    </w:rPr>
  </w:style>
  <w:style w:type="character" w:customStyle="1" w:styleId="88">
    <w:name w:val="标题3 Char"/>
    <w:qFormat/>
    <w:uiPriority w:val="0"/>
    <w:rPr>
      <w:rFonts w:ascii="Calibri" w:hAnsi="Calibri" w:eastAsia="宋体"/>
      <w:bCs/>
      <w:kern w:val="2"/>
      <w:sz w:val="21"/>
      <w:szCs w:val="32"/>
    </w:rPr>
  </w:style>
  <w:style w:type="paragraph" w:customStyle="1" w:styleId="89">
    <w:name w:val="正文000"/>
    <w:basedOn w:val="1"/>
    <w:qFormat/>
    <w:uiPriority w:val="0"/>
    <w:pPr>
      <w:spacing w:before="100" w:after="60" w:line="440" w:lineRule="exact"/>
    </w:pPr>
    <w:rPr>
      <w:rFonts w:cs="宋体"/>
    </w:rPr>
  </w:style>
  <w:style w:type="paragraph" w:customStyle="1" w:styleId="90">
    <w:name w:val="Char Char Char Char Char Char Char"/>
    <w:basedOn w:val="1"/>
    <w:qFormat/>
    <w:uiPriority w:val="0"/>
    <w:pPr>
      <w:widowControl/>
      <w:spacing w:after="160" w:line="240" w:lineRule="exact"/>
      <w:jc w:val="left"/>
    </w:pPr>
    <w:rPr>
      <w:rFonts w:ascii="Verdana" w:hAnsi="Verdana"/>
      <w:kern w:val="0"/>
      <w:lang w:eastAsia="en-US"/>
    </w:rPr>
  </w:style>
  <w:style w:type="paragraph" w:customStyle="1" w:styleId="91">
    <w:name w:val="xl67"/>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cs="宋体"/>
      <w:b/>
      <w:bCs/>
      <w:kern w:val="0"/>
      <w:szCs w:val="24"/>
    </w:rPr>
  </w:style>
  <w:style w:type="paragraph" w:customStyle="1" w:styleId="92">
    <w:name w:val="DP样式-正文"/>
    <w:basedOn w:val="1"/>
    <w:qFormat/>
    <w:uiPriority w:val="0"/>
    <w:pPr>
      <w:spacing w:beforeLines="50"/>
      <w:ind w:left="0" w:leftChars="0" w:right="0" w:rightChars="0"/>
    </w:pPr>
    <w:rPr>
      <w:szCs w:val="24"/>
    </w:rPr>
  </w:style>
  <w:style w:type="paragraph" w:customStyle="1" w:styleId="93">
    <w:name w:val="样式D"/>
    <w:qFormat/>
    <w:uiPriority w:val="0"/>
    <w:pPr>
      <w:numPr>
        <w:ilvl w:val="3"/>
        <w:numId w:val="2"/>
      </w:numPr>
      <w:spacing w:beforeLines="50" w:line="360" w:lineRule="auto"/>
      <w:jc w:val="both"/>
      <w:outlineLvl w:val="3"/>
    </w:pPr>
    <w:rPr>
      <w:rFonts w:ascii="Times New Roman" w:hAnsi="Times New Roman" w:eastAsia="宋体" w:cs="Times New Roman"/>
      <w:kern w:val="2"/>
      <w:sz w:val="28"/>
      <w:szCs w:val="28"/>
      <w:lang w:val="en-US" w:eastAsia="zh-CN" w:bidi="ar-SA"/>
    </w:rPr>
  </w:style>
  <w:style w:type="paragraph" w:customStyle="1" w:styleId="94">
    <w:name w:val="font8"/>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cs="宋体"/>
      <w:kern w:val="0"/>
      <w:szCs w:val="24"/>
    </w:rPr>
  </w:style>
  <w:style w:type="paragraph" w:customStyle="1" w:styleId="95">
    <w:name w:val="遵义标题3"/>
    <w:basedOn w:val="4"/>
    <w:qFormat/>
    <w:uiPriority w:val="0"/>
    <w:pPr>
      <w:keepNext w:val="0"/>
      <w:keepLines w:val="0"/>
      <w:widowControl/>
      <w:numPr>
        <w:ilvl w:val="1"/>
        <w:numId w:val="3"/>
      </w:numPr>
      <w:topLinePunct/>
      <w:autoSpaceDE w:val="0"/>
      <w:autoSpaceDN w:val="0"/>
      <w:adjustRightInd w:val="0"/>
      <w:snapToGrid w:val="0"/>
      <w:spacing w:beforeLines="50" w:afterLines="50" w:line="360" w:lineRule="auto"/>
      <w:ind w:right="0" w:rightChars="0"/>
      <w:jc w:val="center"/>
      <w:textAlignment w:val="top"/>
    </w:pPr>
    <w:rPr>
      <w:rFonts w:ascii="仿宋_GB2312" w:hAnsi="黑体" w:eastAsia="仿宋_GB2312" w:cs="华文细黑"/>
      <w:b w:val="0"/>
      <w:sz w:val="28"/>
      <w:szCs w:val="28"/>
      <w:lang w:val="zh-CN"/>
    </w:rPr>
  </w:style>
  <w:style w:type="paragraph" w:customStyle="1" w:styleId="96">
    <w:name w:val="Char Char Char Char"/>
    <w:basedOn w:val="1"/>
    <w:qFormat/>
    <w:uiPriority w:val="0"/>
    <w:pPr>
      <w:ind w:left="0" w:leftChars="0" w:right="0" w:rightChars="0"/>
    </w:pPr>
    <w:rPr>
      <w:rFonts w:ascii="宋体" w:hAnsi="宋体" w:cs="宋体"/>
      <w:szCs w:val="24"/>
    </w:rPr>
  </w:style>
  <w:style w:type="paragraph" w:customStyle="1" w:styleId="97">
    <w:name w:val="样式 正文 +"/>
    <w:basedOn w:val="1"/>
    <w:qFormat/>
    <w:uiPriority w:val="0"/>
    <w:pPr>
      <w:ind w:left="0" w:leftChars="0" w:right="0" w:rightChars="0" w:firstLine="480" w:firstLineChars="0"/>
      <w:jc w:val="center"/>
    </w:pPr>
    <w:rPr>
      <w:rFonts w:cs="宋体"/>
    </w:rPr>
  </w:style>
  <w:style w:type="paragraph" w:customStyle="1" w:styleId="98">
    <w:name w:val="样式C"/>
    <w:qFormat/>
    <w:uiPriority w:val="0"/>
    <w:pPr>
      <w:numPr>
        <w:ilvl w:val="2"/>
        <w:numId w:val="2"/>
      </w:numPr>
      <w:spacing w:beforeLines="50" w:line="360" w:lineRule="auto"/>
      <w:jc w:val="both"/>
      <w:outlineLvl w:val="2"/>
    </w:pPr>
    <w:rPr>
      <w:rFonts w:ascii="Arial" w:hAnsi="Arial" w:eastAsia="黑体" w:cs="Times New Roman"/>
      <w:sz w:val="28"/>
      <w:szCs w:val="28"/>
      <w:lang w:val="en-CA" w:eastAsia="en-US" w:bidi="ar-SA"/>
    </w:rPr>
  </w:style>
  <w:style w:type="paragraph" w:customStyle="1" w:styleId="99">
    <w:name w:val="Char Char Char Char Char Char Char Char Char Char"/>
    <w:basedOn w:val="1"/>
    <w:qFormat/>
    <w:uiPriority w:val="0"/>
    <w:pPr>
      <w:ind w:left="0" w:leftChars="0" w:right="0" w:rightChars="0"/>
    </w:pPr>
    <w:rPr>
      <w:rFonts w:ascii="宋体" w:hAnsi="宋体" w:cs="宋体"/>
      <w:szCs w:val="24"/>
    </w:rPr>
  </w:style>
  <w:style w:type="paragraph" w:customStyle="1" w:styleId="100">
    <w:name w:val="Char5 Char Char Char1"/>
    <w:basedOn w:val="1"/>
    <w:qFormat/>
    <w:uiPriority w:val="0"/>
    <w:pPr>
      <w:widowControl/>
      <w:spacing w:before="156" w:after="156" w:line="300" w:lineRule="auto"/>
      <w:jc w:val="left"/>
    </w:pPr>
  </w:style>
  <w:style w:type="paragraph" w:customStyle="1" w:styleId="101">
    <w:name w:val="样式B"/>
    <w:basedOn w:val="1"/>
    <w:qFormat/>
    <w:uiPriority w:val="0"/>
    <w:pPr>
      <w:numPr>
        <w:ilvl w:val="1"/>
        <w:numId w:val="2"/>
      </w:numPr>
      <w:spacing w:after="160"/>
      <w:ind w:left="0" w:leftChars="0" w:right="0" w:rightChars="0" w:firstLineChars="0"/>
      <w:outlineLvl w:val="1"/>
    </w:pPr>
    <w:rPr>
      <w:rFonts w:eastAsia="黑体"/>
      <w:sz w:val="28"/>
      <w:szCs w:val="28"/>
    </w:rPr>
  </w:style>
  <w:style w:type="paragraph" w:styleId="102">
    <w:name w:val="List Paragraph"/>
    <w:basedOn w:val="1"/>
    <w:link w:val="144"/>
    <w:qFormat/>
    <w:uiPriority w:val="34"/>
    <w:pPr>
      <w:ind w:firstLine="420"/>
    </w:pPr>
  </w:style>
  <w:style w:type="paragraph" w:customStyle="1" w:styleId="103">
    <w:name w:val="1-正文"/>
    <w:basedOn w:val="1"/>
    <w:qFormat/>
    <w:uiPriority w:val="0"/>
    <w:pPr>
      <w:ind w:left="0" w:leftChars="0" w:right="0" w:rightChars="0" w:firstLine="480"/>
      <w:jc w:val="left"/>
    </w:pPr>
    <w:rPr>
      <w:rFonts w:ascii="宋体" w:hAnsi="宋体" w:cs="宋体"/>
      <w:szCs w:val="24"/>
    </w:rPr>
  </w:style>
  <w:style w:type="paragraph" w:customStyle="1" w:styleId="104">
    <w:name w:val="正文样式1"/>
    <w:basedOn w:val="1"/>
    <w:qFormat/>
    <w:uiPriority w:val="0"/>
    <w:pPr>
      <w:ind w:left="0" w:leftChars="0" w:right="0" w:rightChars="0" w:firstLine="480"/>
    </w:pPr>
    <w:rPr>
      <w:szCs w:val="24"/>
    </w:rPr>
  </w:style>
  <w:style w:type="paragraph" w:customStyle="1" w:styleId="105">
    <w:name w:val="样式A"/>
    <w:next w:val="101"/>
    <w:qFormat/>
    <w:uiPriority w:val="0"/>
    <w:pPr>
      <w:numPr>
        <w:ilvl w:val="0"/>
        <w:numId w:val="2"/>
      </w:numPr>
      <w:spacing w:beforeLines="50" w:after="340" w:line="360" w:lineRule="auto"/>
      <w:jc w:val="center"/>
      <w:outlineLvl w:val="0"/>
    </w:pPr>
    <w:rPr>
      <w:rFonts w:ascii="Times New Roman" w:hAnsi="Times New Roman" w:eastAsia="黑体" w:cs="Times New Roman"/>
      <w:b/>
      <w:bCs/>
      <w:kern w:val="44"/>
      <w:sz w:val="36"/>
      <w:szCs w:val="44"/>
      <w:lang w:val="en-US" w:eastAsia="zh-CN" w:bidi="ar-SA"/>
    </w:rPr>
  </w:style>
  <w:style w:type="paragraph" w:customStyle="1" w:styleId="106">
    <w:name w:val="正文内容"/>
    <w:basedOn w:val="1"/>
    <w:qFormat/>
    <w:uiPriority w:val="0"/>
    <w:pPr>
      <w:ind w:left="0" w:leftChars="0" w:right="0" w:rightChars="0" w:firstLine="420"/>
    </w:pPr>
    <w:rPr>
      <w:sz w:val="21"/>
      <w:szCs w:val="21"/>
    </w:rPr>
  </w:style>
  <w:style w:type="paragraph" w:customStyle="1" w:styleId="107">
    <w:name w:val="xl26"/>
    <w:basedOn w:val="1"/>
    <w:qFormat/>
    <w:uiPriority w:val="0"/>
    <w:pPr>
      <w:widowControl/>
      <w:spacing w:before="100" w:beforeAutospacing="1" w:after="100" w:afterAutospacing="1" w:line="240" w:lineRule="auto"/>
      <w:ind w:left="0" w:leftChars="0" w:right="0" w:rightChars="0" w:firstLine="0" w:firstLineChars="0"/>
      <w:jc w:val="center"/>
      <w:textAlignment w:val="top"/>
    </w:pPr>
    <w:rPr>
      <w:rFonts w:ascii="宋体" w:hAnsi="宋体"/>
      <w:kern w:val="0"/>
      <w:szCs w:val="24"/>
    </w:rPr>
  </w:style>
  <w:style w:type="paragraph" w:customStyle="1" w:styleId="108">
    <w:name w:val="reader-word-layer"/>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cs="宋体"/>
      <w:kern w:val="0"/>
      <w:szCs w:val="24"/>
    </w:rPr>
  </w:style>
  <w:style w:type="paragraph" w:customStyle="1" w:styleId="109">
    <w:name w:val="DP样式-表图标题"/>
    <w:basedOn w:val="1"/>
    <w:qFormat/>
    <w:uiPriority w:val="0"/>
    <w:pPr>
      <w:spacing w:beforeLines="50" w:line="240" w:lineRule="auto"/>
      <w:ind w:left="200" w:leftChars="200" w:right="0" w:rightChars="0" w:firstLine="0" w:firstLineChars="0"/>
      <w:jc w:val="center"/>
    </w:pPr>
    <w:rPr>
      <w:sz w:val="21"/>
      <w:szCs w:val="24"/>
    </w:rPr>
  </w:style>
  <w:style w:type="paragraph" w:customStyle="1" w:styleId="110">
    <w:name w:val="大正文"/>
    <w:basedOn w:val="1"/>
    <w:qFormat/>
    <w:uiPriority w:val="0"/>
    <w:pPr>
      <w:spacing w:line="480" w:lineRule="auto"/>
      <w:ind w:left="0" w:leftChars="0" w:right="0" w:rightChars="0" w:firstLine="560"/>
    </w:pPr>
    <w:rPr>
      <w:rFonts w:ascii="宋体" w:hAnsi="宋体"/>
      <w:sz w:val="28"/>
      <w:szCs w:val="24"/>
    </w:rPr>
  </w:style>
  <w:style w:type="paragraph" w:customStyle="1" w:styleId="111">
    <w:name w:val="font6"/>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cs="宋体"/>
      <w:kern w:val="0"/>
      <w:sz w:val="18"/>
      <w:szCs w:val="18"/>
    </w:rPr>
  </w:style>
  <w:style w:type="paragraph" w:customStyle="1" w:styleId="112">
    <w:name w:val="Char"/>
    <w:basedOn w:val="1"/>
    <w:qFormat/>
    <w:uiPriority w:val="0"/>
    <w:pPr>
      <w:widowControl/>
      <w:spacing w:after="160" w:line="240" w:lineRule="exact"/>
      <w:jc w:val="left"/>
    </w:pPr>
    <w:rPr>
      <w:rFonts w:ascii="Verdana" w:hAnsi="Verdana"/>
      <w:kern w:val="0"/>
      <w:lang w:eastAsia="en-US"/>
    </w:rPr>
  </w:style>
  <w:style w:type="paragraph" w:customStyle="1" w:styleId="113">
    <w:name w:val="font7"/>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cs="宋体"/>
      <w:b/>
      <w:bCs/>
      <w:color w:val="000000"/>
      <w:kern w:val="0"/>
      <w:sz w:val="22"/>
      <w:szCs w:val="22"/>
    </w:rPr>
  </w:style>
  <w:style w:type="paragraph" w:customStyle="1" w:styleId="114">
    <w:name w:val="正文点内容"/>
    <w:basedOn w:val="106"/>
    <w:qFormat/>
    <w:uiPriority w:val="0"/>
    <w:pPr>
      <w:numPr>
        <w:ilvl w:val="0"/>
        <w:numId w:val="4"/>
      </w:numPr>
      <w:ind w:firstLine="0" w:firstLineChars="0"/>
    </w:pPr>
  </w:style>
  <w:style w:type="paragraph" w:customStyle="1" w:styleId="115">
    <w:name w:val="样式 小四 行距: 1.5 倍行距 首行缩进:  2 字符"/>
    <w:basedOn w:val="1"/>
    <w:qFormat/>
    <w:uiPriority w:val="0"/>
    <w:pPr>
      <w:ind w:firstLine="480"/>
    </w:pPr>
    <w:rPr>
      <w:rFonts w:cs="宋体"/>
    </w:rPr>
  </w:style>
  <w:style w:type="paragraph" w:customStyle="1" w:styleId="116">
    <w:name w:val="font10"/>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cs="宋体"/>
      <w:i/>
      <w:iCs/>
      <w:kern w:val="0"/>
      <w:szCs w:val="24"/>
    </w:rPr>
  </w:style>
  <w:style w:type="paragraph" w:customStyle="1" w:styleId="117">
    <w:name w:val="font0"/>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cs="宋体"/>
      <w:color w:val="000000"/>
      <w:kern w:val="0"/>
      <w:sz w:val="22"/>
      <w:szCs w:val="22"/>
    </w:rPr>
  </w:style>
  <w:style w:type="paragraph" w:customStyle="1" w:styleId="118">
    <w:name w:val="Char Char Char Char Char Char Char2"/>
    <w:basedOn w:val="1"/>
    <w:qFormat/>
    <w:uiPriority w:val="0"/>
    <w:pPr>
      <w:ind w:left="0" w:leftChars="0" w:right="0" w:rightChars="0"/>
    </w:pPr>
    <w:rPr>
      <w:rFonts w:ascii="宋体" w:hAnsi="宋体" w:cs="宋体"/>
      <w:szCs w:val="24"/>
    </w:rPr>
  </w:style>
  <w:style w:type="paragraph" w:customStyle="1" w:styleId="119">
    <w:name w:val="font5"/>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cs="宋体"/>
      <w:kern w:val="0"/>
      <w:sz w:val="18"/>
      <w:szCs w:val="18"/>
    </w:rPr>
  </w:style>
  <w:style w:type="paragraph" w:customStyle="1" w:styleId="120">
    <w:name w:val="TOC 标题1"/>
    <w:basedOn w:val="2"/>
    <w:next w:val="1"/>
    <w:qFormat/>
    <w:uiPriority w:val="39"/>
    <w:pPr>
      <w:widowControl/>
      <w:spacing w:before="480" w:after="0" w:line="276" w:lineRule="auto"/>
      <w:ind w:left="0" w:leftChars="0" w:right="0" w:rightChars="0" w:firstLine="0" w:firstLineChars="0"/>
      <w:jc w:val="left"/>
      <w:outlineLvl w:val="9"/>
    </w:pPr>
    <w:rPr>
      <w:rFonts w:ascii="Cambria" w:hAnsi="Cambria"/>
      <w:color w:val="365F91"/>
      <w:kern w:val="0"/>
      <w:sz w:val="28"/>
      <w:szCs w:val="28"/>
    </w:rPr>
  </w:style>
  <w:style w:type="paragraph" w:customStyle="1" w:styleId="121">
    <w:name w:val="修订1"/>
    <w:semiHidden/>
    <w:qFormat/>
    <w:uiPriority w:val="99"/>
    <w:rPr>
      <w:rFonts w:ascii="Times New Roman" w:hAnsi="Times New Roman" w:eastAsia="宋体" w:cs="Times New Roman"/>
      <w:kern w:val="2"/>
      <w:sz w:val="24"/>
      <w:lang w:val="en-US" w:eastAsia="zh-CN" w:bidi="ar-SA"/>
    </w:rPr>
  </w:style>
  <w:style w:type="paragraph" w:customStyle="1" w:styleId="122">
    <w:name w:val="Char5 Char Char Char"/>
    <w:basedOn w:val="1"/>
    <w:qFormat/>
    <w:uiPriority w:val="0"/>
    <w:pPr>
      <w:widowControl/>
      <w:spacing w:before="156" w:after="156" w:line="300" w:lineRule="auto"/>
      <w:jc w:val="left"/>
    </w:pPr>
  </w:style>
  <w:style w:type="paragraph" w:customStyle="1" w:styleId="123">
    <w:name w:val="DB样式-图表正文"/>
    <w:basedOn w:val="109"/>
    <w:qFormat/>
    <w:uiPriority w:val="0"/>
    <w:pPr>
      <w:spacing w:beforeLines="0"/>
      <w:ind w:left="0" w:leftChars="0"/>
    </w:pPr>
  </w:style>
  <w:style w:type="paragraph" w:customStyle="1" w:styleId="124">
    <w:name w:val="表格1"/>
    <w:qFormat/>
    <w:uiPriority w:val="0"/>
    <w:pPr>
      <w:widowControl w:val="0"/>
      <w:adjustRightInd w:val="0"/>
      <w:snapToGrid w:val="0"/>
      <w:ind w:right="210" w:rightChars="100"/>
      <w:jc w:val="center"/>
    </w:pPr>
    <w:rPr>
      <w:rFonts w:ascii="Times New Roman" w:hAnsi="Times New Roman" w:eastAsia="宋体" w:cs="Times New Roman"/>
      <w:kern w:val="2"/>
      <w:sz w:val="24"/>
      <w:szCs w:val="28"/>
      <w:lang w:val="en-US" w:eastAsia="zh-CN" w:bidi="ar-SA"/>
    </w:rPr>
  </w:style>
  <w:style w:type="paragraph" w:customStyle="1" w:styleId="125">
    <w:name w:val="院扉页 黑体 左侧:  2 字符 段前: 0.5 行"/>
    <w:basedOn w:val="1"/>
    <w:qFormat/>
    <w:uiPriority w:val="0"/>
    <w:pPr>
      <w:spacing w:beforeLines="50"/>
      <w:ind w:left="480" w:leftChars="200"/>
    </w:pPr>
    <w:rPr>
      <w:rFonts w:ascii="黑体" w:eastAsia="黑体" w:cs="宋体"/>
    </w:rPr>
  </w:style>
  <w:style w:type="paragraph" w:customStyle="1" w:styleId="126">
    <w:name w:val="样式 样式 样式 正文1 + 首行缩进:  2 字符 + 首行缩进:  2 字符1 + 首行缩进:  2 字符"/>
    <w:basedOn w:val="1"/>
    <w:qFormat/>
    <w:uiPriority w:val="0"/>
    <w:pPr>
      <w:spacing w:line="520" w:lineRule="exact"/>
      <w:ind w:left="0" w:leftChars="0" w:right="0" w:rightChars="0" w:firstLine="476"/>
      <w:jc w:val="left"/>
    </w:pPr>
    <w:rPr>
      <w:rFonts w:cs="宋体"/>
      <w:kern w:val="0"/>
    </w:rPr>
  </w:style>
  <w:style w:type="paragraph" w:customStyle="1" w:styleId="127">
    <w:name w:val="Default"/>
    <w:unhideWhenUsed/>
    <w:qFormat/>
    <w:uiPriority w:val="0"/>
    <w:pPr>
      <w:widowControl w:val="0"/>
      <w:autoSpaceDE w:val="0"/>
      <w:autoSpaceDN w:val="0"/>
      <w:adjustRightInd w:val="0"/>
    </w:pPr>
    <w:rPr>
      <w:rFonts w:ascii="宋体" w:hAnsi="宋体" w:eastAsia="宋体" w:cs="Times New Roman"/>
      <w:color w:val="000000"/>
      <w:sz w:val="24"/>
      <w:lang w:val="en-US" w:eastAsia="zh-CN" w:bidi="ar-SA"/>
    </w:rPr>
  </w:style>
  <w:style w:type="paragraph" w:customStyle="1" w:styleId="128">
    <w:name w:val="Char Char Char Char Char Char Char1"/>
    <w:basedOn w:val="1"/>
    <w:qFormat/>
    <w:uiPriority w:val="0"/>
    <w:pPr>
      <w:widowControl/>
      <w:spacing w:after="160" w:line="240" w:lineRule="exact"/>
      <w:jc w:val="left"/>
    </w:pPr>
    <w:rPr>
      <w:rFonts w:ascii="Verdana" w:hAnsi="Verdana"/>
      <w:kern w:val="0"/>
      <w:lang w:eastAsia="en-US"/>
    </w:rPr>
  </w:style>
  <w:style w:type="paragraph" w:customStyle="1" w:styleId="129">
    <w:name w:val="Char1"/>
    <w:basedOn w:val="1"/>
    <w:qFormat/>
    <w:uiPriority w:val="0"/>
    <w:pPr>
      <w:tabs>
        <w:tab w:val="left" w:pos="360"/>
      </w:tabs>
      <w:ind w:left="0" w:leftChars="0" w:right="0" w:rightChars="0" w:firstLine="482" w:firstLineChars="0"/>
    </w:pPr>
    <w:rPr>
      <w:rFonts w:ascii="Tahoma" w:hAnsi="Tahoma" w:eastAsia="黑体"/>
      <w:sz w:val="30"/>
      <w:szCs w:val="21"/>
    </w:rPr>
  </w:style>
  <w:style w:type="paragraph" w:customStyle="1" w:styleId="130">
    <w:name w:val="图表标题（1）"/>
    <w:basedOn w:val="1"/>
    <w:qFormat/>
    <w:uiPriority w:val="0"/>
    <w:pPr>
      <w:ind w:left="0" w:leftChars="0" w:right="0" w:rightChars="0" w:firstLine="0" w:firstLineChars="0"/>
      <w:jc w:val="center"/>
    </w:pPr>
    <w:rPr>
      <w:rFonts w:ascii="宋体" w:hAnsi="宋体"/>
      <w:b/>
      <w:sz w:val="18"/>
      <w:szCs w:val="18"/>
    </w:rPr>
  </w:style>
  <w:style w:type="paragraph" w:customStyle="1" w:styleId="131">
    <w:name w:val="图表"/>
    <w:basedOn w:val="1"/>
    <w:qFormat/>
    <w:uiPriority w:val="0"/>
    <w:pPr>
      <w:spacing w:line="0" w:lineRule="atLeast"/>
      <w:ind w:left="0" w:leftChars="0" w:right="0" w:rightChars="0" w:firstLine="0" w:firstLineChars="0"/>
      <w:jc w:val="center"/>
    </w:pPr>
    <w:rPr>
      <w:rFonts w:ascii="宋体" w:hAnsi="宋体" w:eastAsia="黑体" w:cs="Calibri"/>
      <w:bCs/>
      <w:sz w:val="21"/>
      <w:szCs w:val="24"/>
    </w:rPr>
  </w:style>
  <w:style w:type="paragraph" w:customStyle="1" w:styleId="132">
    <w:name w:val="font9"/>
    <w:basedOn w:val="1"/>
    <w:qFormat/>
    <w:uiPriority w:val="0"/>
    <w:pPr>
      <w:widowControl/>
      <w:spacing w:before="100" w:beforeAutospacing="1" w:after="100" w:afterAutospacing="1" w:line="240" w:lineRule="auto"/>
      <w:ind w:left="0" w:leftChars="0" w:right="0" w:rightChars="0" w:firstLine="0" w:firstLineChars="0"/>
      <w:jc w:val="left"/>
    </w:pPr>
    <w:rPr>
      <w:kern w:val="0"/>
      <w:szCs w:val="24"/>
    </w:rPr>
  </w:style>
  <w:style w:type="paragraph" w:styleId="133">
    <w:name w:val="No Spacing"/>
    <w:link w:val="134"/>
    <w:qFormat/>
    <w:uiPriority w:val="1"/>
    <w:rPr>
      <w:rFonts w:ascii="等线" w:hAnsi="等线" w:eastAsia="等线" w:cs="Times New Roman"/>
      <w:sz w:val="22"/>
      <w:szCs w:val="22"/>
      <w:lang w:val="en-US" w:eastAsia="zh-CN" w:bidi="ar-SA"/>
    </w:rPr>
  </w:style>
  <w:style w:type="character" w:customStyle="1" w:styleId="134">
    <w:name w:val="无间隔 Char"/>
    <w:link w:val="133"/>
    <w:qFormat/>
    <w:uiPriority w:val="1"/>
    <w:rPr>
      <w:rFonts w:ascii="等线" w:hAnsi="等线" w:eastAsia="等线"/>
      <w:sz w:val="22"/>
      <w:szCs w:val="22"/>
      <w:lang w:bidi="ar-SA"/>
    </w:rPr>
  </w:style>
  <w:style w:type="paragraph" w:customStyle="1" w:styleId="135">
    <w:name w:val="图7--"/>
    <w:basedOn w:val="1"/>
    <w:link w:val="137"/>
    <w:qFormat/>
    <w:uiPriority w:val="0"/>
    <w:pPr>
      <w:spacing w:line="240" w:lineRule="auto"/>
      <w:ind w:left="0" w:leftChars="0" w:right="0" w:rightChars="0" w:firstLine="0" w:firstLineChars="0"/>
    </w:pPr>
    <w:rPr>
      <w:rFonts w:ascii="Calibri" w:hAnsi="Calibri"/>
      <w:sz w:val="21"/>
      <w:szCs w:val="22"/>
    </w:rPr>
  </w:style>
  <w:style w:type="paragraph" w:customStyle="1" w:styleId="136">
    <w:name w:val="样式1"/>
    <w:basedOn w:val="135"/>
    <w:link w:val="138"/>
    <w:qFormat/>
    <w:uiPriority w:val="0"/>
    <w:pPr>
      <w:numPr>
        <w:ilvl w:val="0"/>
        <w:numId w:val="5"/>
      </w:numPr>
    </w:pPr>
    <w:rPr>
      <w:rFonts w:ascii="黑体" w:hAnsi="黑体" w:eastAsia="黑体"/>
      <w:b/>
    </w:rPr>
  </w:style>
  <w:style w:type="character" w:customStyle="1" w:styleId="137">
    <w:name w:val="图7-- 字符"/>
    <w:basedOn w:val="42"/>
    <w:link w:val="135"/>
    <w:qFormat/>
    <w:uiPriority w:val="0"/>
    <w:rPr>
      <w:rFonts w:ascii="Calibri" w:hAnsi="Calibri"/>
      <w:kern w:val="2"/>
      <w:sz w:val="21"/>
      <w:szCs w:val="22"/>
    </w:rPr>
  </w:style>
  <w:style w:type="character" w:customStyle="1" w:styleId="138">
    <w:name w:val="样式1 字符"/>
    <w:basedOn w:val="137"/>
    <w:link w:val="136"/>
    <w:qFormat/>
    <w:uiPriority w:val="0"/>
    <w:rPr>
      <w:rFonts w:ascii="黑体" w:hAnsi="黑体" w:eastAsia="黑体"/>
      <w:b/>
      <w:kern w:val="2"/>
      <w:sz w:val="21"/>
      <w:szCs w:val="22"/>
    </w:rPr>
  </w:style>
  <w:style w:type="paragraph" w:customStyle="1" w:styleId="139">
    <w:name w:val="表10-"/>
    <w:basedOn w:val="1"/>
    <w:link w:val="141"/>
    <w:qFormat/>
    <w:uiPriority w:val="0"/>
    <w:pPr>
      <w:numPr>
        <w:ilvl w:val="0"/>
        <w:numId w:val="6"/>
      </w:numPr>
      <w:ind w:left="0" w:leftChars="0" w:right="480" w:firstLine="0" w:firstLineChars="0"/>
    </w:pPr>
  </w:style>
  <w:style w:type="paragraph" w:customStyle="1" w:styleId="140">
    <w:name w:val="表12-"/>
    <w:basedOn w:val="1"/>
    <w:link w:val="142"/>
    <w:qFormat/>
    <w:uiPriority w:val="0"/>
    <w:pPr>
      <w:numPr>
        <w:ilvl w:val="0"/>
        <w:numId w:val="7"/>
      </w:numPr>
      <w:ind w:left="0" w:leftChars="0" w:right="480" w:firstLine="0" w:firstLineChars="0"/>
    </w:pPr>
  </w:style>
  <w:style w:type="character" w:customStyle="1" w:styleId="141">
    <w:name w:val="表10- 字符"/>
    <w:basedOn w:val="42"/>
    <w:link w:val="139"/>
    <w:qFormat/>
    <w:uiPriority w:val="0"/>
    <w:rPr>
      <w:kern w:val="2"/>
      <w:sz w:val="24"/>
    </w:rPr>
  </w:style>
  <w:style w:type="character" w:customStyle="1" w:styleId="142">
    <w:name w:val="表12- 字符"/>
    <w:basedOn w:val="42"/>
    <w:link w:val="140"/>
    <w:qFormat/>
    <w:uiPriority w:val="0"/>
    <w:rPr>
      <w:kern w:val="2"/>
      <w:sz w:val="24"/>
    </w:rPr>
  </w:style>
  <w:style w:type="table" w:customStyle="1" w:styleId="143">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44">
    <w:name w:val="列出段落 Char"/>
    <w:basedOn w:val="42"/>
    <w:link w:val="102"/>
    <w:qFormat/>
    <w:uiPriority w:val="34"/>
    <w:rPr>
      <w:kern w:val="2"/>
      <w:sz w:val="24"/>
    </w:rPr>
  </w:style>
  <w:style w:type="character" w:customStyle="1" w:styleId="145">
    <w:name w:val="正文缩进 Char"/>
    <w:link w:val="7"/>
    <w:qFormat/>
    <w:uiPriority w:val="99"/>
    <w:rPr>
      <w:kern w:val="2"/>
      <w:sz w:val="24"/>
    </w:rPr>
  </w:style>
  <w:style w:type="paragraph" w:customStyle="1" w:styleId="146">
    <w:name w:val="表6标题"/>
    <w:basedOn w:val="1"/>
    <w:qFormat/>
    <w:uiPriority w:val="0"/>
    <w:pPr>
      <w:numPr>
        <w:ilvl w:val="0"/>
        <w:numId w:val="8"/>
      </w:numPr>
      <w:ind w:left="0" w:leftChars="0" w:firstLine="0" w:firstLineChars="0"/>
    </w:pPr>
  </w:style>
  <w:style w:type="paragraph" w:customStyle="1" w:styleId="147">
    <w:name w:val="样式1-正文"/>
    <w:basedOn w:val="1"/>
    <w:qFormat/>
    <w:uiPriority w:val="0"/>
    <w:pPr>
      <w:ind w:left="0" w:leftChars="0" w:right="0" w:rightChars="0" w:firstLine="480" w:firstLineChars="0"/>
    </w:pPr>
    <w:rPr>
      <w:rFonts w:ascii="宋体" w:hAnsi="宋体"/>
      <w:szCs w:val="24"/>
    </w:rPr>
  </w:style>
  <w:style w:type="character" w:customStyle="1" w:styleId="148">
    <w:name w:val="表5标题 Char"/>
    <w:basedOn w:val="42"/>
    <w:link w:val="149"/>
    <w:qFormat/>
    <w:uiPriority w:val="0"/>
    <w:rPr>
      <w:b/>
      <w:kern w:val="2"/>
      <w:sz w:val="24"/>
      <w:lang w:val="zh-CN" w:eastAsia="zh-CN"/>
    </w:rPr>
  </w:style>
  <w:style w:type="paragraph" w:customStyle="1" w:styleId="149">
    <w:name w:val="表5标题"/>
    <w:basedOn w:val="1"/>
    <w:link w:val="148"/>
    <w:qFormat/>
    <w:uiPriority w:val="0"/>
    <w:pPr>
      <w:ind w:left="0" w:leftChars="0" w:right="0" w:rightChars="0" w:firstLine="0" w:firstLineChars="0"/>
      <w:jc w:val="center"/>
    </w:pPr>
    <w:rPr>
      <w:b/>
      <w:lang w:val="zh-CN"/>
    </w:rPr>
  </w:style>
  <w:style w:type="character" w:customStyle="1" w:styleId="150">
    <w:name w:val="正文缩进 字符"/>
    <w:qFormat/>
    <w:uiPriority w:val="99"/>
    <w:rPr>
      <w:rFonts w:ascii="Calibri" w:hAnsi="Calibri" w:eastAsia="宋体" w:cs="Times New Roman"/>
      <w:sz w:val="24"/>
      <w:szCs w:val="22"/>
    </w:rPr>
  </w:style>
  <w:style w:type="character" w:customStyle="1" w:styleId="151">
    <w:name w:val="图6标题 Char"/>
    <w:link w:val="152"/>
    <w:qFormat/>
    <w:uiPriority w:val="0"/>
    <w:rPr>
      <w:b/>
      <w:kern w:val="2"/>
      <w:sz w:val="24"/>
      <w:lang w:val="zh-CN"/>
    </w:rPr>
  </w:style>
  <w:style w:type="paragraph" w:customStyle="1" w:styleId="152">
    <w:name w:val="图6标题"/>
    <w:basedOn w:val="102"/>
    <w:link w:val="151"/>
    <w:qFormat/>
    <w:uiPriority w:val="0"/>
    <w:pPr>
      <w:numPr>
        <w:ilvl w:val="1"/>
        <w:numId w:val="6"/>
      </w:numPr>
      <w:ind w:left="0" w:leftChars="0" w:right="0" w:rightChars="0" w:firstLine="0" w:firstLineChars="0"/>
      <w:jc w:val="center"/>
    </w:pPr>
    <w:rPr>
      <w:b/>
      <w:lang w:val="zh-CN"/>
    </w:rPr>
  </w:style>
  <w:style w:type="character" w:customStyle="1" w:styleId="153">
    <w:name w:val="标题 Char"/>
    <w:basedOn w:val="42"/>
    <w:link w:val="36"/>
    <w:qFormat/>
    <w:uiPriority w:val="10"/>
    <w:rPr>
      <w:rFonts w:asciiTheme="majorHAnsi" w:hAnsiTheme="majorHAnsi" w:cstheme="majorBidi"/>
      <w:b/>
      <w:bCs/>
      <w:kern w:val="2"/>
      <w:sz w:val="32"/>
      <w:szCs w:val="32"/>
    </w:rPr>
  </w:style>
  <w:style w:type="character" w:customStyle="1" w:styleId="154">
    <w:name w:val="副标题 Char"/>
    <w:basedOn w:val="42"/>
    <w:link w:val="29"/>
    <w:qFormat/>
    <w:uiPriority w:val="11"/>
    <w:rPr>
      <w:rFonts w:asciiTheme="majorHAnsi" w:hAnsiTheme="majorHAnsi" w:cstheme="majorBidi"/>
      <w:b/>
      <w:bCs/>
      <w:kern w:val="28"/>
      <w:sz w:val="32"/>
      <w:szCs w:val="32"/>
    </w:rPr>
  </w:style>
  <w:style w:type="character" w:customStyle="1" w:styleId="155">
    <w:name w:val="标1 Char"/>
    <w:link w:val="156"/>
    <w:qFormat/>
    <w:uiPriority w:val="0"/>
    <w:rPr>
      <w:rFonts w:eastAsia="黑体"/>
      <w:b/>
      <w:bCs/>
      <w:kern w:val="44"/>
      <w:sz w:val="36"/>
      <w:szCs w:val="44"/>
      <w:lang w:val="zh-CN" w:eastAsia="zh-CN"/>
    </w:rPr>
  </w:style>
  <w:style w:type="paragraph" w:customStyle="1" w:styleId="156">
    <w:name w:val="标1"/>
    <w:basedOn w:val="2"/>
    <w:link w:val="155"/>
    <w:qFormat/>
    <w:uiPriority w:val="0"/>
    <w:pPr>
      <w:spacing w:before="200" w:after="340" w:line="240" w:lineRule="auto"/>
      <w:ind w:left="432" w:leftChars="0" w:right="0" w:rightChars="0" w:hanging="432" w:firstLineChars="0"/>
      <w:jc w:val="left"/>
    </w:pPr>
    <w:rPr>
      <w:rFonts w:eastAsia="黑体"/>
      <w:sz w:val="36"/>
      <w:lang w:val="zh-CN"/>
    </w:rPr>
  </w:style>
  <w:style w:type="paragraph" w:customStyle="1" w:styleId="157">
    <w:name w:val="图2-"/>
    <w:basedOn w:val="1"/>
    <w:link w:val="158"/>
    <w:qFormat/>
    <w:uiPriority w:val="0"/>
    <w:pPr>
      <w:ind w:left="0" w:leftChars="0" w:right="0" w:rightChars="0" w:firstLine="0" w:firstLineChars="0"/>
      <w:jc w:val="center"/>
    </w:pPr>
    <w:rPr>
      <w:rFonts w:ascii="宋体" w:hAnsi="宋体"/>
      <w:b/>
      <w:sz w:val="22"/>
      <w:szCs w:val="24"/>
      <w:lang w:bidi="en-US"/>
    </w:rPr>
  </w:style>
  <w:style w:type="character" w:customStyle="1" w:styleId="158">
    <w:name w:val="图2- 字符"/>
    <w:basedOn w:val="42"/>
    <w:link w:val="157"/>
    <w:qFormat/>
    <w:uiPriority w:val="0"/>
    <w:rPr>
      <w:rFonts w:ascii="宋体" w:hAnsi="宋体"/>
      <w:b/>
      <w:kern w:val="2"/>
      <w:sz w:val="22"/>
      <w:szCs w:val="24"/>
      <w:lang w:bidi="en-US"/>
    </w:rPr>
  </w:style>
  <w:style w:type="paragraph" w:customStyle="1" w:styleId="159">
    <w:name w:val="表3-"/>
    <w:basedOn w:val="1"/>
    <w:link w:val="160"/>
    <w:qFormat/>
    <w:uiPriority w:val="0"/>
    <w:pPr>
      <w:numPr>
        <w:ilvl w:val="0"/>
        <w:numId w:val="9"/>
      </w:numPr>
      <w:ind w:left="0" w:leftChars="0" w:right="0" w:rightChars="0" w:firstLine="0" w:firstLineChars="0"/>
      <w:jc w:val="center"/>
    </w:pPr>
    <w:rPr>
      <w:b/>
      <w:sz w:val="22"/>
      <w:szCs w:val="24"/>
    </w:rPr>
  </w:style>
  <w:style w:type="character" w:customStyle="1" w:styleId="160">
    <w:name w:val="表3- 字符"/>
    <w:basedOn w:val="42"/>
    <w:link w:val="159"/>
    <w:qFormat/>
    <w:uiPriority w:val="0"/>
    <w:rPr>
      <w:b/>
      <w:kern w:val="2"/>
      <w:sz w:val="22"/>
      <w:szCs w:val="24"/>
    </w:rPr>
  </w:style>
  <w:style w:type="paragraph" w:customStyle="1" w:styleId="161">
    <w:name w:val="图3-"/>
    <w:basedOn w:val="1"/>
    <w:link w:val="162"/>
    <w:qFormat/>
    <w:uiPriority w:val="0"/>
    <w:pPr>
      <w:numPr>
        <w:ilvl w:val="0"/>
        <w:numId w:val="10"/>
      </w:numPr>
      <w:ind w:left="0" w:leftChars="0" w:right="0" w:rightChars="0" w:firstLine="0" w:firstLineChars="0"/>
      <w:jc w:val="center"/>
    </w:pPr>
    <w:rPr>
      <w:rFonts w:ascii="宋体" w:hAnsi="宋体" w:cs="宋体"/>
      <w:b/>
      <w:color w:val="000000"/>
      <w:kern w:val="0"/>
      <w:sz w:val="22"/>
      <w:szCs w:val="24"/>
    </w:rPr>
  </w:style>
  <w:style w:type="character" w:customStyle="1" w:styleId="162">
    <w:name w:val="图3- 字符"/>
    <w:basedOn w:val="42"/>
    <w:link w:val="161"/>
    <w:qFormat/>
    <w:uiPriority w:val="0"/>
    <w:rPr>
      <w:rFonts w:ascii="宋体" w:hAnsi="宋体" w:cs="宋体"/>
      <w:b/>
      <w:color w:val="000000"/>
      <w:sz w:val="22"/>
      <w:szCs w:val="24"/>
    </w:rPr>
  </w:style>
  <w:style w:type="character" w:styleId="163">
    <w:name w:val="Placeholder Text"/>
    <w:basedOn w:val="42"/>
    <w:unhideWhenUsed/>
    <w:qFormat/>
    <w:uiPriority w:val="99"/>
    <w:rPr>
      <w:color w:val="808080"/>
    </w:rPr>
  </w:style>
  <w:style w:type="paragraph" w:customStyle="1" w:styleId="164">
    <w:name w:val="图2--"/>
    <w:basedOn w:val="1"/>
    <w:qFormat/>
    <w:uiPriority w:val="0"/>
    <w:pPr>
      <w:numPr>
        <w:ilvl w:val="0"/>
        <w:numId w:val="11"/>
      </w:numPr>
    </w:pPr>
  </w:style>
  <w:style w:type="character" w:customStyle="1" w:styleId="165">
    <w:name w:val="标题 5 Char"/>
    <w:basedOn w:val="42"/>
    <w:link w:val="8"/>
    <w:qFormat/>
    <w:uiPriority w:val="0"/>
    <w:rPr>
      <w:b/>
      <w:bCs/>
      <w:kern w:val="2"/>
      <w:sz w:val="28"/>
      <w:szCs w:val="28"/>
    </w:rPr>
  </w:style>
  <w:style w:type="character" w:customStyle="1" w:styleId="166">
    <w:name w:val="正文文本缩进 字符1"/>
    <w:basedOn w:val="42"/>
    <w:semiHidden/>
    <w:qFormat/>
    <w:uiPriority w:val="99"/>
    <w:rPr>
      <w:kern w:val="2"/>
      <w:sz w:val="24"/>
    </w:rPr>
  </w:style>
  <w:style w:type="character" w:customStyle="1" w:styleId="167">
    <w:name w:val="正文文本缩进 3 字符1"/>
    <w:basedOn w:val="42"/>
    <w:semiHidden/>
    <w:qFormat/>
    <w:uiPriority w:val="99"/>
    <w:rPr>
      <w:kern w:val="2"/>
      <w:sz w:val="16"/>
      <w:szCs w:val="16"/>
    </w:rPr>
  </w:style>
  <w:style w:type="character" w:customStyle="1" w:styleId="168">
    <w:name w:val="正文文本 字符1"/>
    <w:basedOn w:val="42"/>
    <w:semiHidden/>
    <w:qFormat/>
    <w:uiPriority w:val="99"/>
    <w:rPr>
      <w:kern w:val="2"/>
      <w:sz w:val="24"/>
    </w:rPr>
  </w:style>
  <w:style w:type="character" w:customStyle="1" w:styleId="169">
    <w:name w:val="正文首行缩进 字符1"/>
    <w:basedOn w:val="168"/>
    <w:semiHidden/>
    <w:qFormat/>
    <w:uiPriority w:val="99"/>
    <w:rPr>
      <w:kern w:val="2"/>
      <w:sz w:val="24"/>
    </w:rPr>
  </w:style>
  <w:style w:type="character" w:customStyle="1" w:styleId="170">
    <w:name w:val="批注框文本 字符1"/>
    <w:basedOn w:val="42"/>
    <w:semiHidden/>
    <w:qFormat/>
    <w:uiPriority w:val="99"/>
    <w:rPr>
      <w:kern w:val="2"/>
      <w:sz w:val="18"/>
      <w:szCs w:val="18"/>
    </w:rPr>
  </w:style>
  <w:style w:type="character" w:customStyle="1" w:styleId="171">
    <w:name w:val="日期 字符1"/>
    <w:basedOn w:val="42"/>
    <w:semiHidden/>
    <w:qFormat/>
    <w:uiPriority w:val="99"/>
    <w:rPr>
      <w:kern w:val="2"/>
      <w:sz w:val="24"/>
    </w:rPr>
  </w:style>
  <w:style w:type="character" w:customStyle="1" w:styleId="172">
    <w:name w:val="页眉 字符1"/>
    <w:basedOn w:val="42"/>
    <w:semiHidden/>
    <w:qFormat/>
    <w:uiPriority w:val="99"/>
    <w:rPr>
      <w:kern w:val="2"/>
      <w:sz w:val="18"/>
      <w:szCs w:val="18"/>
    </w:rPr>
  </w:style>
  <w:style w:type="character" w:customStyle="1" w:styleId="173">
    <w:name w:val="页脚 字符1"/>
    <w:basedOn w:val="42"/>
    <w:semiHidden/>
    <w:qFormat/>
    <w:uiPriority w:val="99"/>
    <w:rPr>
      <w:kern w:val="2"/>
      <w:sz w:val="18"/>
      <w:szCs w:val="18"/>
    </w:rPr>
  </w:style>
  <w:style w:type="character" w:customStyle="1" w:styleId="174">
    <w:name w:val="批注文字 字符1"/>
    <w:basedOn w:val="42"/>
    <w:semiHidden/>
    <w:qFormat/>
    <w:uiPriority w:val="99"/>
    <w:rPr>
      <w:kern w:val="2"/>
      <w:sz w:val="24"/>
    </w:rPr>
  </w:style>
  <w:style w:type="character" w:customStyle="1" w:styleId="175">
    <w:name w:val="批注主题 字符1"/>
    <w:basedOn w:val="174"/>
    <w:semiHidden/>
    <w:qFormat/>
    <w:uiPriority w:val="99"/>
    <w:rPr>
      <w:b/>
      <w:bCs/>
      <w:kern w:val="2"/>
      <w:sz w:val="24"/>
    </w:rPr>
  </w:style>
  <w:style w:type="character" w:customStyle="1" w:styleId="176">
    <w:name w:val="正文文本缩进 2 字符1"/>
    <w:basedOn w:val="42"/>
    <w:semiHidden/>
    <w:qFormat/>
    <w:uiPriority w:val="99"/>
    <w:rPr>
      <w:kern w:val="2"/>
      <w:sz w:val="24"/>
    </w:rPr>
  </w:style>
  <w:style w:type="character" w:customStyle="1" w:styleId="177">
    <w:name w:val="文档结构图 字符1"/>
    <w:basedOn w:val="42"/>
    <w:semiHidden/>
    <w:qFormat/>
    <w:uiPriority w:val="99"/>
    <w:rPr>
      <w:rFonts w:ascii="Microsoft YaHei UI" w:eastAsia="Microsoft YaHei UI"/>
      <w:kern w:val="2"/>
      <w:sz w:val="18"/>
      <w:szCs w:val="18"/>
    </w:rPr>
  </w:style>
  <w:style w:type="character" w:customStyle="1" w:styleId="178">
    <w:name w:val="脚注文本 Char"/>
    <w:basedOn w:val="42"/>
    <w:link w:val="30"/>
    <w:qFormat/>
    <w:uiPriority w:val="99"/>
    <w:rPr>
      <w:sz w:val="18"/>
    </w:rPr>
  </w:style>
  <w:style w:type="table" w:customStyle="1" w:styleId="179">
    <w:name w:val="网格型1"/>
    <w:basedOn w:val="39"/>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BD68D1-DEC9-4524-86F2-308559AE974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87</Pages>
  <Words>50500</Words>
  <Characters>52635</Characters>
  <Lines>414</Lines>
  <Paragraphs>116</Paragraphs>
  <TotalTime>2</TotalTime>
  <ScaleCrop>false</ScaleCrop>
  <LinksUpToDate>false</LinksUpToDate>
  <CharactersWithSpaces>52825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2022-11-03T09:19:00Z</dcterms:created>
  <dc:creator>bill</dc:creator>
  <cp:lastModifiedBy>WPS_1476272118</cp:lastModifiedBy>
  <cp:lastPrinted>2022-11-04T02:56:12Z</cp:lastPrinted>
  <dcterms:modified xsi:type="dcterms:W3CDTF">2022-11-04T03:28:15Z</dcterms:modified>
  <dc:title>项目名称：专项规划</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119C039BAADF4082BE0B65D75250288D</vt:lpwstr>
  </property>
</Properties>
</file>