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34"/>
        </w:tabs>
        <w:spacing w:line="240" w:lineRule="auto"/>
        <w:ind w:firstLine="0" w:firstLineChars="0"/>
        <w:jc w:val="center"/>
        <w:rPr>
          <w:rFonts w:ascii="方正小标宋简体" w:hAnsi="方正小标宋简体" w:eastAsia="方正小标宋简体" w:cs="方正小标宋简体"/>
          <w:color w:val="auto"/>
          <w:sz w:val="44"/>
          <w:szCs w:val="44"/>
        </w:rPr>
      </w:pPr>
      <w:bookmarkStart w:id="0" w:name="_Hlk111070013"/>
      <w:bookmarkEnd w:id="0"/>
    </w:p>
    <w:p>
      <w:pPr>
        <w:tabs>
          <w:tab w:val="left" w:pos="6134"/>
        </w:tabs>
        <w:spacing w:line="240" w:lineRule="auto"/>
        <w:ind w:firstLine="0" w:firstLineChars="0"/>
        <w:jc w:val="center"/>
        <w:rPr>
          <w:rFonts w:ascii="方正小标宋简体" w:hAnsi="方正小标宋简体" w:eastAsia="方正小标宋简体" w:cs="方正小标宋简体"/>
          <w:color w:val="auto"/>
          <w:sz w:val="44"/>
          <w:szCs w:val="44"/>
        </w:rPr>
      </w:pPr>
    </w:p>
    <w:p>
      <w:pPr>
        <w:tabs>
          <w:tab w:val="left" w:pos="6134"/>
        </w:tabs>
        <w:spacing w:line="240" w:lineRule="auto"/>
        <w:ind w:firstLine="0" w:firstLineChars="0"/>
        <w:jc w:val="center"/>
        <w:rPr>
          <w:rFonts w:ascii="方正小标宋简体" w:hAnsi="方正小标宋简体" w:eastAsia="方正小标宋简体" w:cs="方正小标宋简体"/>
          <w:color w:val="auto"/>
          <w:sz w:val="44"/>
          <w:szCs w:val="44"/>
        </w:rPr>
      </w:pPr>
    </w:p>
    <w:p>
      <w:pPr>
        <w:tabs>
          <w:tab w:val="left" w:pos="6134"/>
        </w:tabs>
        <w:spacing w:line="240" w:lineRule="auto"/>
        <w:ind w:firstLine="0" w:firstLineChars="0"/>
        <w:jc w:val="center"/>
        <w:rPr>
          <w:rFonts w:ascii="方正小标宋简体" w:hAnsi="方正小标宋简体" w:eastAsia="方正小标宋简体" w:cs="方正小标宋简体"/>
          <w:color w:val="auto"/>
          <w:sz w:val="44"/>
          <w:szCs w:val="44"/>
        </w:rPr>
      </w:pPr>
    </w:p>
    <w:p>
      <w:pPr>
        <w:tabs>
          <w:tab w:val="left" w:pos="6134"/>
        </w:tabs>
        <w:spacing w:line="240" w:lineRule="auto"/>
        <w:ind w:firstLine="0" w:firstLineChars="0"/>
        <w:jc w:val="center"/>
        <w:rPr>
          <w:rFonts w:ascii="方正小标宋简体" w:hAnsi="方正小标宋简体" w:eastAsia="方正小标宋简体" w:cs="方正小标宋简体"/>
          <w:color w:val="auto"/>
          <w:sz w:val="44"/>
          <w:szCs w:val="44"/>
        </w:rPr>
      </w:pPr>
    </w:p>
    <w:p>
      <w:pPr>
        <w:tabs>
          <w:tab w:val="left" w:pos="6134"/>
        </w:tabs>
        <w:spacing w:line="240" w:lineRule="auto"/>
        <w:ind w:firstLine="0" w:firstLineChars="0"/>
        <w:jc w:val="center"/>
        <w:rPr>
          <w:rFonts w:ascii="黑体" w:hAnsi="黑体" w:eastAsia="黑体" w:cs="Mongolian Baiti"/>
          <w:b/>
          <w:bCs/>
          <w:color w:val="auto"/>
          <w:sz w:val="52"/>
          <w:szCs w:val="52"/>
        </w:rPr>
      </w:pPr>
      <w:r>
        <w:rPr>
          <w:rFonts w:hint="eastAsia" w:ascii="黑体" w:hAnsi="黑体" w:eastAsia="黑体" w:cs="Mongolian Baiti"/>
          <w:b/>
          <w:bCs/>
          <w:color w:val="auto"/>
          <w:sz w:val="52"/>
          <w:szCs w:val="52"/>
        </w:rPr>
        <w:t>汕尾市新型城镇化规划</w:t>
      </w:r>
    </w:p>
    <w:p>
      <w:pPr>
        <w:pStyle w:val="7"/>
        <w:spacing w:before="217" w:beforeLines="50"/>
        <w:ind w:firstLine="0" w:firstLineChars="0"/>
        <w:jc w:val="center"/>
        <w:rPr>
          <w:rFonts w:eastAsia="黑体"/>
          <w:b/>
          <w:bCs/>
          <w:sz w:val="36"/>
          <w:szCs w:val="36"/>
        </w:rPr>
      </w:pPr>
      <w:r>
        <w:rPr>
          <w:rFonts w:hint="eastAsia" w:eastAsia="黑体"/>
          <w:b/>
          <w:bCs/>
          <w:sz w:val="36"/>
          <w:szCs w:val="36"/>
        </w:rPr>
        <w:t>（2</w:t>
      </w:r>
      <w:r>
        <w:rPr>
          <w:rFonts w:eastAsia="黑体"/>
          <w:b/>
          <w:bCs/>
          <w:sz w:val="36"/>
          <w:szCs w:val="36"/>
        </w:rPr>
        <w:t>022-2035</w:t>
      </w:r>
      <w:r>
        <w:rPr>
          <w:rFonts w:hint="eastAsia" w:eastAsia="黑体"/>
          <w:b/>
          <w:bCs/>
          <w:sz w:val="36"/>
          <w:szCs w:val="36"/>
        </w:rPr>
        <w:t>年）</w:t>
      </w:r>
    </w:p>
    <w:p>
      <w:pPr>
        <w:pStyle w:val="11"/>
        <w:spacing w:line="560" w:lineRule="exact"/>
        <w:jc w:val="center"/>
        <w:rPr>
          <w:rFonts w:ascii="Times New Roman" w:hAnsi="Times New Roman" w:eastAsia="方正小标宋简体" w:cs="Times New Roman"/>
          <w:kern w:val="0"/>
          <w:sz w:val="44"/>
          <w:szCs w:val="44"/>
        </w:rPr>
      </w:pPr>
    </w:p>
    <w:p>
      <w:pPr>
        <w:tabs>
          <w:tab w:val="left" w:pos="6134"/>
        </w:tabs>
        <w:ind w:firstLine="0" w:firstLineChars="0"/>
        <w:jc w:val="center"/>
        <w:rPr>
          <w:rFonts w:ascii="黑体" w:hAnsi="黑体" w:eastAsia="黑体" w:cs="Mongolian Baiti"/>
          <w:b/>
          <w:bCs/>
          <w:color w:val="auto"/>
          <w:sz w:val="56"/>
          <w:szCs w:val="56"/>
        </w:rPr>
      </w:pPr>
      <w:r>
        <w:rPr>
          <w:rFonts w:hint="eastAsia" w:ascii="楷体_GB2312" w:hAnsi="楷体_GB2312" w:eastAsia="楷体_GB2312" w:cs="楷体_GB2312"/>
          <w:color w:val="auto"/>
          <w:sz w:val="36"/>
          <w:szCs w:val="36"/>
        </w:rPr>
        <w:t>（</w:t>
      </w:r>
      <w:r>
        <w:rPr>
          <w:rFonts w:hint="eastAsia" w:ascii="楷体_GB2312" w:hAnsi="楷体_GB2312" w:eastAsia="楷体_GB2312" w:cs="楷体_GB2312"/>
          <w:color w:val="auto"/>
          <w:sz w:val="36"/>
          <w:szCs w:val="36"/>
          <w:lang w:val="en-US" w:eastAsia="zh-CN"/>
        </w:rPr>
        <w:t>征求意见</w:t>
      </w:r>
      <w:bookmarkStart w:id="87" w:name="_GoBack"/>
      <w:bookmarkEnd w:id="87"/>
      <w:r>
        <w:rPr>
          <w:rFonts w:hint="eastAsia" w:ascii="楷体_GB2312" w:hAnsi="楷体_GB2312" w:eastAsia="楷体_GB2312" w:cs="楷体_GB2312"/>
          <w:color w:val="auto"/>
          <w:sz w:val="36"/>
          <w:szCs w:val="36"/>
        </w:rPr>
        <w:t>稿）</w:t>
      </w:r>
    </w:p>
    <w:p>
      <w:pPr>
        <w:ind w:firstLine="640"/>
        <w:rPr>
          <w:rFonts w:ascii="黑体" w:hAnsi="黑体" w:eastAsia="黑体" w:cs="Mongolian Baiti"/>
          <w:color w:val="auto"/>
        </w:rPr>
      </w:pPr>
    </w:p>
    <w:p>
      <w:pPr>
        <w:ind w:firstLine="640"/>
        <w:rPr>
          <w:rFonts w:ascii="黑体" w:hAnsi="黑体" w:eastAsia="黑体" w:cs="Mongolian Baiti"/>
          <w:color w:val="auto"/>
        </w:rPr>
      </w:pPr>
    </w:p>
    <w:p>
      <w:pPr>
        <w:ind w:firstLine="640"/>
        <w:rPr>
          <w:rFonts w:ascii="黑体" w:hAnsi="黑体" w:eastAsia="黑体" w:cs="Mongolian Baiti"/>
          <w:color w:val="auto"/>
        </w:rPr>
      </w:pPr>
    </w:p>
    <w:p>
      <w:pPr>
        <w:ind w:firstLine="640"/>
        <w:rPr>
          <w:rFonts w:ascii="黑体" w:hAnsi="黑体" w:eastAsia="黑体" w:cs="Mongolian Baiti"/>
          <w:color w:val="auto"/>
        </w:rPr>
      </w:pPr>
    </w:p>
    <w:p>
      <w:pPr>
        <w:ind w:firstLine="640"/>
        <w:rPr>
          <w:rFonts w:ascii="黑体" w:hAnsi="黑体" w:eastAsia="黑体" w:cs="Mongolian Baiti"/>
          <w:color w:val="auto"/>
        </w:rPr>
      </w:pPr>
    </w:p>
    <w:p>
      <w:pPr>
        <w:ind w:firstLine="640"/>
        <w:rPr>
          <w:rFonts w:ascii="黑体" w:hAnsi="黑体" w:eastAsia="黑体" w:cs="Mongolian Baiti"/>
          <w:color w:val="auto"/>
        </w:rPr>
      </w:pPr>
    </w:p>
    <w:p>
      <w:pPr>
        <w:ind w:firstLine="640"/>
        <w:rPr>
          <w:rFonts w:ascii="黑体" w:hAnsi="黑体" w:eastAsia="黑体" w:cs="Mongolian Baiti"/>
          <w:color w:val="auto"/>
        </w:rPr>
      </w:pPr>
    </w:p>
    <w:p>
      <w:pPr>
        <w:ind w:firstLine="640"/>
        <w:rPr>
          <w:rFonts w:ascii="黑体" w:hAnsi="黑体" w:eastAsia="黑体" w:cs="Mongolian Baiti"/>
          <w:color w:val="auto"/>
        </w:rPr>
      </w:pPr>
    </w:p>
    <w:p>
      <w:pPr>
        <w:ind w:firstLine="640"/>
        <w:rPr>
          <w:rFonts w:ascii="黑体" w:hAnsi="黑体" w:eastAsia="黑体" w:cs="Mongolian Baiti"/>
          <w:color w:val="auto"/>
        </w:rPr>
      </w:pPr>
    </w:p>
    <w:p>
      <w:pPr>
        <w:ind w:firstLine="640"/>
        <w:rPr>
          <w:rFonts w:ascii="黑体" w:hAnsi="黑体" w:eastAsia="黑体" w:cs="Mongolian Baiti"/>
          <w:color w:val="auto"/>
        </w:rPr>
      </w:pPr>
    </w:p>
    <w:p>
      <w:pPr>
        <w:widowControl/>
        <w:ind w:firstLine="0" w:firstLineChars="0"/>
        <w:jc w:val="center"/>
        <w:rPr>
          <w:rFonts w:ascii="方正小标宋简体" w:eastAsia="方正小标宋简体"/>
          <w:sz w:val="44"/>
        </w:rPr>
        <w:sectPr>
          <w:headerReference r:id="rId5" w:type="first"/>
          <w:footerReference r:id="rId8" w:type="first"/>
          <w:headerReference r:id="rId3" w:type="default"/>
          <w:footerReference r:id="rId6" w:type="default"/>
          <w:headerReference r:id="rId4" w:type="even"/>
          <w:footerReference r:id="rId7" w:type="even"/>
          <w:type w:val="evenPage"/>
          <w:pgSz w:w="11906" w:h="16838"/>
          <w:pgMar w:top="2098" w:right="1474" w:bottom="1985" w:left="1588" w:header="794" w:footer="1588" w:gutter="0"/>
          <w:pgNumType w:fmt="upperRoman" w:start="1"/>
          <w:cols w:space="0" w:num="1"/>
          <w:docGrid w:type="lines" w:linePitch="435" w:charSpace="0"/>
        </w:sectPr>
      </w:pPr>
      <w:r>
        <w:rPr>
          <w:rFonts w:hint="eastAsia" w:eastAsia="黑体" w:cs="Mongolian Baiti"/>
          <w:color w:val="auto"/>
        </w:rPr>
        <w:t>2022年</w:t>
      </w:r>
      <w:r>
        <w:rPr>
          <w:rFonts w:eastAsia="黑体" w:cs="Mongolian Baiti"/>
          <w:color w:val="auto"/>
        </w:rPr>
        <w:t>10</w:t>
      </w:r>
      <w:r>
        <w:rPr>
          <w:rFonts w:hint="eastAsia" w:eastAsia="黑体" w:cs="Mongolian Baiti"/>
          <w:color w:val="auto"/>
        </w:rPr>
        <w:t>月</w:t>
      </w:r>
      <w:bookmarkStart w:id="1" w:name="_Toc99619140"/>
      <w:bookmarkStart w:id="2" w:name="_Toc100159542"/>
      <w:bookmarkStart w:id="3" w:name="_Toc99659430"/>
    </w:p>
    <w:bookmarkEnd w:id="1"/>
    <w:bookmarkEnd w:id="2"/>
    <w:bookmarkEnd w:id="3"/>
    <w:p>
      <w:pPr>
        <w:ind w:firstLine="640"/>
        <w:sectPr>
          <w:footerReference r:id="rId9" w:type="default"/>
          <w:footerReference r:id="rId10" w:type="even"/>
          <w:type w:val="continuous"/>
          <w:pgSz w:w="11906" w:h="16838"/>
          <w:pgMar w:top="2098" w:right="1474" w:bottom="1985" w:left="1588" w:header="794" w:footer="1588" w:gutter="0"/>
          <w:pgNumType w:start="0"/>
          <w:cols w:space="0" w:num="1"/>
          <w:docGrid w:type="lines" w:linePitch="435" w:charSpace="0"/>
        </w:sectPr>
      </w:pPr>
    </w:p>
    <w:sdt>
      <w:sdtPr>
        <w:rPr>
          <w:rFonts w:ascii="Times New Roman" w:hAnsi="Times New Roman" w:eastAsia="仿宋_GB2312" w:cs="Times New Roman"/>
          <w:color w:val="000000"/>
          <w:kern w:val="2"/>
          <w:lang w:val="en-US" w:bidi="ar-SA"/>
        </w:rPr>
        <w:id w:val="-1595629002"/>
        <w:docPartObj>
          <w:docPartGallery w:val="Table of Contents"/>
          <w:docPartUnique/>
        </w:docPartObj>
      </w:sdtPr>
      <w:sdtEndPr>
        <w:rPr>
          <w:rFonts w:ascii="Times New Roman" w:hAnsi="Times New Roman" w:eastAsia="仿宋_GB2312" w:cs="Times New Roman"/>
          <w:b/>
          <w:bCs/>
          <w:color w:val="000000"/>
          <w:kern w:val="2"/>
          <w:lang w:val="en-US" w:bidi="ar-SA"/>
        </w:rPr>
      </w:sdtEndPr>
      <w:sdtContent>
        <w:p>
          <w:pPr>
            <w:pStyle w:val="78"/>
            <w:rPr>
              <w:rFonts w:ascii="黑体" w:hAnsi="黑体" w:eastAsia="黑体"/>
              <w:color w:val="auto"/>
            </w:rPr>
          </w:pPr>
          <w:r>
            <w:rPr>
              <w:rFonts w:ascii="黑体" w:hAnsi="黑体" w:eastAsia="黑体"/>
              <w:color w:val="auto"/>
            </w:rPr>
            <w:t>目</w:t>
          </w:r>
          <w:r>
            <w:rPr>
              <w:rFonts w:hint="eastAsia" w:ascii="黑体" w:hAnsi="黑体" w:eastAsia="黑体"/>
              <w:color w:val="auto"/>
            </w:rPr>
            <w:t xml:space="preserve"> </w:t>
          </w:r>
          <w:r>
            <w:rPr>
              <w:rFonts w:ascii="黑体" w:hAnsi="黑体" w:eastAsia="黑体"/>
              <w:color w:val="auto"/>
            </w:rPr>
            <w:t xml:space="preserve"> 录</w:t>
          </w:r>
        </w:p>
        <w:p>
          <w:pPr>
            <w:pStyle w:val="18"/>
            <w:rPr>
              <w:rStyle w:val="32"/>
              <w:rFonts w:eastAsia="黑体"/>
              <w:sz w:val="24"/>
              <w:szCs w:val="24"/>
              <w:lang w:val="zh-CN"/>
            </w:rPr>
          </w:pPr>
          <w:r>
            <w:fldChar w:fldCharType="begin"/>
          </w:r>
          <w:r>
            <w:instrText xml:space="preserve"> TOC \o "1-3" \h \z \u </w:instrText>
          </w:r>
          <w:r>
            <w:fldChar w:fldCharType="separate"/>
          </w:r>
          <w:r>
            <w:fldChar w:fldCharType="begin"/>
          </w:r>
          <w:r>
            <w:instrText xml:space="preserve"> HYPERLINK \l "_Toc116065976" </w:instrText>
          </w:r>
          <w:r>
            <w:fldChar w:fldCharType="separate"/>
          </w:r>
          <w:r>
            <w:rPr>
              <w:rStyle w:val="32"/>
              <w:rFonts w:eastAsia="黑体"/>
              <w:b w:val="0"/>
              <w:sz w:val="24"/>
              <w:szCs w:val="24"/>
              <w:lang w:val="zh-CN"/>
            </w:rPr>
            <w:t>第一章 发展基础</w:t>
          </w:r>
          <w:r>
            <w:rPr>
              <w:rStyle w:val="32"/>
              <w:rFonts w:eastAsia="黑体"/>
              <w:b w:val="0"/>
              <w:sz w:val="24"/>
              <w:szCs w:val="24"/>
              <w:lang w:val="zh-CN"/>
            </w:rPr>
            <w:tab/>
          </w:r>
          <w:r>
            <w:rPr>
              <w:rStyle w:val="32"/>
              <w:rFonts w:eastAsia="黑体"/>
              <w:b w:val="0"/>
              <w:sz w:val="24"/>
              <w:szCs w:val="24"/>
              <w:lang w:val="zh-CN"/>
            </w:rPr>
            <w:fldChar w:fldCharType="begin"/>
          </w:r>
          <w:r>
            <w:rPr>
              <w:rStyle w:val="32"/>
              <w:rFonts w:eastAsia="黑体"/>
              <w:b w:val="0"/>
              <w:sz w:val="24"/>
              <w:szCs w:val="24"/>
              <w:lang w:val="zh-CN"/>
            </w:rPr>
            <w:instrText xml:space="preserve"> PAGEREF _Toc116065976 \h </w:instrText>
          </w:r>
          <w:r>
            <w:rPr>
              <w:rStyle w:val="32"/>
              <w:rFonts w:eastAsia="黑体"/>
              <w:b w:val="0"/>
              <w:sz w:val="24"/>
              <w:szCs w:val="24"/>
              <w:lang w:val="zh-CN"/>
            </w:rPr>
            <w:fldChar w:fldCharType="separate"/>
          </w:r>
          <w:r>
            <w:rPr>
              <w:rStyle w:val="32"/>
              <w:rFonts w:eastAsia="黑体"/>
              <w:b w:val="0"/>
              <w:sz w:val="24"/>
              <w:szCs w:val="24"/>
              <w:lang w:val="zh-CN"/>
            </w:rPr>
            <w:t>1</w:t>
          </w:r>
          <w:r>
            <w:rPr>
              <w:rStyle w:val="32"/>
              <w:rFonts w:eastAsia="黑体"/>
              <w:b w:val="0"/>
              <w:sz w:val="24"/>
              <w:szCs w:val="24"/>
              <w:lang w:val="zh-CN"/>
            </w:rPr>
            <w:fldChar w:fldCharType="end"/>
          </w:r>
          <w:r>
            <w:rPr>
              <w:rStyle w:val="32"/>
              <w:rFonts w:eastAsia="黑体"/>
              <w:b w:val="0"/>
              <w:sz w:val="24"/>
              <w:szCs w:val="24"/>
              <w:lang w:val="zh-CN"/>
            </w:rPr>
            <w:fldChar w:fldCharType="end"/>
          </w:r>
        </w:p>
        <w:p>
          <w:pPr>
            <w:pStyle w:val="21"/>
            <w:rPr>
              <w:rStyle w:val="32"/>
              <w:rFonts w:eastAsia="楷体_GB2312"/>
              <w:spacing w:val="-8"/>
              <w:sz w:val="24"/>
              <w:szCs w:val="24"/>
            </w:rPr>
          </w:pPr>
          <w:r>
            <w:fldChar w:fldCharType="begin"/>
          </w:r>
          <w:r>
            <w:instrText xml:space="preserve"> HYPERLINK \l "_Toc116065977" </w:instrText>
          </w:r>
          <w:r>
            <w:fldChar w:fldCharType="separate"/>
          </w:r>
          <w:r>
            <w:rPr>
              <w:rStyle w:val="32"/>
              <w:rFonts w:eastAsia="楷体_GB2312"/>
              <w:spacing w:val="-8"/>
              <w:sz w:val="24"/>
              <w:szCs w:val="24"/>
            </w:rPr>
            <w:t>第一节 发展成就</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_Toc116065977 \h </w:instrText>
          </w:r>
          <w:r>
            <w:rPr>
              <w:rStyle w:val="32"/>
              <w:rFonts w:eastAsia="楷体_GB2312"/>
              <w:spacing w:val="-8"/>
              <w:sz w:val="24"/>
              <w:szCs w:val="24"/>
            </w:rPr>
            <w:fldChar w:fldCharType="separate"/>
          </w:r>
          <w:r>
            <w:rPr>
              <w:rStyle w:val="32"/>
              <w:rFonts w:eastAsia="楷体_GB2312"/>
              <w:spacing w:val="-8"/>
              <w:sz w:val="24"/>
              <w:szCs w:val="24"/>
            </w:rPr>
            <w:t>1</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"_Toc116065978" </w:instrText>
          </w:r>
          <w:r>
            <w:fldChar w:fldCharType="separate"/>
          </w:r>
          <w:r>
            <w:rPr>
              <w:rStyle w:val="32"/>
              <w:rFonts w:eastAsia="楷体_GB2312"/>
              <w:spacing w:val="-8"/>
              <w:sz w:val="24"/>
              <w:szCs w:val="24"/>
            </w:rPr>
            <w:t>第二节 存在问题</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_Toc116065978 \h </w:instrText>
          </w:r>
          <w:r>
            <w:rPr>
              <w:rStyle w:val="32"/>
              <w:rFonts w:eastAsia="楷体_GB2312"/>
              <w:spacing w:val="-8"/>
              <w:sz w:val="24"/>
              <w:szCs w:val="24"/>
            </w:rPr>
            <w:fldChar w:fldCharType="separate"/>
          </w:r>
          <w:r>
            <w:rPr>
              <w:rStyle w:val="32"/>
              <w:rFonts w:eastAsia="楷体_GB2312"/>
              <w:spacing w:val="-8"/>
              <w:sz w:val="24"/>
              <w:szCs w:val="24"/>
            </w:rPr>
            <w:t>4</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"_Toc116065979" </w:instrText>
          </w:r>
          <w:r>
            <w:fldChar w:fldCharType="separate"/>
          </w:r>
          <w:r>
            <w:rPr>
              <w:rStyle w:val="32"/>
              <w:rFonts w:eastAsia="楷体_GB2312"/>
              <w:spacing w:val="-8"/>
              <w:sz w:val="24"/>
              <w:szCs w:val="24"/>
            </w:rPr>
            <w:t>第三节 发展态势</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_Toc116065979 \h </w:instrText>
          </w:r>
          <w:r>
            <w:rPr>
              <w:rStyle w:val="32"/>
              <w:rFonts w:eastAsia="楷体_GB2312"/>
              <w:spacing w:val="-8"/>
              <w:sz w:val="24"/>
              <w:szCs w:val="24"/>
            </w:rPr>
            <w:fldChar w:fldCharType="separate"/>
          </w:r>
          <w:r>
            <w:rPr>
              <w:rStyle w:val="32"/>
              <w:rFonts w:eastAsia="楷体_GB2312"/>
              <w:spacing w:val="-8"/>
              <w:sz w:val="24"/>
              <w:szCs w:val="24"/>
            </w:rPr>
            <w:t>7</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18"/>
            <w:rPr>
              <w:rStyle w:val="32"/>
              <w:rFonts w:eastAsia="黑体"/>
              <w:b w:val="0"/>
              <w:sz w:val="24"/>
              <w:szCs w:val="24"/>
              <w:lang w:val="zh-CN"/>
            </w:rPr>
          </w:pPr>
          <w:r>
            <w:fldChar w:fldCharType="begin"/>
          </w:r>
          <w:r>
            <w:instrText xml:space="preserve"> HYPERLINK \l "_Toc116065980" </w:instrText>
          </w:r>
          <w:r>
            <w:fldChar w:fldCharType="separate"/>
          </w:r>
          <w:r>
            <w:rPr>
              <w:rStyle w:val="32"/>
              <w:rFonts w:eastAsia="黑体"/>
              <w:b w:val="0"/>
              <w:sz w:val="24"/>
              <w:szCs w:val="24"/>
              <w:lang w:val="zh-CN"/>
            </w:rPr>
            <w:t>第二章 总体要求</w:t>
          </w:r>
          <w:r>
            <w:rPr>
              <w:rStyle w:val="32"/>
              <w:rFonts w:eastAsia="黑体"/>
              <w:b w:val="0"/>
              <w:sz w:val="24"/>
              <w:szCs w:val="24"/>
              <w:lang w:val="zh-CN"/>
            </w:rPr>
            <w:tab/>
          </w:r>
          <w:r>
            <w:rPr>
              <w:rStyle w:val="32"/>
              <w:rFonts w:eastAsia="黑体"/>
              <w:b w:val="0"/>
              <w:sz w:val="24"/>
              <w:szCs w:val="24"/>
              <w:lang w:val="zh-CN"/>
            </w:rPr>
            <w:fldChar w:fldCharType="begin"/>
          </w:r>
          <w:r>
            <w:rPr>
              <w:rStyle w:val="32"/>
              <w:rFonts w:eastAsia="黑体"/>
              <w:b w:val="0"/>
              <w:sz w:val="24"/>
              <w:szCs w:val="24"/>
              <w:lang w:val="zh-CN"/>
            </w:rPr>
            <w:instrText xml:space="preserve"> PAGEREF _Toc116065980 \h </w:instrText>
          </w:r>
          <w:r>
            <w:rPr>
              <w:rStyle w:val="32"/>
              <w:rFonts w:eastAsia="黑体"/>
              <w:b w:val="0"/>
              <w:sz w:val="24"/>
              <w:szCs w:val="24"/>
              <w:lang w:val="zh-CN"/>
            </w:rPr>
            <w:fldChar w:fldCharType="separate"/>
          </w:r>
          <w:r>
            <w:rPr>
              <w:rStyle w:val="32"/>
              <w:rFonts w:eastAsia="黑体"/>
              <w:b w:val="0"/>
              <w:sz w:val="24"/>
              <w:szCs w:val="24"/>
              <w:lang w:val="zh-CN"/>
            </w:rPr>
            <w:t>10</w:t>
          </w:r>
          <w:r>
            <w:rPr>
              <w:rStyle w:val="32"/>
              <w:rFonts w:eastAsia="黑体"/>
              <w:b w:val="0"/>
              <w:sz w:val="24"/>
              <w:szCs w:val="24"/>
              <w:lang w:val="zh-CN"/>
            </w:rPr>
            <w:fldChar w:fldCharType="end"/>
          </w:r>
          <w:r>
            <w:rPr>
              <w:rStyle w:val="32"/>
              <w:rFonts w:eastAsia="黑体"/>
              <w:b w:val="0"/>
              <w:sz w:val="24"/>
              <w:szCs w:val="24"/>
              <w:lang w:val="zh-CN"/>
            </w:rPr>
            <w:fldChar w:fldCharType="end"/>
          </w:r>
        </w:p>
        <w:p>
          <w:pPr>
            <w:pStyle w:val="21"/>
            <w:rPr>
              <w:rStyle w:val="32"/>
              <w:rFonts w:eastAsia="楷体_GB2312"/>
              <w:spacing w:val="-8"/>
              <w:sz w:val="24"/>
              <w:szCs w:val="24"/>
            </w:rPr>
          </w:pPr>
          <w:r>
            <w:fldChar w:fldCharType="begin"/>
          </w:r>
          <w:r>
            <w:instrText xml:space="preserve"> HYPERLINK \l "_Toc116065981" </w:instrText>
          </w:r>
          <w:r>
            <w:fldChar w:fldCharType="separate"/>
          </w:r>
          <w:r>
            <w:rPr>
              <w:rStyle w:val="32"/>
              <w:rFonts w:eastAsia="楷体_GB2312"/>
              <w:spacing w:val="-8"/>
              <w:sz w:val="24"/>
              <w:szCs w:val="24"/>
            </w:rPr>
            <w:t>第一节 指导思想</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_Toc116065981 \h </w:instrText>
          </w:r>
          <w:r>
            <w:rPr>
              <w:rStyle w:val="32"/>
              <w:rFonts w:eastAsia="楷体_GB2312"/>
              <w:spacing w:val="-8"/>
              <w:sz w:val="24"/>
              <w:szCs w:val="24"/>
            </w:rPr>
            <w:fldChar w:fldCharType="separate"/>
          </w:r>
          <w:r>
            <w:rPr>
              <w:rStyle w:val="32"/>
              <w:rFonts w:eastAsia="楷体_GB2312"/>
              <w:spacing w:val="-8"/>
              <w:sz w:val="24"/>
              <w:szCs w:val="24"/>
            </w:rPr>
            <w:t>10</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"_Toc116065982" </w:instrText>
          </w:r>
          <w:r>
            <w:fldChar w:fldCharType="separate"/>
          </w:r>
          <w:r>
            <w:rPr>
              <w:rStyle w:val="32"/>
              <w:rFonts w:eastAsia="楷体_GB2312"/>
              <w:spacing w:val="-8"/>
              <w:sz w:val="24"/>
              <w:szCs w:val="24"/>
            </w:rPr>
            <w:t>第二节 基本原则</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_Toc116065982 \h </w:instrText>
          </w:r>
          <w:r>
            <w:rPr>
              <w:rStyle w:val="32"/>
              <w:rFonts w:eastAsia="楷体_GB2312"/>
              <w:spacing w:val="-8"/>
              <w:sz w:val="24"/>
              <w:szCs w:val="24"/>
            </w:rPr>
            <w:fldChar w:fldCharType="separate"/>
          </w:r>
          <w:r>
            <w:rPr>
              <w:rStyle w:val="32"/>
              <w:rFonts w:eastAsia="楷体_GB2312"/>
              <w:spacing w:val="-8"/>
              <w:sz w:val="24"/>
              <w:szCs w:val="24"/>
            </w:rPr>
            <w:t>11</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"_Toc116065983" </w:instrText>
          </w:r>
          <w:r>
            <w:fldChar w:fldCharType="separate"/>
          </w:r>
          <w:r>
            <w:rPr>
              <w:rStyle w:val="32"/>
              <w:rFonts w:eastAsia="楷体_GB2312"/>
              <w:spacing w:val="-8"/>
              <w:sz w:val="24"/>
              <w:szCs w:val="24"/>
            </w:rPr>
            <w:t>第三节 发展目标</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_Toc116065983 \h </w:instrText>
          </w:r>
          <w:r>
            <w:rPr>
              <w:rStyle w:val="32"/>
              <w:rFonts w:eastAsia="楷体_GB2312"/>
              <w:spacing w:val="-8"/>
              <w:sz w:val="24"/>
              <w:szCs w:val="24"/>
            </w:rPr>
            <w:fldChar w:fldCharType="separate"/>
          </w:r>
          <w:r>
            <w:rPr>
              <w:rStyle w:val="32"/>
              <w:rFonts w:eastAsia="楷体_GB2312"/>
              <w:spacing w:val="-8"/>
              <w:sz w:val="24"/>
              <w:szCs w:val="24"/>
            </w:rPr>
            <w:t>12</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18"/>
            <w:rPr>
              <w:rStyle w:val="32"/>
              <w:rFonts w:eastAsia="黑体"/>
              <w:b w:val="0"/>
              <w:sz w:val="24"/>
              <w:szCs w:val="24"/>
              <w:lang w:val="zh-CN"/>
            </w:rPr>
          </w:pPr>
          <w:r>
            <w:fldChar w:fldCharType="begin"/>
          </w:r>
          <w:r>
            <w:instrText xml:space="preserve"> HYPERLINK \l "_Toc116065984" </w:instrText>
          </w:r>
          <w:r>
            <w:fldChar w:fldCharType="separate"/>
          </w:r>
          <w:r>
            <w:rPr>
              <w:rStyle w:val="32"/>
              <w:rFonts w:eastAsia="黑体"/>
              <w:b w:val="0"/>
              <w:sz w:val="24"/>
              <w:szCs w:val="24"/>
              <w:lang w:val="zh-CN"/>
            </w:rPr>
            <w:t>第三章 促进农业转移人口全面融入城市</w:t>
          </w:r>
          <w:r>
            <w:rPr>
              <w:rStyle w:val="32"/>
              <w:rFonts w:eastAsia="黑体"/>
              <w:b w:val="0"/>
              <w:sz w:val="24"/>
              <w:szCs w:val="24"/>
              <w:lang w:val="zh-CN"/>
            </w:rPr>
            <w:tab/>
          </w:r>
          <w:r>
            <w:rPr>
              <w:rStyle w:val="32"/>
              <w:rFonts w:eastAsia="黑体"/>
              <w:b w:val="0"/>
              <w:sz w:val="24"/>
              <w:szCs w:val="24"/>
              <w:lang w:val="zh-CN"/>
            </w:rPr>
            <w:fldChar w:fldCharType="begin"/>
          </w:r>
          <w:r>
            <w:rPr>
              <w:rStyle w:val="32"/>
              <w:rFonts w:eastAsia="黑体"/>
              <w:b w:val="0"/>
              <w:sz w:val="24"/>
              <w:szCs w:val="24"/>
              <w:lang w:val="zh-CN"/>
            </w:rPr>
            <w:instrText xml:space="preserve"> PAGEREF _Toc116065984 \h </w:instrText>
          </w:r>
          <w:r>
            <w:rPr>
              <w:rStyle w:val="32"/>
              <w:rFonts w:eastAsia="黑体"/>
              <w:b w:val="0"/>
              <w:sz w:val="24"/>
              <w:szCs w:val="24"/>
              <w:lang w:val="zh-CN"/>
            </w:rPr>
            <w:fldChar w:fldCharType="separate"/>
          </w:r>
          <w:r>
            <w:rPr>
              <w:rStyle w:val="32"/>
              <w:rFonts w:eastAsia="黑体"/>
              <w:b w:val="0"/>
              <w:sz w:val="24"/>
              <w:szCs w:val="24"/>
              <w:lang w:val="zh-CN"/>
            </w:rPr>
            <w:t>15</w:t>
          </w:r>
          <w:r>
            <w:rPr>
              <w:rStyle w:val="32"/>
              <w:rFonts w:eastAsia="黑体"/>
              <w:b w:val="0"/>
              <w:sz w:val="24"/>
              <w:szCs w:val="24"/>
              <w:lang w:val="zh-CN"/>
            </w:rPr>
            <w:fldChar w:fldCharType="end"/>
          </w:r>
          <w:r>
            <w:rPr>
              <w:rStyle w:val="32"/>
              <w:rFonts w:eastAsia="黑体"/>
              <w:b w:val="0"/>
              <w:sz w:val="24"/>
              <w:szCs w:val="24"/>
              <w:lang w:val="zh-CN"/>
            </w:rPr>
            <w:fldChar w:fldCharType="end"/>
          </w:r>
        </w:p>
        <w:p>
          <w:pPr>
            <w:pStyle w:val="21"/>
            <w:rPr>
              <w:rStyle w:val="32"/>
              <w:rFonts w:eastAsia="楷体_GB2312"/>
              <w:spacing w:val="-8"/>
              <w:sz w:val="24"/>
              <w:szCs w:val="24"/>
            </w:rPr>
          </w:pPr>
          <w:r>
            <w:fldChar w:fldCharType="begin"/>
          </w:r>
          <w:r>
            <w:instrText xml:space="preserve"> HYPERLINK \l "_Toc116065985" </w:instrText>
          </w:r>
          <w:r>
            <w:fldChar w:fldCharType="separate"/>
          </w:r>
          <w:r>
            <w:rPr>
              <w:rStyle w:val="32"/>
              <w:rFonts w:eastAsia="楷体_GB2312"/>
              <w:spacing w:val="-8"/>
              <w:sz w:val="24"/>
              <w:szCs w:val="24"/>
            </w:rPr>
            <w:t>第一节 全面深化户籍制度改革</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_Toc116065985 \h </w:instrText>
          </w:r>
          <w:r>
            <w:rPr>
              <w:rStyle w:val="32"/>
              <w:rFonts w:eastAsia="楷体_GB2312"/>
              <w:spacing w:val="-8"/>
              <w:sz w:val="24"/>
              <w:szCs w:val="24"/>
            </w:rPr>
            <w:fldChar w:fldCharType="separate"/>
          </w:r>
          <w:r>
            <w:rPr>
              <w:rStyle w:val="32"/>
              <w:rFonts w:eastAsia="楷体_GB2312"/>
              <w:spacing w:val="-8"/>
              <w:sz w:val="24"/>
              <w:szCs w:val="24"/>
            </w:rPr>
            <w:t>15</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"_Toc116065986" </w:instrText>
          </w:r>
          <w:r>
            <w:fldChar w:fldCharType="separate"/>
          </w:r>
          <w:r>
            <w:rPr>
              <w:rStyle w:val="32"/>
              <w:rFonts w:eastAsia="楷体_GB2312"/>
              <w:spacing w:val="-8"/>
              <w:sz w:val="24"/>
              <w:szCs w:val="24"/>
            </w:rPr>
            <w:t>第二节 推动城镇基本公共服务全面均等覆盖常住人口</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_Toc116065986 \h </w:instrText>
          </w:r>
          <w:r>
            <w:rPr>
              <w:rStyle w:val="32"/>
              <w:rFonts w:eastAsia="楷体_GB2312"/>
              <w:spacing w:val="-8"/>
              <w:sz w:val="24"/>
              <w:szCs w:val="24"/>
            </w:rPr>
            <w:fldChar w:fldCharType="separate"/>
          </w:r>
          <w:r>
            <w:rPr>
              <w:rStyle w:val="32"/>
              <w:rFonts w:eastAsia="楷体_GB2312"/>
              <w:spacing w:val="-8"/>
              <w:sz w:val="24"/>
              <w:szCs w:val="24"/>
            </w:rPr>
            <w:t>17</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"_Toc116065987" </w:instrText>
          </w:r>
          <w:r>
            <w:fldChar w:fldCharType="separate"/>
          </w:r>
          <w:r>
            <w:rPr>
              <w:rStyle w:val="32"/>
              <w:rFonts w:eastAsia="楷体_GB2312"/>
              <w:spacing w:val="-8"/>
              <w:sz w:val="24"/>
              <w:szCs w:val="24"/>
            </w:rPr>
            <w:t>第三节 提高农业转移人口融入城市能力</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_Toc116065987 \h </w:instrText>
          </w:r>
          <w:r>
            <w:rPr>
              <w:rStyle w:val="32"/>
              <w:rFonts w:eastAsia="楷体_GB2312"/>
              <w:spacing w:val="-8"/>
              <w:sz w:val="24"/>
              <w:szCs w:val="24"/>
            </w:rPr>
            <w:fldChar w:fldCharType="separate"/>
          </w:r>
          <w:r>
            <w:rPr>
              <w:rStyle w:val="32"/>
              <w:rFonts w:eastAsia="楷体_GB2312"/>
              <w:spacing w:val="-8"/>
              <w:sz w:val="24"/>
              <w:szCs w:val="24"/>
            </w:rPr>
            <w:t>19</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"_Toc116065988" </w:instrText>
          </w:r>
          <w:r>
            <w:fldChar w:fldCharType="separate"/>
          </w:r>
          <w:r>
            <w:rPr>
              <w:rStyle w:val="32"/>
              <w:rFonts w:eastAsia="楷体_GB2312"/>
              <w:spacing w:val="-8"/>
              <w:sz w:val="24"/>
              <w:szCs w:val="24"/>
            </w:rPr>
            <w:t>第四节 深化市民化配套政策</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_Toc116065988 \h </w:instrText>
          </w:r>
          <w:r>
            <w:rPr>
              <w:rStyle w:val="32"/>
              <w:rFonts w:eastAsia="楷体_GB2312"/>
              <w:spacing w:val="-8"/>
              <w:sz w:val="24"/>
              <w:szCs w:val="24"/>
            </w:rPr>
            <w:fldChar w:fldCharType="separate"/>
          </w:r>
          <w:r>
            <w:rPr>
              <w:rStyle w:val="32"/>
              <w:rFonts w:eastAsia="楷体_GB2312"/>
              <w:spacing w:val="-8"/>
              <w:sz w:val="24"/>
              <w:szCs w:val="24"/>
            </w:rPr>
            <w:t>21</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18"/>
            <w:rPr>
              <w:rStyle w:val="32"/>
              <w:rFonts w:eastAsia="黑体"/>
              <w:b w:val="0"/>
              <w:sz w:val="24"/>
              <w:szCs w:val="24"/>
              <w:lang w:val="zh-CN"/>
            </w:rPr>
          </w:pPr>
          <w:r>
            <w:fldChar w:fldCharType="begin"/>
          </w:r>
          <w:r>
            <w:instrText xml:space="preserve"> HYPERLINK \l "_Toc116065989" </w:instrText>
          </w:r>
          <w:r>
            <w:fldChar w:fldCharType="separate"/>
          </w:r>
          <w:r>
            <w:rPr>
              <w:rStyle w:val="32"/>
              <w:rFonts w:eastAsia="黑体"/>
              <w:b w:val="0"/>
              <w:sz w:val="24"/>
              <w:szCs w:val="24"/>
              <w:lang w:val="zh-CN"/>
            </w:rPr>
            <w:t>第四章 优化城镇化发展格局</w:t>
          </w:r>
          <w:r>
            <w:rPr>
              <w:rStyle w:val="32"/>
              <w:rFonts w:eastAsia="黑体"/>
              <w:b w:val="0"/>
              <w:sz w:val="24"/>
              <w:szCs w:val="24"/>
              <w:lang w:val="zh-CN"/>
            </w:rPr>
            <w:tab/>
          </w:r>
          <w:r>
            <w:rPr>
              <w:rStyle w:val="32"/>
              <w:rFonts w:eastAsia="黑体"/>
              <w:b w:val="0"/>
              <w:sz w:val="24"/>
              <w:szCs w:val="24"/>
              <w:lang w:val="zh-CN"/>
            </w:rPr>
            <w:fldChar w:fldCharType="begin"/>
          </w:r>
          <w:r>
            <w:rPr>
              <w:rStyle w:val="32"/>
              <w:rFonts w:eastAsia="黑体"/>
              <w:b w:val="0"/>
              <w:sz w:val="24"/>
              <w:szCs w:val="24"/>
              <w:lang w:val="zh-CN"/>
            </w:rPr>
            <w:instrText xml:space="preserve"> PAGEREF _Toc116065989 \h </w:instrText>
          </w:r>
          <w:r>
            <w:rPr>
              <w:rStyle w:val="32"/>
              <w:rFonts w:eastAsia="黑体"/>
              <w:b w:val="0"/>
              <w:sz w:val="24"/>
              <w:szCs w:val="24"/>
              <w:lang w:val="zh-CN"/>
            </w:rPr>
            <w:fldChar w:fldCharType="separate"/>
          </w:r>
          <w:r>
            <w:rPr>
              <w:rStyle w:val="32"/>
              <w:rFonts w:eastAsia="黑体"/>
              <w:b w:val="0"/>
              <w:sz w:val="24"/>
              <w:szCs w:val="24"/>
              <w:lang w:val="zh-CN"/>
            </w:rPr>
            <w:t>23</w:t>
          </w:r>
          <w:r>
            <w:rPr>
              <w:rStyle w:val="32"/>
              <w:rFonts w:eastAsia="黑体"/>
              <w:b w:val="0"/>
              <w:sz w:val="24"/>
              <w:szCs w:val="24"/>
              <w:lang w:val="zh-CN"/>
            </w:rPr>
            <w:fldChar w:fldCharType="end"/>
          </w:r>
          <w:r>
            <w:rPr>
              <w:rStyle w:val="32"/>
              <w:rFonts w:eastAsia="黑体"/>
              <w:b w:val="0"/>
              <w:sz w:val="24"/>
              <w:szCs w:val="24"/>
              <w:lang w:val="zh-CN"/>
            </w:rPr>
            <w:fldChar w:fldCharType="end"/>
          </w:r>
        </w:p>
        <w:p>
          <w:pPr>
            <w:pStyle w:val="21"/>
            <w:rPr>
              <w:rStyle w:val="32"/>
              <w:rFonts w:eastAsia="楷体_GB2312"/>
              <w:spacing w:val="-8"/>
              <w:sz w:val="24"/>
              <w:szCs w:val="24"/>
            </w:rPr>
          </w:pPr>
          <w:r>
            <w:fldChar w:fldCharType="begin"/>
          </w:r>
          <w:r>
            <w:instrText xml:space="preserve"> HYPERLINK \l "_Toc116065990" </w:instrText>
          </w:r>
          <w:r>
            <w:fldChar w:fldCharType="separate"/>
          </w:r>
          <w:r>
            <w:rPr>
              <w:rStyle w:val="32"/>
              <w:rFonts w:eastAsia="楷体_GB2312"/>
              <w:spacing w:val="-8"/>
              <w:sz w:val="24"/>
              <w:szCs w:val="24"/>
            </w:rPr>
            <w:t>第一节 加快融入区域发展格局</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_Toc116065990 \h </w:instrText>
          </w:r>
          <w:r>
            <w:rPr>
              <w:rStyle w:val="32"/>
              <w:rFonts w:eastAsia="楷体_GB2312"/>
              <w:spacing w:val="-8"/>
              <w:sz w:val="24"/>
              <w:szCs w:val="24"/>
            </w:rPr>
            <w:fldChar w:fldCharType="separate"/>
          </w:r>
          <w:r>
            <w:rPr>
              <w:rStyle w:val="32"/>
              <w:rFonts w:eastAsia="楷体_GB2312"/>
              <w:spacing w:val="-8"/>
              <w:sz w:val="24"/>
              <w:szCs w:val="24"/>
            </w:rPr>
            <w:t>23</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"_Toc116065991" </w:instrText>
          </w:r>
          <w:r>
            <w:fldChar w:fldCharType="separate"/>
          </w:r>
          <w:r>
            <w:rPr>
              <w:rStyle w:val="32"/>
              <w:rFonts w:eastAsia="楷体_GB2312"/>
              <w:spacing w:val="-8"/>
              <w:sz w:val="24"/>
              <w:szCs w:val="24"/>
            </w:rPr>
            <w:t>第二节 引导城镇体系优化布局</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_Toc116065991 \h </w:instrText>
          </w:r>
          <w:r>
            <w:rPr>
              <w:rStyle w:val="32"/>
              <w:rFonts w:eastAsia="楷体_GB2312"/>
              <w:spacing w:val="-8"/>
              <w:sz w:val="24"/>
              <w:szCs w:val="24"/>
            </w:rPr>
            <w:fldChar w:fldCharType="separate"/>
          </w:r>
          <w:r>
            <w:rPr>
              <w:rStyle w:val="32"/>
              <w:rFonts w:eastAsia="楷体_GB2312"/>
              <w:spacing w:val="-8"/>
              <w:sz w:val="24"/>
              <w:szCs w:val="24"/>
            </w:rPr>
            <w:t>25</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"_Toc116065992" </w:instrText>
          </w:r>
          <w:r>
            <w:fldChar w:fldCharType="separate"/>
          </w:r>
          <w:r>
            <w:rPr>
              <w:rStyle w:val="32"/>
              <w:rFonts w:eastAsia="楷体_GB2312"/>
              <w:spacing w:val="-8"/>
              <w:sz w:val="24"/>
              <w:szCs w:val="24"/>
            </w:rPr>
            <w:t>第三节 推进中心城区高质量发展</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_Toc116065992 \h </w:instrText>
          </w:r>
          <w:r>
            <w:rPr>
              <w:rStyle w:val="32"/>
              <w:rFonts w:eastAsia="楷体_GB2312"/>
              <w:spacing w:val="-8"/>
              <w:sz w:val="24"/>
              <w:szCs w:val="24"/>
            </w:rPr>
            <w:fldChar w:fldCharType="separate"/>
          </w:r>
          <w:r>
            <w:rPr>
              <w:rStyle w:val="32"/>
              <w:rFonts w:eastAsia="楷体_GB2312"/>
              <w:spacing w:val="-8"/>
              <w:sz w:val="24"/>
              <w:szCs w:val="24"/>
            </w:rPr>
            <w:t>26</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"_Toc116065993" </w:instrText>
          </w:r>
          <w:r>
            <w:fldChar w:fldCharType="separate"/>
          </w:r>
          <w:r>
            <w:rPr>
              <w:rStyle w:val="32"/>
              <w:rFonts w:eastAsia="楷体_GB2312"/>
              <w:spacing w:val="-8"/>
              <w:sz w:val="24"/>
              <w:szCs w:val="24"/>
            </w:rPr>
            <w:t>第四节 推进县城集约化发展</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_Toc116065993 \h </w:instrText>
          </w:r>
          <w:r>
            <w:rPr>
              <w:rStyle w:val="32"/>
              <w:rFonts w:eastAsia="楷体_GB2312"/>
              <w:spacing w:val="-8"/>
              <w:sz w:val="24"/>
              <w:szCs w:val="24"/>
            </w:rPr>
            <w:fldChar w:fldCharType="separate"/>
          </w:r>
          <w:r>
            <w:rPr>
              <w:rStyle w:val="32"/>
              <w:rFonts w:eastAsia="楷体_GB2312"/>
              <w:spacing w:val="-8"/>
              <w:sz w:val="24"/>
              <w:szCs w:val="24"/>
            </w:rPr>
            <w:t>28</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"_Toc116065994" </w:instrText>
          </w:r>
          <w:r>
            <w:fldChar w:fldCharType="separate"/>
          </w:r>
          <w:r>
            <w:rPr>
              <w:rStyle w:val="32"/>
              <w:rFonts w:eastAsia="楷体_GB2312"/>
              <w:spacing w:val="-8"/>
              <w:sz w:val="24"/>
              <w:szCs w:val="24"/>
            </w:rPr>
            <w:t>第五节 推进小城镇特色化发展</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_Toc116065994 \h </w:instrText>
          </w:r>
          <w:r>
            <w:rPr>
              <w:rStyle w:val="32"/>
              <w:rFonts w:eastAsia="楷体_GB2312"/>
              <w:spacing w:val="-8"/>
              <w:sz w:val="24"/>
              <w:szCs w:val="24"/>
            </w:rPr>
            <w:fldChar w:fldCharType="separate"/>
          </w:r>
          <w:r>
            <w:rPr>
              <w:rStyle w:val="32"/>
              <w:rFonts w:eastAsia="楷体_GB2312"/>
              <w:spacing w:val="-8"/>
              <w:sz w:val="24"/>
              <w:szCs w:val="24"/>
            </w:rPr>
            <w:t>30</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18"/>
            <w:rPr>
              <w:rStyle w:val="32"/>
              <w:rFonts w:eastAsia="黑体"/>
              <w:b w:val="0"/>
              <w:sz w:val="24"/>
              <w:szCs w:val="24"/>
              <w:lang w:val="zh-CN"/>
            </w:rPr>
          </w:pPr>
          <w:r>
            <w:fldChar w:fldCharType="begin"/>
          </w:r>
          <w:r>
            <w:instrText xml:space="preserve"> HYPERLINK \l "_Toc116065995" </w:instrText>
          </w:r>
          <w:r>
            <w:fldChar w:fldCharType="separate"/>
          </w:r>
          <w:r>
            <w:rPr>
              <w:rStyle w:val="32"/>
              <w:rFonts w:eastAsia="黑体"/>
              <w:b w:val="0"/>
              <w:sz w:val="24"/>
              <w:szCs w:val="24"/>
              <w:lang w:val="zh-CN"/>
            </w:rPr>
            <w:t>第五章 建设以人民为中心的新型城市</w:t>
          </w:r>
          <w:r>
            <w:rPr>
              <w:rStyle w:val="32"/>
              <w:rFonts w:eastAsia="黑体"/>
              <w:b w:val="0"/>
              <w:sz w:val="24"/>
              <w:szCs w:val="24"/>
              <w:lang w:val="zh-CN"/>
            </w:rPr>
            <w:tab/>
          </w:r>
          <w:r>
            <w:rPr>
              <w:rStyle w:val="32"/>
              <w:rFonts w:eastAsia="黑体"/>
              <w:b w:val="0"/>
              <w:sz w:val="24"/>
              <w:szCs w:val="24"/>
              <w:lang w:val="zh-CN"/>
            </w:rPr>
            <w:fldChar w:fldCharType="begin"/>
          </w:r>
          <w:r>
            <w:rPr>
              <w:rStyle w:val="32"/>
              <w:rFonts w:eastAsia="黑体"/>
              <w:b w:val="0"/>
              <w:sz w:val="24"/>
              <w:szCs w:val="24"/>
              <w:lang w:val="zh-CN"/>
            </w:rPr>
            <w:instrText xml:space="preserve"> PAGEREF _Toc116065995 \h </w:instrText>
          </w:r>
          <w:r>
            <w:rPr>
              <w:rStyle w:val="32"/>
              <w:rFonts w:eastAsia="黑体"/>
              <w:b w:val="0"/>
              <w:sz w:val="24"/>
              <w:szCs w:val="24"/>
              <w:lang w:val="zh-CN"/>
            </w:rPr>
            <w:fldChar w:fldCharType="separate"/>
          </w:r>
          <w:r>
            <w:rPr>
              <w:rStyle w:val="32"/>
              <w:rFonts w:eastAsia="黑体"/>
              <w:b w:val="0"/>
              <w:sz w:val="24"/>
              <w:szCs w:val="24"/>
              <w:lang w:val="zh-CN"/>
            </w:rPr>
            <w:t>31</w:t>
          </w:r>
          <w:r>
            <w:rPr>
              <w:rStyle w:val="32"/>
              <w:rFonts w:eastAsia="黑体"/>
              <w:b w:val="0"/>
              <w:sz w:val="24"/>
              <w:szCs w:val="24"/>
              <w:lang w:val="zh-CN"/>
            </w:rPr>
            <w:fldChar w:fldCharType="end"/>
          </w:r>
          <w:r>
            <w:rPr>
              <w:rStyle w:val="32"/>
              <w:rFonts w:eastAsia="黑体"/>
              <w:b w:val="0"/>
              <w:sz w:val="24"/>
              <w:szCs w:val="24"/>
              <w:lang w:val="zh-CN"/>
            </w:rPr>
            <w:fldChar w:fldCharType="end"/>
          </w:r>
        </w:p>
        <w:p>
          <w:pPr>
            <w:pStyle w:val="21"/>
            <w:rPr>
              <w:rStyle w:val="32"/>
              <w:rFonts w:eastAsia="楷体_GB2312"/>
              <w:spacing w:val="-8"/>
              <w:sz w:val="24"/>
              <w:szCs w:val="24"/>
            </w:rPr>
          </w:pPr>
          <w:r>
            <w:fldChar w:fldCharType="begin"/>
          </w:r>
          <w:r>
            <w:instrText xml:space="preserve"> HYPERLINK \l "_Toc116065996" </w:instrText>
          </w:r>
          <w:r>
            <w:fldChar w:fldCharType="separate"/>
          </w:r>
          <w:r>
            <w:rPr>
              <w:rStyle w:val="32"/>
              <w:rFonts w:eastAsia="楷体_GB2312"/>
              <w:spacing w:val="-8"/>
              <w:sz w:val="24"/>
              <w:szCs w:val="24"/>
            </w:rPr>
            <w:t>第一节 建设舒适便利宜居城市</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_Toc116065996 \h </w:instrText>
          </w:r>
          <w:r>
            <w:rPr>
              <w:rStyle w:val="32"/>
              <w:rFonts w:eastAsia="楷体_GB2312"/>
              <w:spacing w:val="-8"/>
              <w:sz w:val="24"/>
              <w:szCs w:val="24"/>
            </w:rPr>
            <w:fldChar w:fldCharType="separate"/>
          </w:r>
          <w:r>
            <w:rPr>
              <w:rStyle w:val="32"/>
              <w:rFonts w:eastAsia="楷体_GB2312"/>
              <w:spacing w:val="-8"/>
              <w:sz w:val="24"/>
              <w:szCs w:val="24"/>
            </w:rPr>
            <w:t>32</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"_Toc116065997" </w:instrText>
          </w:r>
          <w:r>
            <w:fldChar w:fldCharType="separate"/>
          </w:r>
          <w:r>
            <w:rPr>
              <w:rStyle w:val="32"/>
              <w:rFonts w:eastAsia="楷体_GB2312"/>
              <w:spacing w:val="-8"/>
              <w:sz w:val="24"/>
              <w:szCs w:val="24"/>
            </w:rPr>
            <w:t>第二节 建设协同创新活力城市</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_Toc116065997 \h </w:instrText>
          </w:r>
          <w:r>
            <w:rPr>
              <w:rStyle w:val="32"/>
              <w:rFonts w:eastAsia="楷体_GB2312"/>
              <w:spacing w:val="-8"/>
              <w:sz w:val="24"/>
              <w:szCs w:val="24"/>
            </w:rPr>
            <w:fldChar w:fldCharType="separate"/>
          </w:r>
          <w:r>
            <w:rPr>
              <w:rStyle w:val="32"/>
              <w:rFonts w:eastAsia="楷体_GB2312"/>
              <w:spacing w:val="-8"/>
              <w:sz w:val="24"/>
              <w:szCs w:val="24"/>
            </w:rPr>
            <w:t>34</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"_Toc116065998" </w:instrText>
          </w:r>
          <w:r>
            <w:fldChar w:fldCharType="separate"/>
          </w:r>
          <w:r>
            <w:rPr>
              <w:rStyle w:val="32"/>
              <w:rFonts w:eastAsia="楷体_GB2312"/>
              <w:spacing w:val="-8"/>
              <w:sz w:val="24"/>
              <w:szCs w:val="24"/>
            </w:rPr>
            <w:t>第三节 建设新型高效智慧城市</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_Toc116065998 \h </w:instrText>
          </w:r>
          <w:r>
            <w:rPr>
              <w:rStyle w:val="32"/>
              <w:rFonts w:eastAsia="楷体_GB2312"/>
              <w:spacing w:val="-8"/>
              <w:sz w:val="24"/>
              <w:szCs w:val="24"/>
            </w:rPr>
            <w:fldChar w:fldCharType="separate"/>
          </w:r>
          <w:r>
            <w:rPr>
              <w:rStyle w:val="32"/>
              <w:rFonts w:eastAsia="楷体_GB2312"/>
              <w:spacing w:val="-8"/>
              <w:sz w:val="24"/>
              <w:szCs w:val="24"/>
            </w:rPr>
            <w:t>36</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"_Toc116065999" </w:instrText>
          </w:r>
          <w:r>
            <w:fldChar w:fldCharType="separate"/>
          </w:r>
          <w:r>
            <w:rPr>
              <w:rStyle w:val="32"/>
              <w:rFonts w:eastAsia="楷体_GB2312"/>
              <w:spacing w:val="-8"/>
              <w:sz w:val="24"/>
              <w:szCs w:val="24"/>
            </w:rPr>
            <w:t>第四节 建设绿色低碳生态城市</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_Toc116065999 \h </w:instrText>
          </w:r>
          <w:r>
            <w:rPr>
              <w:rStyle w:val="32"/>
              <w:rFonts w:eastAsia="楷体_GB2312"/>
              <w:spacing w:val="-8"/>
              <w:sz w:val="24"/>
              <w:szCs w:val="24"/>
            </w:rPr>
            <w:fldChar w:fldCharType="separate"/>
          </w:r>
          <w:r>
            <w:rPr>
              <w:rStyle w:val="32"/>
              <w:rFonts w:eastAsia="楷体_GB2312"/>
              <w:spacing w:val="-8"/>
              <w:sz w:val="24"/>
              <w:szCs w:val="24"/>
            </w:rPr>
            <w:t>37</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"_Toc116066000" </w:instrText>
          </w:r>
          <w:r>
            <w:fldChar w:fldCharType="separate"/>
          </w:r>
          <w:r>
            <w:rPr>
              <w:rStyle w:val="32"/>
              <w:rFonts w:eastAsia="楷体_GB2312"/>
              <w:spacing w:val="-8"/>
              <w:sz w:val="24"/>
              <w:szCs w:val="24"/>
            </w:rPr>
            <w:t>第五节 建设魅力多彩人文城市</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_Toc116066000 \h </w:instrText>
          </w:r>
          <w:r>
            <w:rPr>
              <w:rStyle w:val="32"/>
              <w:rFonts w:eastAsia="楷体_GB2312"/>
              <w:spacing w:val="-8"/>
              <w:sz w:val="24"/>
              <w:szCs w:val="24"/>
            </w:rPr>
            <w:fldChar w:fldCharType="separate"/>
          </w:r>
          <w:r>
            <w:rPr>
              <w:rStyle w:val="32"/>
              <w:rFonts w:eastAsia="楷体_GB2312"/>
              <w:spacing w:val="-8"/>
              <w:sz w:val="24"/>
              <w:szCs w:val="24"/>
            </w:rPr>
            <w:t>40</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"_Toc116066001" </w:instrText>
          </w:r>
          <w:r>
            <w:fldChar w:fldCharType="separate"/>
          </w:r>
          <w:r>
            <w:rPr>
              <w:rStyle w:val="32"/>
              <w:rFonts w:eastAsia="楷体_GB2312"/>
              <w:spacing w:val="-8"/>
              <w:sz w:val="24"/>
              <w:szCs w:val="24"/>
            </w:rPr>
            <w:t>第六节 建设安全健康韧性城市</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_Toc116066001 \h </w:instrText>
          </w:r>
          <w:r>
            <w:rPr>
              <w:rStyle w:val="32"/>
              <w:rFonts w:eastAsia="楷体_GB2312"/>
              <w:spacing w:val="-8"/>
              <w:sz w:val="24"/>
              <w:szCs w:val="24"/>
            </w:rPr>
            <w:fldChar w:fldCharType="separate"/>
          </w:r>
          <w:r>
            <w:rPr>
              <w:rStyle w:val="32"/>
              <w:rFonts w:eastAsia="楷体_GB2312"/>
              <w:spacing w:val="-8"/>
              <w:sz w:val="24"/>
              <w:szCs w:val="24"/>
            </w:rPr>
            <w:t>42</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18"/>
            <w:rPr>
              <w:rStyle w:val="32"/>
              <w:rFonts w:eastAsia="黑体"/>
              <w:b w:val="0"/>
              <w:sz w:val="24"/>
              <w:szCs w:val="24"/>
              <w:lang w:val="zh-CN"/>
            </w:rPr>
          </w:pPr>
          <w:r>
            <w:fldChar w:fldCharType="begin"/>
          </w:r>
          <w:r>
            <w:instrText xml:space="preserve"> HYPERLINK \l "_Toc116066002" </w:instrText>
          </w:r>
          <w:r>
            <w:fldChar w:fldCharType="separate"/>
          </w:r>
          <w:r>
            <w:rPr>
              <w:rStyle w:val="32"/>
              <w:rFonts w:eastAsia="黑体"/>
              <w:b w:val="0"/>
              <w:sz w:val="24"/>
              <w:szCs w:val="24"/>
              <w:lang w:val="zh-CN"/>
            </w:rPr>
            <w:t xml:space="preserve">第六章 </w:t>
          </w:r>
          <w:r>
            <w:rPr>
              <w:rStyle w:val="32"/>
              <w:rFonts w:hint="eastAsia" w:eastAsia="黑体"/>
              <w:b w:val="0"/>
              <w:sz w:val="24"/>
              <w:szCs w:val="24"/>
              <w:lang w:val="zh-CN"/>
            </w:rPr>
            <w:t>推动城市治理体系和治理能力现代化</w:t>
          </w:r>
          <w:r>
            <w:rPr>
              <w:rStyle w:val="32"/>
              <w:rFonts w:eastAsia="黑体"/>
              <w:b w:val="0"/>
              <w:sz w:val="24"/>
              <w:szCs w:val="24"/>
              <w:lang w:val="zh-CN"/>
            </w:rPr>
            <w:tab/>
          </w:r>
          <w:r>
            <w:rPr>
              <w:rStyle w:val="32"/>
              <w:rFonts w:eastAsia="黑体"/>
              <w:b w:val="0"/>
              <w:sz w:val="24"/>
              <w:szCs w:val="24"/>
              <w:lang w:val="zh-CN"/>
            </w:rPr>
            <w:fldChar w:fldCharType="begin"/>
          </w:r>
          <w:r>
            <w:rPr>
              <w:rStyle w:val="32"/>
              <w:rFonts w:eastAsia="黑体"/>
              <w:b w:val="0"/>
              <w:sz w:val="24"/>
              <w:szCs w:val="24"/>
              <w:lang w:val="zh-CN"/>
            </w:rPr>
            <w:instrText xml:space="preserve"> PAGEREF _Toc116066002 \h </w:instrText>
          </w:r>
          <w:r>
            <w:rPr>
              <w:rStyle w:val="32"/>
              <w:rFonts w:eastAsia="黑体"/>
              <w:b w:val="0"/>
              <w:sz w:val="24"/>
              <w:szCs w:val="24"/>
              <w:lang w:val="zh-CN"/>
            </w:rPr>
            <w:fldChar w:fldCharType="separate"/>
          </w:r>
          <w:r>
            <w:rPr>
              <w:rStyle w:val="32"/>
              <w:rFonts w:eastAsia="黑体"/>
              <w:b w:val="0"/>
              <w:sz w:val="24"/>
              <w:szCs w:val="24"/>
              <w:lang w:val="zh-CN"/>
            </w:rPr>
            <w:t>44</w:t>
          </w:r>
          <w:r>
            <w:rPr>
              <w:rStyle w:val="32"/>
              <w:rFonts w:eastAsia="黑体"/>
              <w:b w:val="0"/>
              <w:sz w:val="24"/>
              <w:szCs w:val="24"/>
              <w:lang w:val="zh-CN"/>
            </w:rPr>
            <w:fldChar w:fldCharType="end"/>
          </w:r>
          <w:r>
            <w:rPr>
              <w:rStyle w:val="32"/>
              <w:rFonts w:eastAsia="黑体"/>
              <w:b w:val="0"/>
              <w:sz w:val="24"/>
              <w:szCs w:val="24"/>
              <w:lang w:val="zh-CN"/>
            </w:rPr>
            <w:fldChar w:fldCharType="end"/>
          </w:r>
        </w:p>
        <w:p>
          <w:pPr>
            <w:pStyle w:val="21"/>
            <w:rPr>
              <w:rStyle w:val="32"/>
              <w:rFonts w:eastAsia="楷体_GB2312"/>
              <w:spacing w:val="-8"/>
              <w:sz w:val="24"/>
              <w:szCs w:val="24"/>
            </w:rPr>
          </w:pPr>
          <w:r>
            <w:fldChar w:fldCharType="begin"/>
          </w:r>
          <w:r>
            <w:instrText xml:space="preserve"> HYPERLINK \l "_Toc116066003" </w:instrText>
          </w:r>
          <w:r>
            <w:fldChar w:fldCharType="separate"/>
          </w:r>
          <w:r>
            <w:rPr>
              <w:rStyle w:val="32"/>
              <w:rFonts w:eastAsia="楷体_GB2312"/>
              <w:spacing w:val="-8"/>
              <w:sz w:val="24"/>
              <w:szCs w:val="24"/>
            </w:rPr>
            <w:t>第一节 优化城市空间治理</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_Toc116066003 \h </w:instrText>
          </w:r>
          <w:r>
            <w:rPr>
              <w:rStyle w:val="32"/>
              <w:rFonts w:eastAsia="楷体_GB2312"/>
              <w:spacing w:val="-8"/>
              <w:sz w:val="24"/>
              <w:szCs w:val="24"/>
            </w:rPr>
            <w:fldChar w:fldCharType="separate"/>
          </w:r>
          <w:r>
            <w:rPr>
              <w:rStyle w:val="32"/>
              <w:rFonts w:eastAsia="楷体_GB2312"/>
              <w:spacing w:val="-8"/>
              <w:sz w:val="24"/>
              <w:szCs w:val="24"/>
            </w:rPr>
            <w:t>44</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"_Toc116066004" </w:instrText>
          </w:r>
          <w:r>
            <w:fldChar w:fldCharType="separate"/>
          </w:r>
          <w:r>
            <w:rPr>
              <w:rStyle w:val="32"/>
              <w:rFonts w:eastAsia="楷体_GB2312"/>
              <w:spacing w:val="-8"/>
              <w:sz w:val="24"/>
              <w:szCs w:val="24"/>
            </w:rPr>
            <w:t>第二节 创新完善社会治理体系</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_Toc116066004 \h </w:instrText>
          </w:r>
          <w:r>
            <w:rPr>
              <w:rStyle w:val="32"/>
              <w:rFonts w:eastAsia="楷体_GB2312"/>
              <w:spacing w:val="-8"/>
              <w:sz w:val="24"/>
              <w:szCs w:val="24"/>
            </w:rPr>
            <w:fldChar w:fldCharType="separate"/>
          </w:r>
          <w:r>
            <w:rPr>
              <w:rStyle w:val="32"/>
              <w:rFonts w:eastAsia="楷体_GB2312"/>
              <w:spacing w:val="-8"/>
              <w:sz w:val="24"/>
              <w:szCs w:val="24"/>
            </w:rPr>
            <w:t>46</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"_Toc116066005" </w:instrText>
          </w:r>
          <w:r>
            <w:fldChar w:fldCharType="separate"/>
          </w:r>
          <w:r>
            <w:rPr>
              <w:rStyle w:val="32"/>
              <w:rFonts w:eastAsia="楷体_GB2312"/>
              <w:spacing w:val="-8"/>
              <w:sz w:val="24"/>
              <w:szCs w:val="24"/>
            </w:rPr>
            <w:t>第三节 提升行政管理效能</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_Toc116066005 \h </w:instrText>
          </w:r>
          <w:r>
            <w:rPr>
              <w:rStyle w:val="32"/>
              <w:rFonts w:eastAsia="楷体_GB2312"/>
              <w:spacing w:val="-8"/>
              <w:sz w:val="24"/>
              <w:szCs w:val="24"/>
            </w:rPr>
            <w:fldChar w:fldCharType="separate"/>
          </w:r>
          <w:r>
            <w:rPr>
              <w:rStyle w:val="32"/>
              <w:rFonts w:eastAsia="楷体_GB2312"/>
              <w:spacing w:val="-8"/>
              <w:sz w:val="24"/>
              <w:szCs w:val="24"/>
            </w:rPr>
            <w:t>49</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"_Toc116066006" </w:instrText>
          </w:r>
          <w:r>
            <w:fldChar w:fldCharType="separate"/>
          </w:r>
          <w:r>
            <w:rPr>
              <w:rStyle w:val="32"/>
              <w:rFonts w:eastAsia="楷体_GB2312"/>
              <w:spacing w:val="-8"/>
              <w:sz w:val="24"/>
              <w:szCs w:val="24"/>
            </w:rPr>
            <w:t>第四节 创新城市发展资金保障机制</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_Toc116066006 \h </w:instrText>
          </w:r>
          <w:r>
            <w:rPr>
              <w:rStyle w:val="32"/>
              <w:rFonts w:eastAsia="楷体_GB2312"/>
              <w:spacing w:val="-8"/>
              <w:sz w:val="24"/>
              <w:szCs w:val="24"/>
            </w:rPr>
            <w:fldChar w:fldCharType="separate"/>
          </w:r>
          <w:r>
            <w:rPr>
              <w:rStyle w:val="32"/>
              <w:rFonts w:eastAsia="楷体_GB2312"/>
              <w:spacing w:val="-8"/>
              <w:sz w:val="24"/>
              <w:szCs w:val="24"/>
            </w:rPr>
            <w:t>50</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18"/>
            <w:rPr>
              <w:rStyle w:val="32"/>
              <w:rFonts w:eastAsia="黑体"/>
              <w:b w:val="0"/>
              <w:sz w:val="24"/>
              <w:szCs w:val="24"/>
              <w:lang w:val="zh-CN"/>
            </w:rPr>
          </w:pPr>
          <w:r>
            <w:fldChar w:fldCharType="begin"/>
          </w:r>
          <w:r>
            <w:instrText xml:space="preserve"> HYPERLINK \l "_Toc116066007" </w:instrText>
          </w:r>
          <w:r>
            <w:fldChar w:fldCharType="separate"/>
          </w:r>
          <w:r>
            <w:rPr>
              <w:rStyle w:val="32"/>
              <w:rFonts w:eastAsia="黑体"/>
              <w:b w:val="0"/>
              <w:sz w:val="24"/>
              <w:szCs w:val="24"/>
              <w:lang w:val="zh-CN"/>
            </w:rPr>
            <w:t>第七章 加快推进城乡融合发展</w:t>
          </w:r>
          <w:r>
            <w:rPr>
              <w:rStyle w:val="32"/>
              <w:rFonts w:eastAsia="黑体"/>
              <w:b w:val="0"/>
              <w:sz w:val="24"/>
              <w:szCs w:val="24"/>
              <w:lang w:val="zh-CN"/>
            </w:rPr>
            <w:tab/>
          </w:r>
          <w:r>
            <w:rPr>
              <w:rStyle w:val="32"/>
              <w:rFonts w:eastAsia="黑体"/>
              <w:b w:val="0"/>
              <w:sz w:val="24"/>
              <w:szCs w:val="24"/>
              <w:lang w:val="zh-CN"/>
            </w:rPr>
            <w:fldChar w:fldCharType="begin"/>
          </w:r>
          <w:r>
            <w:rPr>
              <w:rStyle w:val="32"/>
              <w:rFonts w:eastAsia="黑体"/>
              <w:b w:val="0"/>
              <w:sz w:val="24"/>
              <w:szCs w:val="24"/>
              <w:lang w:val="zh-CN"/>
            </w:rPr>
            <w:instrText xml:space="preserve"> PAGEREF _Toc116066007 \h </w:instrText>
          </w:r>
          <w:r>
            <w:rPr>
              <w:rStyle w:val="32"/>
              <w:rFonts w:eastAsia="黑体"/>
              <w:b w:val="0"/>
              <w:sz w:val="24"/>
              <w:szCs w:val="24"/>
              <w:lang w:val="zh-CN"/>
            </w:rPr>
            <w:fldChar w:fldCharType="separate"/>
          </w:r>
          <w:r>
            <w:rPr>
              <w:rStyle w:val="32"/>
              <w:rFonts w:eastAsia="黑体"/>
              <w:b w:val="0"/>
              <w:sz w:val="24"/>
              <w:szCs w:val="24"/>
              <w:lang w:val="zh-CN"/>
            </w:rPr>
            <w:t>52</w:t>
          </w:r>
          <w:r>
            <w:rPr>
              <w:rStyle w:val="32"/>
              <w:rFonts w:eastAsia="黑体"/>
              <w:b w:val="0"/>
              <w:sz w:val="24"/>
              <w:szCs w:val="24"/>
              <w:lang w:val="zh-CN"/>
            </w:rPr>
            <w:fldChar w:fldCharType="end"/>
          </w:r>
          <w:r>
            <w:rPr>
              <w:rStyle w:val="32"/>
              <w:rFonts w:eastAsia="黑体"/>
              <w:b w:val="0"/>
              <w:sz w:val="24"/>
              <w:szCs w:val="24"/>
              <w:lang w:val="zh-CN"/>
            </w:rPr>
            <w:fldChar w:fldCharType="end"/>
          </w:r>
        </w:p>
        <w:p>
          <w:pPr>
            <w:pStyle w:val="21"/>
            <w:rPr>
              <w:rStyle w:val="32"/>
              <w:rFonts w:eastAsia="楷体_GB2312"/>
              <w:spacing w:val="-8"/>
              <w:sz w:val="24"/>
              <w:szCs w:val="24"/>
            </w:rPr>
          </w:pPr>
          <w:r>
            <w:fldChar w:fldCharType="begin"/>
          </w:r>
          <w:r>
            <w:instrText xml:space="preserve"> HYPERLINK \l "_Toc116066008" </w:instrText>
          </w:r>
          <w:r>
            <w:fldChar w:fldCharType="separate"/>
          </w:r>
          <w:r>
            <w:rPr>
              <w:rStyle w:val="32"/>
              <w:rFonts w:eastAsia="楷体_GB2312"/>
              <w:spacing w:val="-8"/>
              <w:sz w:val="24"/>
              <w:szCs w:val="24"/>
            </w:rPr>
            <w:t>第一节 加快促进城乡要素双向融合</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_Toc116066008 \h </w:instrText>
          </w:r>
          <w:r>
            <w:rPr>
              <w:rStyle w:val="32"/>
              <w:rFonts w:eastAsia="楷体_GB2312"/>
              <w:spacing w:val="-8"/>
              <w:sz w:val="24"/>
              <w:szCs w:val="24"/>
            </w:rPr>
            <w:fldChar w:fldCharType="separate"/>
          </w:r>
          <w:r>
            <w:rPr>
              <w:rStyle w:val="32"/>
              <w:rFonts w:eastAsia="楷体_GB2312"/>
              <w:spacing w:val="-8"/>
              <w:sz w:val="24"/>
              <w:szCs w:val="24"/>
            </w:rPr>
            <w:t>52</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"_Toc116066009" </w:instrText>
          </w:r>
          <w:r>
            <w:fldChar w:fldCharType="separate"/>
          </w:r>
          <w:r>
            <w:rPr>
              <w:rStyle w:val="32"/>
              <w:rFonts w:eastAsia="楷体_GB2312"/>
              <w:spacing w:val="-8"/>
              <w:sz w:val="24"/>
              <w:szCs w:val="24"/>
            </w:rPr>
            <w:t>第二节 统筹城乡基本公共服务均衡配置</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_Toc116066009 \h </w:instrText>
          </w:r>
          <w:r>
            <w:rPr>
              <w:rStyle w:val="32"/>
              <w:rFonts w:eastAsia="楷体_GB2312"/>
              <w:spacing w:val="-8"/>
              <w:sz w:val="24"/>
              <w:szCs w:val="24"/>
            </w:rPr>
            <w:fldChar w:fldCharType="separate"/>
          </w:r>
          <w:r>
            <w:rPr>
              <w:rStyle w:val="32"/>
              <w:rFonts w:eastAsia="楷体_GB2312"/>
              <w:spacing w:val="-8"/>
              <w:sz w:val="24"/>
              <w:szCs w:val="24"/>
            </w:rPr>
            <w:t>55</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"_Toc116066010" </w:instrText>
          </w:r>
          <w:r>
            <w:fldChar w:fldCharType="separate"/>
          </w:r>
          <w:r>
            <w:rPr>
              <w:rStyle w:val="32"/>
              <w:rFonts w:eastAsia="楷体_GB2312"/>
              <w:spacing w:val="-8"/>
              <w:sz w:val="24"/>
              <w:szCs w:val="24"/>
            </w:rPr>
            <w:t>第三节 推进城乡基础设施一体化发展</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_Toc116066010 \h </w:instrText>
          </w:r>
          <w:r>
            <w:rPr>
              <w:rStyle w:val="32"/>
              <w:rFonts w:eastAsia="楷体_GB2312"/>
              <w:spacing w:val="-8"/>
              <w:sz w:val="24"/>
              <w:szCs w:val="24"/>
            </w:rPr>
            <w:fldChar w:fldCharType="separate"/>
          </w:r>
          <w:r>
            <w:rPr>
              <w:rStyle w:val="32"/>
              <w:rFonts w:eastAsia="楷体_GB2312"/>
              <w:spacing w:val="-8"/>
              <w:sz w:val="24"/>
              <w:szCs w:val="24"/>
            </w:rPr>
            <w:t>58</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"_Toc116066011" </w:instrText>
          </w:r>
          <w:r>
            <w:fldChar w:fldCharType="separate"/>
          </w:r>
          <w:r>
            <w:rPr>
              <w:rStyle w:val="32"/>
              <w:rFonts w:eastAsia="楷体_GB2312"/>
              <w:spacing w:val="-8"/>
              <w:sz w:val="24"/>
              <w:szCs w:val="24"/>
            </w:rPr>
            <w:t>第四节 推进城乡产业协同发展</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_Toc116066011 \h </w:instrText>
          </w:r>
          <w:r>
            <w:rPr>
              <w:rStyle w:val="32"/>
              <w:rFonts w:eastAsia="楷体_GB2312"/>
              <w:spacing w:val="-8"/>
              <w:sz w:val="24"/>
              <w:szCs w:val="24"/>
            </w:rPr>
            <w:fldChar w:fldCharType="separate"/>
          </w:r>
          <w:r>
            <w:rPr>
              <w:rStyle w:val="32"/>
              <w:rFonts w:eastAsia="楷体_GB2312"/>
              <w:spacing w:val="-8"/>
              <w:sz w:val="24"/>
              <w:szCs w:val="24"/>
            </w:rPr>
            <w:t>59</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"_Toc116066012" </w:instrText>
          </w:r>
          <w:r>
            <w:fldChar w:fldCharType="separate"/>
          </w:r>
          <w:r>
            <w:rPr>
              <w:rStyle w:val="32"/>
              <w:rFonts w:eastAsia="楷体_GB2312"/>
              <w:spacing w:val="-8"/>
              <w:sz w:val="24"/>
              <w:szCs w:val="24"/>
            </w:rPr>
            <w:t>第五节 缩小城乡居民收入差距</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_Toc116066012 \h </w:instrText>
          </w:r>
          <w:r>
            <w:rPr>
              <w:rStyle w:val="32"/>
              <w:rFonts w:eastAsia="楷体_GB2312"/>
              <w:spacing w:val="-8"/>
              <w:sz w:val="24"/>
              <w:szCs w:val="24"/>
            </w:rPr>
            <w:fldChar w:fldCharType="separate"/>
          </w:r>
          <w:r>
            <w:rPr>
              <w:rStyle w:val="32"/>
              <w:rFonts w:eastAsia="楷体_GB2312"/>
              <w:spacing w:val="-8"/>
              <w:sz w:val="24"/>
              <w:szCs w:val="24"/>
            </w:rPr>
            <w:t>61</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18"/>
            <w:rPr>
              <w:rStyle w:val="32"/>
              <w:rFonts w:eastAsia="黑体"/>
              <w:b w:val="0"/>
              <w:sz w:val="24"/>
              <w:szCs w:val="24"/>
              <w:lang w:val="zh-CN"/>
            </w:rPr>
          </w:pPr>
          <w:r>
            <w:fldChar w:fldCharType="begin"/>
          </w:r>
          <w:r>
            <w:instrText xml:space="preserve"> HYPERLINK \l "_Toc116066013" </w:instrText>
          </w:r>
          <w:r>
            <w:fldChar w:fldCharType="separate"/>
          </w:r>
          <w:r>
            <w:rPr>
              <w:rStyle w:val="32"/>
              <w:rFonts w:eastAsia="黑体"/>
              <w:b w:val="0"/>
              <w:sz w:val="24"/>
              <w:szCs w:val="24"/>
              <w:lang w:val="zh-CN"/>
            </w:rPr>
            <w:t>第八章 规划实施保障</w:t>
          </w:r>
          <w:r>
            <w:rPr>
              <w:rStyle w:val="32"/>
              <w:rFonts w:eastAsia="黑体"/>
              <w:b w:val="0"/>
              <w:sz w:val="24"/>
              <w:szCs w:val="24"/>
              <w:lang w:val="zh-CN"/>
            </w:rPr>
            <w:tab/>
          </w:r>
          <w:r>
            <w:rPr>
              <w:rStyle w:val="32"/>
              <w:rFonts w:eastAsia="黑体"/>
              <w:b w:val="0"/>
              <w:sz w:val="24"/>
              <w:szCs w:val="24"/>
              <w:lang w:val="zh-CN"/>
            </w:rPr>
            <w:fldChar w:fldCharType="begin"/>
          </w:r>
          <w:r>
            <w:rPr>
              <w:rStyle w:val="32"/>
              <w:rFonts w:eastAsia="黑体"/>
              <w:b w:val="0"/>
              <w:sz w:val="24"/>
              <w:szCs w:val="24"/>
              <w:lang w:val="zh-CN"/>
            </w:rPr>
            <w:instrText xml:space="preserve"> PAGEREF _Toc116066013 \h </w:instrText>
          </w:r>
          <w:r>
            <w:rPr>
              <w:rStyle w:val="32"/>
              <w:rFonts w:eastAsia="黑体"/>
              <w:b w:val="0"/>
              <w:sz w:val="24"/>
              <w:szCs w:val="24"/>
              <w:lang w:val="zh-CN"/>
            </w:rPr>
            <w:fldChar w:fldCharType="separate"/>
          </w:r>
          <w:r>
            <w:rPr>
              <w:rStyle w:val="32"/>
              <w:rFonts w:eastAsia="黑体"/>
              <w:b w:val="0"/>
              <w:sz w:val="24"/>
              <w:szCs w:val="24"/>
              <w:lang w:val="zh-CN"/>
            </w:rPr>
            <w:t>63</w:t>
          </w:r>
          <w:r>
            <w:rPr>
              <w:rStyle w:val="32"/>
              <w:rFonts w:eastAsia="黑体"/>
              <w:b w:val="0"/>
              <w:sz w:val="24"/>
              <w:szCs w:val="24"/>
              <w:lang w:val="zh-CN"/>
            </w:rPr>
            <w:fldChar w:fldCharType="end"/>
          </w:r>
          <w:r>
            <w:rPr>
              <w:rStyle w:val="32"/>
              <w:rFonts w:eastAsia="黑体"/>
              <w:b w:val="0"/>
              <w:sz w:val="24"/>
              <w:szCs w:val="24"/>
              <w:lang w:val="zh-CN"/>
            </w:rPr>
            <w:fldChar w:fldCharType="end"/>
          </w:r>
        </w:p>
        <w:p>
          <w:pPr>
            <w:pStyle w:val="21"/>
            <w:rPr>
              <w:rStyle w:val="32"/>
              <w:rFonts w:eastAsia="楷体_GB2312"/>
              <w:spacing w:val="-8"/>
              <w:sz w:val="24"/>
              <w:szCs w:val="24"/>
            </w:rPr>
          </w:pPr>
          <w:r>
            <w:fldChar w:fldCharType="begin"/>
          </w:r>
          <w:r>
            <w:instrText xml:space="preserve"> HYPERLINK \l "_Toc116066014" </w:instrText>
          </w:r>
          <w:r>
            <w:fldChar w:fldCharType="separate"/>
          </w:r>
          <w:r>
            <w:rPr>
              <w:rStyle w:val="32"/>
              <w:rFonts w:eastAsia="楷体_GB2312"/>
              <w:spacing w:val="-8"/>
              <w:sz w:val="24"/>
              <w:szCs w:val="24"/>
            </w:rPr>
            <w:t>第一节 加强组织协调</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_Toc116066014 \h </w:instrText>
          </w:r>
          <w:r>
            <w:rPr>
              <w:rStyle w:val="32"/>
              <w:rFonts w:eastAsia="楷体_GB2312"/>
              <w:spacing w:val="-8"/>
              <w:sz w:val="24"/>
              <w:szCs w:val="24"/>
            </w:rPr>
            <w:fldChar w:fldCharType="separate"/>
          </w:r>
          <w:r>
            <w:rPr>
              <w:rStyle w:val="32"/>
              <w:rFonts w:eastAsia="楷体_GB2312"/>
              <w:spacing w:val="-8"/>
              <w:sz w:val="24"/>
              <w:szCs w:val="24"/>
            </w:rPr>
            <w:t>63</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"_Toc116066015" </w:instrText>
          </w:r>
          <w:r>
            <w:fldChar w:fldCharType="separate"/>
          </w:r>
          <w:r>
            <w:rPr>
              <w:rStyle w:val="32"/>
              <w:rFonts w:eastAsia="楷体_GB2312"/>
              <w:spacing w:val="-8"/>
              <w:sz w:val="24"/>
              <w:szCs w:val="24"/>
            </w:rPr>
            <w:t>第二节 注重政策引导</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_Toc116066015 \h </w:instrText>
          </w:r>
          <w:r>
            <w:rPr>
              <w:rStyle w:val="32"/>
              <w:rFonts w:eastAsia="楷体_GB2312"/>
              <w:spacing w:val="-8"/>
              <w:sz w:val="24"/>
              <w:szCs w:val="24"/>
            </w:rPr>
            <w:fldChar w:fldCharType="separate"/>
          </w:r>
          <w:r>
            <w:rPr>
              <w:rStyle w:val="32"/>
              <w:rFonts w:eastAsia="楷体_GB2312"/>
              <w:spacing w:val="-8"/>
              <w:sz w:val="24"/>
              <w:szCs w:val="24"/>
            </w:rPr>
            <w:t>64</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"_Toc116066016" </w:instrText>
          </w:r>
          <w:r>
            <w:fldChar w:fldCharType="separate"/>
          </w:r>
          <w:r>
            <w:rPr>
              <w:rStyle w:val="32"/>
              <w:rFonts w:eastAsia="楷体_GB2312"/>
              <w:spacing w:val="-8"/>
              <w:sz w:val="24"/>
              <w:szCs w:val="24"/>
            </w:rPr>
            <w:t>第三节 推进试点示范</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_Toc116066016 \h </w:instrText>
          </w:r>
          <w:r>
            <w:rPr>
              <w:rStyle w:val="32"/>
              <w:rFonts w:eastAsia="楷体_GB2312"/>
              <w:spacing w:val="-8"/>
              <w:sz w:val="24"/>
              <w:szCs w:val="24"/>
            </w:rPr>
            <w:fldChar w:fldCharType="separate"/>
          </w:r>
          <w:r>
            <w:rPr>
              <w:rStyle w:val="32"/>
              <w:rFonts w:eastAsia="楷体_GB2312"/>
              <w:spacing w:val="-8"/>
              <w:sz w:val="24"/>
              <w:szCs w:val="24"/>
            </w:rPr>
            <w:t>64</w:t>
          </w:r>
          <w:r>
            <w:rPr>
              <w:rStyle w:val="32"/>
              <w:rFonts w:eastAsia="楷体_GB2312"/>
              <w:spacing w:val="-8"/>
              <w:sz w:val="24"/>
              <w:szCs w:val="24"/>
            </w:rPr>
            <w:fldChar w:fldCharType="end"/>
          </w:r>
          <w:r>
            <w:rPr>
              <w:rStyle w:val="32"/>
              <w:rFonts w:eastAsia="楷体_GB2312"/>
              <w:spacing w:val="-8"/>
              <w:sz w:val="24"/>
              <w:szCs w:val="24"/>
            </w:rPr>
            <w:fldChar w:fldCharType="end"/>
          </w:r>
        </w:p>
        <w:p>
          <w:pPr>
            <w:pStyle w:val="21"/>
            <w:rPr>
              <w:rStyle w:val="32"/>
              <w:rFonts w:eastAsia="楷体_GB2312"/>
              <w:spacing w:val="-8"/>
              <w:sz w:val="24"/>
              <w:szCs w:val="24"/>
            </w:rPr>
          </w:pPr>
          <w:r>
            <w:fldChar w:fldCharType="begin"/>
          </w:r>
          <w:r>
            <w:instrText xml:space="preserve"> HYPERLINK \l "_Toc116066017" </w:instrText>
          </w:r>
          <w:r>
            <w:fldChar w:fldCharType="separate"/>
          </w:r>
          <w:r>
            <w:rPr>
              <w:rStyle w:val="32"/>
              <w:rFonts w:eastAsia="楷体_GB2312"/>
              <w:spacing w:val="-8"/>
              <w:sz w:val="24"/>
              <w:szCs w:val="24"/>
            </w:rPr>
            <w:t>第四节 健全监测评估</w:t>
          </w:r>
          <w:r>
            <w:rPr>
              <w:rStyle w:val="32"/>
              <w:rFonts w:eastAsia="楷体_GB2312"/>
              <w:spacing w:val="-8"/>
              <w:sz w:val="24"/>
              <w:szCs w:val="24"/>
            </w:rPr>
            <w:tab/>
          </w:r>
          <w:r>
            <w:rPr>
              <w:rStyle w:val="32"/>
              <w:rFonts w:eastAsia="楷体_GB2312"/>
              <w:spacing w:val="-8"/>
              <w:sz w:val="24"/>
              <w:szCs w:val="24"/>
            </w:rPr>
            <w:fldChar w:fldCharType="begin"/>
          </w:r>
          <w:r>
            <w:rPr>
              <w:rStyle w:val="32"/>
              <w:rFonts w:eastAsia="楷体_GB2312"/>
              <w:spacing w:val="-8"/>
              <w:sz w:val="24"/>
              <w:szCs w:val="24"/>
            </w:rPr>
            <w:instrText xml:space="preserve"> PAGEREF _Toc116066017 \h </w:instrText>
          </w:r>
          <w:r>
            <w:rPr>
              <w:rStyle w:val="32"/>
              <w:rFonts w:eastAsia="楷体_GB2312"/>
              <w:spacing w:val="-8"/>
              <w:sz w:val="24"/>
              <w:szCs w:val="24"/>
            </w:rPr>
            <w:fldChar w:fldCharType="separate"/>
          </w:r>
          <w:r>
            <w:rPr>
              <w:rStyle w:val="32"/>
              <w:rFonts w:eastAsia="楷体_GB2312"/>
              <w:spacing w:val="-8"/>
              <w:sz w:val="24"/>
              <w:szCs w:val="24"/>
            </w:rPr>
            <w:t>65</w:t>
          </w:r>
          <w:r>
            <w:rPr>
              <w:rStyle w:val="32"/>
              <w:rFonts w:eastAsia="楷体_GB2312"/>
              <w:spacing w:val="-8"/>
              <w:sz w:val="24"/>
              <w:szCs w:val="24"/>
            </w:rPr>
            <w:fldChar w:fldCharType="end"/>
          </w:r>
          <w:r>
            <w:rPr>
              <w:rStyle w:val="32"/>
              <w:rFonts w:eastAsia="楷体_GB2312"/>
              <w:spacing w:val="-8"/>
              <w:sz w:val="24"/>
              <w:szCs w:val="24"/>
            </w:rPr>
            <w:fldChar w:fldCharType="end"/>
          </w:r>
        </w:p>
        <w:p>
          <w:pPr>
            <w:ind w:firstLine="643"/>
          </w:pPr>
          <w:r>
            <w:rPr>
              <w:b/>
              <w:bCs/>
              <w:lang w:val="zh-CN"/>
            </w:rPr>
            <w:fldChar w:fldCharType="end"/>
          </w:r>
        </w:p>
      </w:sdtContent>
    </w:sdt>
    <w:p>
      <w:pPr>
        <w:ind w:firstLine="640"/>
        <w:sectPr>
          <w:footerReference r:id="rId11" w:type="default"/>
          <w:type w:val="oddPage"/>
          <w:pgSz w:w="11906" w:h="16838"/>
          <w:pgMar w:top="2098" w:right="1474" w:bottom="1985" w:left="1588" w:header="794" w:footer="1588" w:gutter="0"/>
          <w:pgNumType w:fmt="upperRoman" w:start="1"/>
          <w:cols w:space="0" w:num="1"/>
          <w:docGrid w:type="lines" w:linePitch="435" w:charSpace="0"/>
        </w:sectPr>
      </w:pPr>
    </w:p>
    <w:p>
      <w:pPr>
        <w:pStyle w:val="2"/>
      </w:pPr>
      <w:bookmarkStart w:id="4" w:name="_Toc116065976"/>
      <w:r>
        <w:rPr>
          <w:rFonts w:hint="eastAsia"/>
        </w:rPr>
        <w:t>第一章 发展基础</w:t>
      </w:r>
      <w:bookmarkEnd w:id="4"/>
    </w:p>
    <w:p>
      <w:pPr>
        <w:ind w:firstLine="640"/>
        <w:rPr>
          <w:lang w:val="zh-CN"/>
        </w:rPr>
      </w:pPr>
      <w:r>
        <w:rPr>
          <w:rFonts w:hint="eastAsia"/>
          <w:lang w:val="zh-CN"/>
        </w:rPr>
        <w:t>当前汕尾市正处于全面建成小康社会基础上开启全面建设社会主义现代化新征程的关键阶段，也处于推进以人为核心的新型城镇化的关键时期，必须深刻认识城镇化发展新阶段新问题，准确研判城镇化发展新趋势新特点，把握规律，因势利导，积极稳妥推进城镇化高质量发展。</w:t>
      </w:r>
    </w:p>
    <w:p>
      <w:pPr>
        <w:pStyle w:val="3"/>
        <w:spacing w:before="217" w:after="217"/>
        <w:rPr>
          <w:lang w:val="zh-CN"/>
        </w:rPr>
      </w:pPr>
      <w:bookmarkStart w:id="5" w:name="_Toc116065977"/>
      <w:r>
        <w:rPr>
          <w:rFonts w:hint="eastAsia"/>
          <w:lang w:val="zh-CN"/>
        </w:rPr>
        <w:t>第一节 发展成就</w:t>
      </w:r>
      <w:bookmarkEnd w:id="5"/>
    </w:p>
    <w:p>
      <w:pPr>
        <w:ind w:firstLine="640"/>
        <w:rPr>
          <w:bCs/>
          <w:lang w:val="zh-CN"/>
        </w:rPr>
      </w:pPr>
      <w:r>
        <w:rPr>
          <w:rFonts w:hint="eastAsia"/>
          <w:bCs/>
          <w:lang w:val="zh-CN"/>
        </w:rPr>
        <w:t>当前，汕尾市全面落实中央城镇化工作会议精神以及广东省新型城镇化部署，积极稳妥推进以人为核心的新型城镇化建设，着力增强农业转移人口进城落户意愿和能力，着力提升城市吸引力和承载力，2</w:t>
      </w:r>
      <w:r>
        <w:rPr>
          <w:bCs/>
          <w:lang w:val="zh-CN"/>
        </w:rPr>
        <w:t>021</w:t>
      </w:r>
      <w:r>
        <w:rPr>
          <w:rFonts w:hint="eastAsia"/>
          <w:bCs/>
          <w:lang w:val="zh-CN"/>
        </w:rPr>
        <w:t>年全市常住人口城镇化率达到5</w:t>
      </w:r>
      <w:r>
        <w:rPr>
          <w:bCs/>
          <w:lang w:val="zh-CN"/>
        </w:rPr>
        <w:t>7.56%</w:t>
      </w:r>
      <w:r>
        <w:rPr>
          <w:rFonts w:hint="eastAsia"/>
          <w:bCs/>
          <w:lang w:val="zh-CN"/>
        </w:rPr>
        <w:t>，城镇化处于加速发展阶段。</w:t>
      </w:r>
    </w:p>
    <w:p>
      <w:pPr>
        <w:ind w:firstLine="643"/>
        <w:rPr>
          <w:color w:val="auto"/>
          <w:sz w:val="21"/>
          <w:lang w:val="zh-CN"/>
        </w:rPr>
      </w:pPr>
      <w:r>
        <w:rPr>
          <w:rFonts w:hint="eastAsia"/>
          <w:b/>
          <w:lang w:val="zh-CN"/>
        </w:rPr>
        <w:t>农业转移人口市民化稳步推进。</w:t>
      </w:r>
      <w:r>
        <w:rPr>
          <w:rFonts w:hint="eastAsia"/>
          <w:color w:val="auto"/>
          <w:lang w:val="zh-CN"/>
        </w:rPr>
        <w:t>户籍制度改革成效显著，2</w:t>
      </w:r>
      <w:r>
        <w:rPr>
          <w:color w:val="auto"/>
          <w:lang w:val="zh-CN"/>
        </w:rPr>
        <w:t>017</w:t>
      </w:r>
      <w:r>
        <w:rPr>
          <w:rFonts w:hint="eastAsia"/>
          <w:color w:val="auto"/>
          <w:lang w:val="zh-CN"/>
        </w:rPr>
        <w:t>年出台推动非户籍人口在城市落户实施方案，全方位放宽进城人口落户限制。“十三五”期间，全市户籍人口城镇化率从2</w:t>
      </w:r>
      <w:r>
        <w:rPr>
          <w:color w:val="auto"/>
          <w:lang w:val="zh-CN"/>
        </w:rPr>
        <w:t>015</w:t>
      </w:r>
      <w:r>
        <w:rPr>
          <w:rFonts w:hint="eastAsia"/>
          <w:color w:val="auto"/>
          <w:lang w:val="zh-CN"/>
        </w:rPr>
        <w:t>年的4</w:t>
      </w:r>
      <w:r>
        <w:rPr>
          <w:color w:val="auto"/>
          <w:lang w:val="zh-CN"/>
        </w:rPr>
        <w:t>7.61</w:t>
      </w:r>
      <w:r>
        <w:rPr>
          <w:rFonts w:hint="eastAsia"/>
          <w:color w:val="auto"/>
          <w:lang w:val="zh-CN"/>
        </w:rPr>
        <w:t>%提升至2</w:t>
      </w:r>
      <w:r>
        <w:rPr>
          <w:color w:val="auto"/>
          <w:lang w:val="zh-CN"/>
        </w:rPr>
        <w:t>020</w:t>
      </w:r>
      <w:r>
        <w:rPr>
          <w:rFonts w:hint="eastAsia"/>
          <w:color w:val="auto"/>
          <w:lang w:val="zh-CN"/>
        </w:rPr>
        <w:t>年的5</w:t>
      </w:r>
      <w:r>
        <w:rPr>
          <w:color w:val="auto"/>
          <w:lang w:val="zh-CN"/>
        </w:rPr>
        <w:t>1.40</w:t>
      </w:r>
      <w:r>
        <w:rPr>
          <w:rFonts w:hint="eastAsia"/>
          <w:color w:val="auto"/>
          <w:lang w:val="zh-CN"/>
        </w:rPr>
        <w:t>%，增长了</w:t>
      </w:r>
      <w:r>
        <w:rPr>
          <w:color w:val="auto"/>
          <w:lang w:val="zh-CN"/>
        </w:rPr>
        <w:t>3.79</w:t>
      </w:r>
      <w:r>
        <w:rPr>
          <w:rFonts w:hint="eastAsia"/>
          <w:color w:val="auto"/>
          <w:lang w:val="zh-CN"/>
        </w:rPr>
        <w:t>个百分点，累计实现超8万非户籍人口在城市落户。基本实现居住证常住人口全覆盖，以居住证为载体的基本公共服务供给机制不断完善。城镇基本公共服务均等化渐次推进，截至2021年，全市异地务工随迁子女入读公办义务教育学校占总数的</w:t>
      </w:r>
      <w:r>
        <w:rPr>
          <w:color w:val="auto"/>
          <w:lang w:val="zh-CN"/>
        </w:rPr>
        <w:t>89.05</w:t>
      </w:r>
      <w:r>
        <w:rPr>
          <w:rFonts w:hint="eastAsia"/>
          <w:color w:val="auto"/>
          <w:lang w:val="zh-CN"/>
        </w:rPr>
        <w:t>%，随迁子女义务教育保障水平进一步提高；全市社会保障卡持卡人数达310万人，社保卡持卡率稳步提升；医保覆盖面持续扩大，全市基本医疗保险参保人数2</w:t>
      </w:r>
      <w:r>
        <w:rPr>
          <w:color w:val="auto"/>
          <w:lang w:val="zh-CN"/>
        </w:rPr>
        <w:t>91</w:t>
      </w:r>
      <w:r>
        <w:rPr>
          <w:rFonts w:hint="eastAsia"/>
          <w:color w:val="auto"/>
          <w:lang w:val="zh-CN"/>
        </w:rPr>
        <w:t>万人，参保率达到1</w:t>
      </w:r>
      <w:r>
        <w:rPr>
          <w:color w:val="auto"/>
          <w:lang w:val="zh-CN"/>
        </w:rPr>
        <w:t>08.47%</w:t>
      </w:r>
      <w:r>
        <w:rPr>
          <w:rFonts w:hint="eastAsia"/>
          <w:color w:val="auto"/>
          <w:lang w:val="zh-CN"/>
        </w:rPr>
        <w:t>，基本民生保障能力进一步提升。2016-2021年累计获得省级财政下达市、县农业转移人口市民化奖励资金4.38亿元。</w:t>
      </w:r>
    </w:p>
    <w:p>
      <w:pPr>
        <w:ind w:firstLine="643"/>
        <w:rPr>
          <w:lang w:val="zh-CN"/>
        </w:rPr>
      </w:pPr>
      <w:r>
        <w:rPr>
          <w:rFonts w:hint="eastAsia"/>
          <w:b/>
          <w:color w:val="auto"/>
          <w:lang w:val="zh-CN"/>
        </w:rPr>
        <w:t>城市发展质量明显提升。</w:t>
      </w:r>
      <w:r>
        <w:rPr>
          <w:rFonts w:hint="eastAsia"/>
          <w:color w:val="auto"/>
          <w:lang w:val="zh-CN"/>
        </w:rPr>
        <w:t>经济发展迈上新台阶，2021年全市实现地区生产总值1288.04亿元，同比增长12.7%，两年平均增长8.6%，高于全省平均水平，三次产业结构进一步优化调整为13.6：38.7：47.7。</w:t>
      </w:r>
      <w:r>
        <w:rPr>
          <w:rFonts w:hint="eastAsia"/>
          <w:lang w:val="zh-CN"/>
        </w:rPr>
        <w:t>城市基础设施支撑保障能力不断增强，截至2021年，公路通车里程5875.6公里，其中高速公路里程达到235.9公里；广汕、汕汕铁路全线建设工作有序推进，汕尾市境内建设里程分别约33公里和69公里；国道G</w:t>
      </w:r>
      <w:r>
        <w:rPr>
          <w:lang w:val="zh-CN"/>
        </w:rPr>
        <w:t>324</w:t>
      </w:r>
      <w:r>
        <w:rPr>
          <w:rFonts w:hint="eastAsia"/>
          <w:lang w:val="zh-CN"/>
        </w:rPr>
        <w:t>线陆丰穿城段、省道S240线陆丰交界至霞湖段等重点国省干线</w:t>
      </w:r>
      <w:r>
        <w:t>项目</w:t>
      </w:r>
      <w:r>
        <w:rPr>
          <w:rFonts w:hint="eastAsia"/>
        </w:rPr>
        <w:t>完成</w:t>
      </w:r>
      <w:r>
        <w:t>升级改造</w:t>
      </w:r>
      <w:r>
        <w:rPr>
          <w:rFonts w:hint="eastAsia"/>
          <w:lang w:val="zh-CN"/>
        </w:rPr>
        <w:t>，普通国省道二级及以上公路比例达73.5%。生态文明建设成效显著，环境空气综合质量指数连续</w:t>
      </w:r>
      <w:r>
        <w:rPr>
          <w:lang w:val="zh-CN"/>
        </w:rPr>
        <w:t>7</w:t>
      </w:r>
      <w:r>
        <w:rPr>
          <w:rFonts w:hint="eastAsia"/>
          <w:lang w:val="zh-CN"/>
        </w:rPr>
        <w:t>年排名全省第一，全市</w:t>
      </w:r>
      <w:bookmarkStart w:id="6" w:name="_Hlk116136023"/>
      <w:r>
        <w:rPr>
          <w:rFonts w:hint="eastAsia"/>
          <w:lang w:val="zh-CN"/>
        </w:rPr>
        <w:t>地表水水质达标率</w:t>
      </w:r>
      <w:bookmarkEnd w:id="6"/>
      <w:r>
        <w:rPr>
          <w:rFonts w:hint="eastAsia"/>
          <w:lang w:val="zh-CN"/>
        </w:rPr>
        <w:t>、饮用水水源地水质和河流监测断面水质达标率达到1</w:t>
      </w:r>
      <w:r>
        <w:rPr>
          <w:lang w:val="zh-CN"/>
        </w:rPr>
        <w:t>00%</w:t>
      </w:r>
      <w:r>
        <w:rPr>
          <w:rFonts w:hint="eastAsia"/>
          <w:lang w:val="zh-CN"/>
        </w:rPr>
        <w:t>，城市污水处理率达到97.43%，森林覆盖率达到4</w:t>
      </w:r>
      <w:r>
        <w:rPr>
          <w:lang w:val="zh-CN"/>
        </w:rPr>
        <w:t>9.2%</w:t>
      </w:r>
      <w:r>
        <w:rPr>
          <w:rFonts w:hint="eastAsia"/>
          <w:lang w:val="zh-CN"/>
        </w:rPr>
        <w:t>。公共设施不断完善，截至2</w:t>
      </w:r>
      <w:r>
        <w:rPr>
          <w:lang w:val="zh-CN"/>
        </w:rPr>
        <w:t>021</w:t>
      </w:r>
      <w:r>
        <w:rPr>
          <w:rFonts w:hint="eastAsia"/>
          <w:lang w:val="zh-CN"/>
        </w:rPr>
        <w:t>年，城市建成区范围内已建成综合公园5个、社区公园6个、专类公园5个、口袋公园（游园）6个，</w:t>
      </w:r>
      <w:r>
        <w:rPr>
          <w:rFonts w:hint="eastAsia" w:ascii="仿宋_GB2312" w:hAnsi="仿宋" w:cs="仿宋"/>
        </w:rPr>
        <w:t>城市建成区人均公园绿地面</w:t>
      </w:r>
      <w:r>
        <w:rPr>
          <w:rFonts w:hint="eastAsia"/>
        </w:rPr>
        <w:t>积15.39平方米；全市5G基站数达</w:t>
      </w:r>
      <w:r>
        <w:t>3811</w:t>
      </w:r>
      <w:r>
        <w:rPr>
          <w:rFonts w:hint="eastAsia"/>
        </w:rPr>
        <w:t>座，城市光纤入户率达</w:t>
      </w:r>
      <w:r>
        <w:t>125.54</w:t>
      </w:r>
      <w:r>
        <w:rPr>
          <w:rFonts w:hint="eastAsia"/>
        </w:rPr>
        <w:t>%。</w:t>
      </w:r>
      <w:r>
        <w:rPr>
          <w:rFonts w:hint="eastAsia"/>
          <w:lang w:val="zh-CN"/>
        </w:rPr>
        <w:t>城市文化内涵不断丰富，“十三五”期间全市共有国家级非物质文化遗产9项、省级非物质文化遗产29项、市级非物质文化遗产58项，建成省级非物质文化遗产保护示范性基地8处，先后荣获“中国最具投资价值旅游城市”“中国文化旅游新地标”“中国文化旅游示范基地”等荣誉称号。</w:t>
      </w:r>
    </w:p>
    <w:p>
      <w:pPr>
        <w:ind w:firstLine="643"/>
        <w:rPr>
          <w:color w:val="auto"/>
          <w:lang w:val="zh-CN"/>
        </w:rPr>
      </w:pPr>
      <w:r>
        <w:rPr>
          <w:rFonts w:hint="eastAsia"/>
          <w:b/>
          <w:color w:val="auto"/>
          <w:lang w:val="zh-CN"/>
        </w:rPr>
        <w:t>城市公共服务水平持续提升。</w:t>
      </w:r>
      <w:r>
        <w:rPr>
          <w:rFonts w:hint="eastAsia"/>
          <w:color w:val="auto"/>
          <w:lang w:val="zh-CN"/>
        </w:rPr>
        <w:t>城镇产业创新能力和就业承载能力不断增强，拥有省级企业重点实验室1家、省级工程中心1</w:t>
      </w:r>
      <w:r>
        <w:rPr>
          <w:color w:val="auto"/>
          <w:lang w:val="zh-CN"/>
        </w:rPr>
        <w:t>3</w:t>
      </w:r>
      <w:r>
        <w:rPr>
          <w:rFonts w:hint="eastAsia"/>
          <w:color w:val="auto"/>
          <w:lang w:val="zh-CN"/>
        </w:rPr>
        <w:t>家、新型研发机构9家以及市级科技企业孵化器和众创空间各5家，2</w:t>
      </w:r>
      <w:r>
        <w:rPr>
          <w:color w:val="auto"/>
          <w:lang w:val="zh-CN"/>
        </w:rPr>
        <w:t>016-2021</w:t>
      </w:r>
      <w:r>
        <w:rPr>
          <w:rFonts w:hint="eastAsia"/>
          <w:color w:val="auto"/>
          <w:lang w:val="zh-CN"/>
        </w:rPr>
        <w:t>年新增城镇就业人数累计突破</w:t>
      </w:r>
      <w:r>
        <w:rPr>
          <w:color w:val="auto"/>
          <w:lang w:val="zh-CN"/>
        </w:rPr>
        <w:t>30</w:t>
      </w:r>
      <w:r>
        <w:rPr>
          <w:rFonts w:hint="eastAsia"/>
          <w:color w:val="auto"/>
          <w:lang w:val="zh-CN"/>
        </w:rPr>
        <w:t>万人。城市基本医疗卫生条件不断提升，截至2021年，全市拥有医疗床位</w:t>
      </w:r>
      <w:r>
        <w:rPr>
          <w:color w:val="auto"/>
          <w:lang w:val="zh-CN"/>
        </w:rPr>
        <w:t>12340</w:t>
      </w:r>
      <w:r>
        <w:rPr>
          <w:rFonts w:hint="eastAsia"/>
          <w:color w:val="auto"/>
          <w:lang w:val="zh-CN"/>
        </w:rPr>
        <w:t>张，执业医师和执业助理医师4764人，实现每千常住人口医疗床位4.62张。教育事业蓬勃发展，大力实施学前教育“5080”攻坚、义务教育学校新改扩建等工程，全市小学学龄儿童入学率达100%，初中毕业生升学率达98.59%，高中阶段毛入学率达95.5%。公共文化服务体系进一步完善，全市已建成8家博物馆、4家文化馆、4家图书馆以及5</w:t>
      </w:r>
      <w:r>
        <w:rPr>
          <w:color w:val="auto"/>
          <w:lang w:val="zh-CN"/>
        </w:rPr>
        <w:t>2</w:t>
      </w:r>
      <w:r>
        <w:rPr>
          <w:rFonts w:hint="eastAsia"/>
          <w:color w:val="auto"/>
          <w:lang w:val="zh-CN"/>
        </w:rPr>
        <w:t>个乡镇（街道）文化站，实现乡镇（街道）文化站覆盖率1</w:t>
      </w:r>
      <w:r>
        <w:rPr>
          <w:color w:val="auto"/>
          <w:lang w:val="zh-CN"/>
        </w:rPr>
        <w:t>00%</w:t>
      </w:r>
      <w:r>
        <w:rPr>
          <w:rFonts w:hint="eastAsia"/>
          <w:color w:val="auto"/>
          <w:lang w:val="zh-CN"/>
        </w:rPr>
        <w:t>。社会保障体系逐渐完善，全市城镇职工基本养老保险（含离退休）参保人员31.83万人，城乡居民基本养老保险参保人数95.55万人，失业保险参保人数和工伤保险参保人数分别达到12.72万人和19.6万人，养老、失业、工伤等各项社保待遇按时足额发放率均达100%。</w:t>
      </w:r>
    </w:p>
    <w:p>
      <w:pPr>
        <w:ind w:firstLine="643"/>
        <w:rPr>
          <w:color w:val="auto"/>
          <w:lang w:val="zh-CN"/>
        </w:rPr>
      </w:pPr>
      <w:r>
        <w:rPr>
          <w:rFonts w:hint="eastAsia"/>
          <w:b/>
          <w:color w:val="auto"/>
          <w:lang w:val="zh-CN"/>
        </w:rPr>
        <w:t>城乡融合发展加快推进。</w:t>
      </w:r>
      <w:r>
        <w:rPr>
          <w:rFonts w:hint="eastAsia"/>
          <w:color w:val="auto"/>
          <w:lang w:val="zh-CN"/>
        </w:rPr>
        <w:t>城乡差距不断缩小，202</w:t>
      </w:r>
      <w:r>
        <w:rPr>
          <w:color w:val="auto"/>
          <w:lang w:val="zh-CN"/>
        </w:rPr>
        <w:t>1</w:t>
      </w:r>
      <w:r>
        <w:rPr>
          <w:rFonts w:hint="eastAsia"/>
          <w:color w:val="auto"/>
          <w:lang w:val="zh-CN"/>
        </w:rPr>
        <w:t>年城镇居民人均可支配收入</w:t>
      </w:r>
      <w:r>
        <w:rPr>
          <w:color w:val="auto"/>
          <w:lang w:val="zh-CN"/>
        </w:rPr>
        <w:t>33082</w:t>
      </w:r>
      <w:r>
        <w:rPr>
          <w:rFonts w:hint="eastAsia"/>
          <w:color w:val="auto"/>
          <w:lang w:val="zh-CN"/>
        </w:rPr>
        <w:t>元，农村居民人均可支配收入</w:t>
      </w:r>
      <w:r>
        <w:rPr>
          <w:color w:val="auto"/>
          <w:lang w:val="zh-CN"/>
        </w:rPr>
        <w:t>19885</w:t>
      </w:r>
      <w:r>
        <w:rPr>
          <w:rFonts w:hint="eastAsia"/>
          <w:color w:val="auto"/>
          <w:lang w:val="zh-CN"/>
        </w:rPr>
        <w:t>元，城乡居民人均可支配收入比由2</w:t>
      </w:r>
      <w:r>
        <w:rPr>
          <w:color w:val="auto"/>
          <w:lang w:val="zh-CN"/>
        </w:rPr>
        <w:t>015</w:t>
      </w:r>
      <w:r>
        <w:rPr>
          <w:rFonts w:hint="eastAsia"/>
          <w:color w:val="auto"/>
          <w:lang w:val="zh-CN"/>
        </w:rPr>
        <w:t>年的</w:t>
      </w:r>
      <w:r>
        <w:rPr>
          <w:color w:val="auto"/>
          <w:lang w:val="zh-CN"/>
        </w:rPr>
        <w:t>1.83</w:t>
      </w:r>
      <w:r>
        <w:rPr>
          <w:rFonts w:hint="eastAsia"/>
          <w:color w:val="auto"/>
          <w:lang w:val="zh-CN"/>
        </w:rPr>
        <w:t>:</w:t>
      </w:r>
      <w:r>
        <w:rPr>
          <w:color w:val="auto"/>
          <w:lang w:val="zh-CN"/>
        </w:rPr>
        <w:t>1</w:t>
      </w:r>
      <w:r>
        <w:rPr>
          <w:rFonts w:hint="eastAsia"/>
          <w:color w:val="auto"/>
          <w:lang w:val="zh-CN"/>
        </w:rPr>
        <w:t>缩小至2</w:t>
      </w:r>
      <w:r>
        <w:rPr>
          <w:color w:val="auto"/>
          <w:lang w:val="zh-CN"/>
        </w:rPr>
        <w:t>020</w:t>
      </w:r>
      <w:r>
        <w:rPr>
          <w:rFonts w:hint="eastAsia"/>
          <w:color w:val="auto"/>
          <w:lang w:val="zh-CN"/>
        </w:rPr>
        <w:t>的1</w:t>
      </w:r>
      <w:r>
        <w:rPr>
          <w:color w:val="auto"/>
          <w:lang w:val="zh-CN"/>
        </w:rPr>
        <w:t>.66</w:t>
      </w:r>
      <w:r>
        <w:rPr>
          <w:rFonts w:hint="eastAsia"/>
          <w:color w:val="auto"/>
          <w:lang w:val="zh-CN"/>
        </w:rPr>
        <w:t>:</w:t>
      </w:r>
      <w:r>
        <w:rPr>
          <w:color w:val="auto"/>
          <w:lang w:val="zh-CN"/>
        </w:rPr>
        <w:t>1</w:t>
      </w:r>
      <w:r>
        <w:rPr>
          <w:rFonts w:hint="eastAsia"/>
          <w:color w:val="auto"/>
          <w:lang w:val="zh-CN"/>
        </w:rPr>
        <w:t>。城乡要素合理配置体制机制不断健全，制定财政、金融、社会保障等激励政策，吸引各类人才返乡创业就业。农村土地规模化经营成效明显，2</w:t>
      </w:r>
      <w:r>
        <w:rPr>
          <w:color w:val="auto"/>
          <w:lang w:val="zh-CN"/>
        </w:rPr>
        <w:t>021</w:t>
      </w:r>
      <w:r>
        <w:rPr>
          <w:rFonts w:hint="eastAsia"/>
          <w:color w:val="auto"/>
          <w:lang w:val="zh-CN"/>
        </w:rPr>
        <w:t>年农村土地流转率达到60.28%。乡村振兴示范带建设初步成型，建成中国美丽休闲乡村1个、省级休闲农业与乡村旅游示范镇（点）16个，基本实现连线连片开发乡村旅游。现代农业加快发展，共有省级重点农业龙头企业48家，获批创建1个国家级现代农业产业园，以及12个省级现代农业产业园。基础设施一体化建设机制不断健全，实施“九大攻坚”行动推动农村人居环境整治向品质提升迈进，“十三五”期间农村无害化卫生户厕普及率、垃圾收运处置体系覆盖率以及乡镇和建制村的通达率、通畅率、农村公路管养率均达到100%；全市行政村以及2</w:t>
      </w:r>
      <w:r>
        <w:rPr>
          <w:color w:val="auto"/>
          <w:lang w:val="zh-CN"/>
        </w:rPr>
        <w:t>0</w:t>
      </w:r>
      <w:r>
        <w:rPr>
          <w:rFonts w:hint="eastAsia"/>
          <w:color w:val="auto"/>
          <w:lang w:val="zh-CN"/>
        </w:rPr>
        <w:t>户以上自然村实现</w:t>
      </w:r>
      <w:r>
        <w:rPr>
          <w:color w:val="auto"/>
          <w:lang w:val="zh-CN"/>
        </w:rPr>
        <w:t>4G</w:t>
      </w:r>
      <w:r>
        <w:rPr>
          <w:rFonts w:hint="eastAsia"/>
          <w:color w:val="auto"/>
          <w:lang w:val="zh-CN"/>
        </w:rPr>
        <w:t>网络和光纤网络全覆盖。注重试点引路，海丰县纳入国家县城新型城镇化建设示范名单，陆丰市碣石镇、陆河县河口镇成功申报为省级中心镇城乡融合发展试点镇，陆河县成功申报为全国农村宅基地管理制度改革试点。</w:t>
      </w:r>
    </w:p>
    <w:p>
      <w:pPr>
        <w:pStyle w:val="3"/>
        <w:spacing w:before="217" w:after="217"/>
        <w:rPr>
          <w:lang w:val="zh-CN"/>
        </w:rPr>
      </w:pPr>
      <w:bookmarkStart w:id="7" w:name="_Toc116065978"/>
      <w:r>
        <w:rPr>
          <w:rFonts w:hint="eastAsia"/>
          <w:lang w:val="zh-CN"/>
        </w:rPr>
        <w:t>第二节 存在问题</w:t>
      </w:r>
      <w:bookmarkEnd w:id="7"/>
    </w:p>
    <w:p>
      <w:pPr>
        <w:ind w:firstLine="640"/>
        <w:rPr>
          <w:rFonts w:hint="eastAsia" w:ascii="仿宋_GB2312" w:hAnsi="仿宋_GB2312" w:cs="仿宋_GB2312"/>
        </w:rPr>
      </w:pPr>
      <w:r>
        <w:rPr>
          <w:rFonts w:hint="eastAsia" w:ascii="仿宋_GB2312" w:hAnsi="仿宋_GB2312" w:cs="仿宋_GB2312"/>
        </w:rPr>
        <w:t>在新型城镇化建设取得重要进展的同时，汕尾市新型城镇化发展不平衡不充分问题依然存在，短板弱项亟待进一步加强提升。</w:t>
      </w:r>
    </w:p>
    <w:p>
      <w:pPr>
        <w:ind w:firstLine="643"/>
        <w:rPr>
          <w:bCs/>
          <w:lang w:val="zh-CN"/>
        </w:rPr>
      </w:pPr>
      <w:r>
        <w:rPr>
          <w:rFonts w:hint="eastAsia"/>
          <w:b/>
          <w:lang w:val="zh-CN"/>
        </w:rPr>
        <w:t>城镇化进程中人口问题突出。</w:t>
      </w:r>
      <w:r>
        <w:rPr>
          <w:rFonts w:hint="eastAsia"/>
          <w:bCs/>
          <w:lang w:val="zh-CN"/>
        </w:rPr>
        <w:t>根据第七次全国人口普查数据，</w:t>
      </w:r>
      <w:r>
        <w:rPr>
          <w:rFonts w:hint="eastAsia"/>
          <w:lang w:val="zh-CN"/>
        </w:rPr>
        <w:t>汕尾</w:t>
      </w:r>
      <w:r>
        <w:rPr>
          <w:rFonts w:hint="eastAsia"/>
          <w:bCs/>
          <w:lang w:val="zh-CN"/>
        </w:rPr>
        <w:t>市</w:t>
      </w:r>
      <w:r>
        <w:rPr>
          <w:rFonts w:hint="eastAsia"/>
          <w:lang w:val="zh-CN"/>
        </w:rPr>
        <w:t>常住城镇人口由2</w:t>
      </w:r>
      <w:r>
        <w:rPr>
          <w:lang w:val="zh-CN"/>
        </w:rPr>
        <w:t>010</w:t>
      </w:r>
      <w:r>
        <w:rPr>
          <w:rFonts w:hint="eastAsia"/>
          <w:lang w:val="zh-CN"/>
        </w:rPr>
        <w:t>年的</w:t>
      </w:r>
      <w:r>
        <w:rPr>
          <w:lang w:val="zh-CN"/>
        </w:rPr>
        <w:t>155.02</w:t>
      </w:r>
      <w:r>
        <w:rPr>
          <w:rFonts w:hint="eastAsia"/>
          <w:lang w:val="zh-CN"/>
        </w:rPr>
        <w:t>万人降低至2</w:t>
      </w:r>
      <w:r>
        <w:rPr>
          <w:lang w:val="zh-CN"/>
        </w:rPr>
        <w:t>020</w:t>
      </w:r>
      <w:r>
        <w:rPr>
          <w:rFonts w:hint="eastAsia"/>
          <w:lang w:val="zh-CN"/>
        </w:rPr>
        <w:t>年的</w:t>
      </w:r>
      <w:r>
        <w:rPr>
          <w:lang w:val="zh-CN"/>
        </w:rPr>
        <w:t>152.67</w:t>
      </w:r>
      <w:r>
        <w:rPr>
          <w:rFonts w:hint="eastAsia"/>
          <w:lang w:val="zh-CN"/>
        </w:rPr>
        <w:t>万人，城镇人口比重为5</w:t>
      </w:r>
      <w:r>
        <w:rPr>
          <w:lang w:val="zh-CN"/>
        </w:rPr>
        <w:t>7.12%</w:t>
      </w:r>
      <w:r>
        <w:rPr>
          <w:rFonts w:hint="eastAsia"/>
          <w:lang w:val="zh-CN"/>
        </w:rPr>
        <w:t>，</w:t>
      </w:r>
      <w:r>
        <w:rPr>
          <w:rFonts w:hint="eastAsia"/>
          <w:bCs/>
          <w:lang w:val="zh-CN"/>
        </w:rPr>
        <w:t>低于全省平均水平</w:t>
      </w:r>
      <w:r>
        <w:rPr>
          <w:bCs/>
          <w:lang w:val="zh-CN"/>
        </w:rPr>
        <w:t>17.03</w:t>
      </w:r>
      <w:r>
        <w:rPr>
          <w:rFonts w:hint="eastAsia"/>
          <w:bCs/>
          <w:lang w:val="zh-CN"/>
        </w:rPr>
        <w:t>个百分点，城镇化水平显著较低。同时，汕尾市2</w:t>
      </w:r>
      <w:r>
        <w:rPr>
          <w:bCs/>
          <w:lang w:val="zh-CN"/>
        </w:rPr>
        <w:t>020</w:t>
      </w:r>
      <w:r>
        <w:rPr>
          <w:rFonts w:hint="eastAsia"/>
          <w:bCs/>
          <w:lang w:val="zh-CN"/>
        </w:rPr>
        <w:t>年常住人口为2</w:t>
      </w:r>
      <w:r>
        <w:rPr>
          <w:bCs/>
          <w:lang w:val="zh-CN"/>
        </w:rPr>
        <w:t>67.</w:t>
      </w:r>
      <w:r>
        <w:rPr>
          <w:rFonts w:hint="eastAsia"/>
          <w:bCs/>
          <w:lang w:val="zh-CN"/>
        </w:rPr>
        <w:t>2</w:t>
      </w:r>
      <w:r>
        <w:rPr>
          <w:bCs/>
          <w:lang w:val="zh-CN"/>
        </w:rPr>
        <w:t>8</w:t>
      </w:r>
      <w:r>
        <w:rPr>
          <w:rFonts w:hint="eastAsia"/>
          <w:bCs/>
          <w:lang w:val="zh-CN"/>
        </w:rPr>
        <w:t>万人，较2</w:t>
      </w:r>
      <w:r>
        <w:rPr>
          <w:bCs/>
          <w:lang w:val="zh-CN"/>
        </w:rPr>
        <w:t>010</w:t>
      </w:r>
      <w:r>
        <w:rPr>
          <w:rFonts w:hint="eastAsia"/>
          <w:bCs/>
          <w:lang w:val="zh-CN"/>
        </w:rPr>
        <w:t>年减少</w:t>
      </w:r>
      <w:r>
        <w:rPr>
          <w:bCs/>
          <w:lang w:val="zh-CN"/>
        </w:rPr>
        <w:t>19.73</w:t>
      </w:r>
      <w:r>
        <w:rPr>
          <w:rFonts w:hint="eastAsia"/>
          <w:bCs/>
          <w:lang w:val="zh-CN"/>
        </w:rPr>
        <w:t>万人，下降幅度约为6</w:t>
      </w:r>
      <w:r>
        <w:rPr>
          <w:bCs/>
          <w:lang w:val="zh-CN"/>
        </w:rPr>
        <w:t>.87%</w:t>
      </w:r>
      <w:r>
        <w:rPr>
          <w:rFonts w:hint="eastAsia"/>
          <w:bCs/>
          <w:lang w:val="zh-CN"/>
        </w:rPr>
        <w:t>；常住人口与户籍人口规模差距为8</w:t>
      </w:r>
      <w:r>
        <w:rPr>
          <w:bCs/>
          <w:lang w:val="zh-CN"/>
        </w:rPr>
        <w:t>8.87</w:t>
      </w:r>
      <w:r>
        <w:rPr>
          <w:rFonts w:hint="eastAsia"/>
          <w:bCs/>
          <w:lang w:val="zh-CN"/>
        </w:rPr>
        <w:t>万人，较2</w:t>
      </w:r>
      <w:r>
        <w:rPr>
          <w:bCs/>
          <w:lang w:val="zh-CN"/>
        </w:rPr>
        <w:t>010</w:t>
      </w:r>
      <w:r>
        <w:rPr>
          <w:rFonts w:hint="eastAsia"/>
          <w:bCs/>
          <w:lang w:val="zh-CN"/>
        </w:rPr>
        <w:t>年差距扩大3</w:t>
      </w:r>
      <w:r>
        <w:rPr>
          <w:bCs/>
          <w:lang w:val="zh-CN"/>
        </w:rPr>
        <w:t>0.9</w:t>
      </w:r>
      <w:r>
        <w:rPr>
          <w:rFonts w:hint="eastAsia"/>
          <w:bCs/>
          <w:lang w:val="zh-CN"/>
        </w:rPr>
        <w:t>万人；15岁及以上人口平均受教育年限为</w:t>
      </w:r>
      <w:r>
        <w:rPr>
          <w:bCs/>
          <w:lang w:val="zh-CN"/>
        </w:rPr>
        <w:t>8.40</w:t>
      </w:r>
      <w:r>
        <w:rPr>
          <w:rFonts w:hint="eastAsia"/>
          <w:bCs/>
          <w:lang w:val="zh-CN"/>
        </w:rPr>
        <w:t>年，比全省平均水平低1</w:t>
      </w:r>
      <w:r>
        <w:rPr>
          <w:bCs/>
          <w:lang w:val="zh-CN"/>
        </w:rPr>
        <w:t>.98</w:t>
      </w:r>
      <w:r>
        <w:rPr>
          <w:rFonts w:hint="eastAsia"/>
          <w:bCs/>
          <w:lang w:val="zh-CN"/>
        </w:rPr>
        <w:t>年，在全省中处于落后位置，体现出汕尾市人口呈净流出态势，且对人才吸引力较弱。此外，汕尾市1</w:t>
      </w:r>
      <w:r>
        <w:rPr>
          <w:bCs/>
          <w:lang w:val="zh-CN"/>
        </w:rPr>
        <w:t>5-59</w:t>
      </w:r>
      <w:r>
        <w:rPr>
          <w:rFonts w:hint="eastAsia"/>
          <w:bCs/>
          <w:lang w:val="zh-CN"/>
        </w:rPr>
        <w:t>岁人口占总人口比为5</w:t>
      </w:r>
      <w:r>
        <w:rPr>
          <w:bCs/>
          <w:lang w:val="zh-CN"/>
        </w:rPr>
        <w:t>9.2</w:t>
      </w:r>
      <w:r>
        <w:rPr>
          <w:rFonts w:hint="eastAsia"/>
          <w:bCs/>
          <w:lang w:val="zh-CN"/>
        </w:rPr>
        <w:t>%，较2</w:t>
      </w:r>
      <w:r>
        <w:rPr>
          <w:bCs/>
          <w:lang w:val="zh-CN"/>
        </w:rPr>
        <w:t>010</w:t>
      </w:r>
      <w:r>
        <w:rPr>
          <w:rFonts w:hint="eastAsia"/>
          <w:bCs/>
          <w:lang w:val="zh-CN"/>
        </w:rPr>
        <w:t>年下降6</w:t>
      </w:r>
      <w:r>
        <w:rPr>
          <w:bCs/>
          <w:lang w:val="zh-CN"/>
        </w:rPr>
        <w:t>.33</w:t>
      </w:r>
      <w:r>
        <w:rPr>
          <w:rFonts w:hint="eastAsia"/>
          <w:bCs/>
          <w:lang w:val="zh-CN"/>
        </w:rPr>
        <w:t>个百分点，低于全省平均水平9</w:t>
      </w:r>
      <w:r>
        <w:rPr>
          <w:bCs/>
          <w:lang w:val="zh-CN"/>
        </w:rPr>
        <w:t>.6</w:t>
      </w:r>
      <w:r>
        <w:rPr>
          <w:rFonts w:hint="eastAsia"/>
          <w:bCs/>
          <w:lang w:val="zh-CN"/>
        </w:rPr>
        <w:t>个百分点；</w:t>
      </w:r>
      <w:r>
        <w:rPr>
          <w:bCs/>
          <w:lang w:val="zh-CN"/>
        </w:rPr>
        <w:t>65</w:t>
      </w:r>
      <w:r>
        <w:rPr>
          <w:rFonts w:hint="eastAsia"/>
          <w:bCs/>
          <w:lang w:val="zh-CN"/>
        </w:rPr>
        <w:t>岁以上人口占总人口比重为1</w:t>
      </w:r>
      <w:r>
        <w:rPr>
          <w:bCs/>
          <w:lang w:val="zh-CN"/>
        </w:rPr>
        <w:t>0.60</w:t>
      </w:r>
      <w:r>
        <w:rPr>
          <w:rFonts w:hint="eastAsia"/>
          <w:bCs/>
          <w:lang w:val="zh-CN"/>
        </w:rPr>
        <w:t>%，较2</w:t>
      </w:r>
      <w:r>
        <w:rPr>
          <w:bCs/>
          <w:lang w:val="zh-CN"/>
        </w:rPr>
        <w:t>010</w:t>
      </w:r>
      <w:r>
        <w:rPr>
          <w:rFonts w:hint="eastAsia"/>
          <w:bCs/>
          <w:lang w:val="zh-CN"/>
        </w:rPr>
        <w:t>年提高3</w:t>
      </w:r>
      <w:r>
        <w:rPr>
          <w:bCs/>
          <w:lang w:val="zh-CN"/>
        </w:rPr>
        <w:t>.74</w:t>
      </w:r>
      <w:r>
        <w:rPr>
          <w:rFonts w:hint="eastAsia"/>
          <w:bCs/>
          <w:lang w:val="zh-CN"/>
        </w:rPr>
        <w:t>个百分点，高于全省平均水平2</w:t>
      </w:r>
      <w:r>
        <w:rPr>
          <w:bCs/>
          <w:lang w:val="zh-CN"/>
        </w:rPr>
        <w:t>.02</w:t>
      </w:r>
      <w:r>
        <w:rPr>
          <w:rFonts w:hint="eastAsia"/>
          <w:bCs/>
          <w:lang w:val="zh-CN"/>
        </w:rPr>
        <w:t>个百分点，表明汕尾市人口老龄化程度逐步加深。</w:t>
      </w:r>
    </w:p>
    <w:p>
      <w:pPr>
        <w:ind w:firstLine="643"/>
        <w:rPr>
          <w:lang w:val="zh-CN"/>
        </w:rPr>
      </w:pPr>
      <w:r>
        <w:rPr>
          <w:rFonts w:hint="eastAsia"/>
          <w:b/>
          <w:lang w:val="zh-CN"/>
        </w:rPr>
        <w:t>中心城区对人口集聚能力偏弱。</w:t>
      </w:r>
      <w:r>
        <w:rPr>
          <w:rFonts w:hint="eastAsia"/>
          <w:bCs/>
          <w:lang w:val="zh-CN"/>
        </w:rPr>
        <w:t>2</w:t>
      </w:r>
      <w:r>
        <w:rPr>
          <w:bCs/>
          <w:lang w:val="zh-CN"/>
        </w:rPr>
        <w:t>020</w:t>
      </w:r>
      <w:r>
        <w:rPr>
          <w:rFonts w:hint="eastAsia"/>
          <w:bCs/>
          <w:lang w:val="zh-CN"/>
        </w:rPr>
        <w:t>年</w:t>
      </w:r>
      <w:r>
        <w:rPr>
          <w:rFonts w:hint="eastAsia"/>
          <w:lang w:val="zh-CN"/>
        </w:rPr>
        <w:t>汕尾市城区常住人口占全市常住总人口的比例为1</w:t>
      </w:r>
      <w:r>
        <w:rPr>
          <w:lang w:val="zh-CN"/>
        </w:rPr>
        <w:t>4.77%</w:t>
      </w:r>
      <w:r>
        <w:rPr>
          <w:rFonts w:hint="eastAsia"/>
          <w:lang w:val="zh-CN"/>
        </w:rPr>
        <w:t>，户籍人口占全市户籍总人口的比例为1</w:t>
      </w:r>
      <w:r>
        <w:rPr>
          <w:lang w:val="zh-CN"/>
        </w:rPr>
        <w:t>0.94%</w:t>
      </w:r>
      <w:r>
        <w:rPr>
          <w:rFonts w:hint="eastAsia"/>
          <w:lang w:val="zh-CN"/>
        </w:rPr>
        <w:t>，两者均远低于海丰县和陆丰市，并且汕尾市城区常住人口和户籍人口规模均呈减少态势，作为汕尾</w:t>
      </w:r>
      <w:r>
        <w:rPr>
          <w:rFonts w:hint="eastAsia"/>
          <w:bCs/>
          <w:lang w:val="zh-CN"/>
        </w:rPr>
        <w:t>市</w:t>
      </w:r>
      <w:r>
        <w:rPr>
          <w:rFonts w:hint="eastAsia"/>
          <w:lang w:val="zh-CN"/>
        </w:rPr>
        <w:t>城市发展中心，汕尾市城区未能有效发挥中心城区集聚人口的作用。从城镇人口规模来看，汕尾市城区常住城镇人口首位度为2</w:t>
      </w:r>
      <w:r>
        <w:rPr>
          <w:lang w:val="zh-CN"/>
        </w:rPr>
        <w:t>1.13%</w:t>
      </w:r>
      <w:r>
        <w:rPr>
          <w:rFonts w:hint="eastAsia"/>
          <w:lang w:val="zh-CN"/>
        </w:rPr>
        <w:t>，仅达到全市五分之一的水平，而户籍城镇人口首位度更低，仅有1</w:t>
      </w:r>
      <w:r>
        <w:rPr>
          <w:lang w:val="zh-CN"/>
        </w:rPr>
        <w:t>4.67%</w:t>
      </w:r>
      <w:r>
        <w:rPr>
          <w:rFonts w:hint="eastAsia"/>
          <w:lang w:val="zh-CN"/>
        </w:rPr>
        <w:t>，表现出汕尾市城区在新型城镇化中的中心地位不突出，城镇化进程中对城镇人口的集聚能力和辐射带动能力不足，呈“小马拉大车”态势。</w:t>
      </w:r>
    </w:p>
    <w:p>
      <w:pPr>
        <w:ind w:firstLine="640"/>
        <w:rPr>
          <w:rFonts w:hint="eastAsia"/>
          <w:lang w:val="zh-CN"/>
        </w:rPr>
      </w:pPr>
    </w:p>
    <w:p>
      <w:pPr>
        <w:pStyle w:val="65"/>
        <w:spacing w:before="217"/>
        <w:rPr>
          <w:lang w:val="zh-CN"/>
        </w:rPr>
      </w:pPr>
      <w:r>
        <w:rPr>
          <w:rFonts w:hint="eastAsia"/>
          <w:lang w:val="zh-CN"/>
        </w:rPr>
        <w:t>表1</w:t>
      </w:r>
      <w:r>
        <w:rPr>
          <w:lang w:val="zh-CN"/>
        </w:rPr>
        <w:t>-1</w:t>
      </w:r>
      <w:r>
        <w:rPr>
          <w:rFonts w:hint="eastAsia"/>
          <w:lang w:val="zh-CN"/>
        </w:rPr>
        <w:t xml:space="preserve"> </w:t>
      </w:r>
      <w:r>
        <w:rPr>
          <w:lang w:val="zh-CN"/>
        </w:rPr>
        <w:t>2020</w:t>
      </w:r>
      <w:r>
        <w:rPr>
          <w:rFonts w:hint="eastAsia"/>
          <w:lang w:val="zh-CN"/>
        </w:rPr>
        <w:t>年汕尾各城市人口首位度对比</w:t>
      </w:r>
    </w:p>
    <w:tbl>
      <w:tblPr>
        <w:tblStyle w:val="26"/>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1763"/>
        <w:gridCol w:w="1763"/>
        <w:gridCol w:w="1763"/>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824" w:type="dxa"/>
            <w:noWrap/>
            <w:vAlign w:val="center"/>
          </w:tcPr>
          <w:p>
            <w:pPr>
              <w:pStyle w:val="62"/>
              <w:rPr>
                <w:b/>
                <w:bCs w:val="0"/>
              </w:rPr>
            </w:pPr>
            <w:r>
              <w:rPr>
                <w:rFonts w:hint="eastAsia"/>
                <w:b/>
                <w:bCs w:val="0"/>
              </w:rPr>
              <w:t>地区</w:t>
            </w:r>
          </w:p>
        </w:tc>
        <w:tc>
          <w:tcPr>
            <w:tcW w:w="1763" w:type="dxa"/>
            <w:noWrap/>
            <w:vAlign w:val="center"/>
          </w:tcPr>
          <w:p>
            <w:pPr>
              <w:pStyle w:val="62"/>
              <w:rPr>
                <w:b/>
              </w:rPr>
            </w:pPr>
            <w:r>
              <w:rPr>
                <w:rFonts w:hint="eastAsia"/>
                <w:b/>
              </w:rPr>
              <w:t>常住人口</w:t>
            </w:r>
          </w:p>
          <w:p>
            <w:pPr>
              <w:pStyle w:val="62"/>
              <w:rPr>
                <w:b/>
              </w:rPr>
            </w:pPr>
            <w:r>
              <w:rPr>
                <w:rFonts w:hint="eastAsia"/>
                <w:b/>
              </w:rPr>
              <w:t>首位度</w:t>
            </w:r>
          </w:p>
        </w:tc>
        <w:tc>
          <w:tcPr>
            <w:tcW w:w="1763" w:type="dxa"/>
            <w:noWrap/>
            <w:vAlign w:val="center"/>
          </w:tcPr>
          <w:p>
            <w:pPr>
              <w:pStyle w:val="62"/>
              <w:rPr>
                <w:b/>
              </w:rPr>
            </w:pPr>
            <w:r>
              <w:rPr>
                <w:rFonts w:hint="eastAsia"/>
                <w:b/>
              </w:rPr>
              <w:t>户籍人口</w:t>
            </w:r>
          </w:p>
          <w:p>
            <w:pPr>
              <w:pStyle w:val="62"/>
              <w:rPr>
                <w:b/>
              </w:rPr>
            </w:pPr>
            <w:r>
              <w:rPr>
                <w:rFonts w:hint="eastAsia"/>
                <w:b/>
              </w:rPr>
              <w:t>首位度</w:t>
            </w:r>
          </w:p>
        </w:tc>
        <w:tc>
          <w:tcPr>
            <w:tcW w:w="1763" w:type="dxa"/>
            <w:noWrap/>
            <w:vAlign w:val="center"/>
          </w:tcPr>
          <w:p>
            <w:pPr>
              <w:pStyle w:val="62"/>
              <w:rPr>
                <w:b/>
              </w:rPr>
            </w:pPr>
            <w:r>
              <w:rPr>
                <w:rFonts w:hint="eastAsia"/>
                <w:b/>
              </w:rPr>
              <w:t>常住城镇人口首位度</w:t>
            </w:r>
          </w:p>
        </w:tc>
        <w:tc>
          <w:tcPr>
            <w:tcW w:w="1763" w:type="dxa"/>
            <w:noWrap/>
            <w:vAlign w:val="center"/>
          </w:tcPr>
          <w:p>
            <w:pPr>
              <w:pStyle w:val="62"/>
              <w:rPr>
                <w:b/>
              </w:rPr>
            </w:pPr>
            <w:r>
              <w:rPr>
                <w:rFonts w:hint="eastAsia"/>
                <w:b/>
              </w:rPr>
              <w:t>户籍城镇人口首位度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824" w:type="dxa"/>
            <w:noWrap/>
            <w:vAlign w:val="center"/>
          </w:tcPr>
          <w:p>
            <w:pPr>
              <w:pStyle w:val="62"/>
            </w:pPr>
            <w:r>
              <w:rPr>
                <w:rFonts w:hint="eastAsia"/>
              </w:rPr>
              <w:t>城区</w:t>
            </w:r>
          </w:p>
        </w:tc>
        <w:tc>
          <w:tcPr>
            <w:tcW w:w="1763" w:type="dxa"/>
            <w:noWrap/>
            <w:vAlign w:val="center"/>
          </w:tcPr>
          <w:p>
            <w:pPr>
              <w:pStyle w:val="62"/>
            </w:pPr>
            <w:r>
              <w:rPr>
                <w:rFonts w:hint="eastAsia"/>
              </w:rPr>
              <w:t>14.77%</w:t>
            </w:r>
          </w:p>
        </w:tc>
        <w:tc>
          <w:tcPr>
            <w:tcW w:w="1763" w:type="dxa"/>
            <w:noWrap/>
            <w:vAlign w:val="center"/>
          </w:tcPr>
          <w:p>
            <w:pPr>
              <w:pStyle w:val="62"/>
            </w:pPr>
            <w:r>
              <w:rPr>
                <w:rFonts w:hint="eastAsia"/>
              </w:rPr>
              <w:t>10.94%</w:t>
            </w:r>
          </w:p>
        </w:tc>
        <w:tc>
          <w:tcPr>
            <w:tcW w:w="1763" w:type="dxa"/>
            <w:noWrap/>
            <w:vAlign w:val="center"/>
          </w:tcPr>
          <w:p>
            <w:pPr>
              <w:pStyle w:val="62"/>
            </w:pPr>
            <w:r>
              <w:rPr>
                <w:rFonts w:hint="eastAsia"/>
              </w:rPr>
              <w:t>21.13%</w:t>
            </w:r>
          </w:p>
        </w:tc>
        <w:tc>
          <w:tcPr>
            <w:tcW w:w="1763" w:type="dxa"/>
            <w:noWrap/>
            <w:vAlign w:val="center"/>
          </w:tcPr>
          <w:p>
            <w:pPr>
              <w:pStyle w:val="62"/>
            </w:pPr>
            <w:r>
              <w:rPr>
                <w:rFonts w:hint="eastAsia"/>
              </w:rPr>
              <w:t>14.67%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824" w:type="dxa"/>
            <w:noWrap/>
            <w:vAlign w:val="center"/>
          </w:tcPr>
          <w:p>
            <w:pPr>
              <w:pStyle w:val="62"/>
            </w:pPr>
            <w:r>
              <w:rPr>
                <w:rFonts w:hint="eastAsia"/>
              </w:rPr>
              <w:t>海丰县</w:t>
            </w:r>
          </w:p>
        </w:tc>
        <w:tc>
          <w:tcPr>
            <w:tcW w:w="1763" w:type="dxa"/>
            <w:noWrap/>
            <w:vAlign w:val="center"/>
          </w:tcPr>
          <w:p>
            <w:pPr>
              <w:pStyle w:val="62"/>
            </w:pPr>
            <w:r>
              <w:rPr>
                <w:rFonts w:hint="eastAsia"/>
              </w:rPr>
              <w:t>27.61%</w:t>
            </w:r>
          </w:p>
        </w:tc>
        <w:tc>
          <w:tcPr>
            <w:tcW w:w="1763" w:type="dxa"/>
            <w:noWrap/>
            <w:vAlign w:val="center"/>
          </w:tcPr>
          <w:p>
            <w:pPr>
              <w:pStyle w:val="62"/>
            </w:pPr>
            <w:r>
              <w:rPr>
                <w:rFonts w:hint="eastAsia"/>
              </w:rPr>
              <w:t>21.88%</w:t>
            </w:r>
          </w:p>
        </w:tc>
        <w:tc>
          <w:tcPr>
            <w:tcW w:w="1763" w:type="dxa"/>
            <w:noWrap/>
            <w:vAlign w:val="center"/>
          </w:tcPr>
          <w:p>
            <w:pPr>
              <w:pStyle w:val="62"/>
            </w:pPr>
            <w:r>
              <w:rPr>
                <w:rFonts w:hint="eastAsia"/>
              </w:rPr>
              <w:t>32.97%</w:t>
            </w:r>
          </w:p>
        </w:tc>
        <w:tc>
          <w:tcPr>
            <w:tcW w:w="1763" w:type="dxa"/>
            <w:noWrap/>
            <w:vAlign w:val="center"/>
          </w:tcPr>
          <w:p>
            <w:pPr>
              <w:pStyle w:val="62"/>
            </w:pPr>
            <w:r>
              <w:rPr>
                <w:rFonts w:hint="eastAsia"/>
              </w:rPr>
              <w:t>19.58%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824" w:type="dxa"/>
            <w:noWrap/>
            <w:vAlign w:val="center"/>
          </w:tcPr>
          <w:p>
            <w:pPr>
              <w:pStyle w:val="62"/>
            </w:pPr>
            <w:r>
              <w:rPr>
                <w:rFonts w:hint="eastAsia"/>
              </w:rPr>
              <w:t>陆丰市</w:t>
            </w:r>
          </w:p>
        </w:tc>
        <w:tc>
          <w:tcPr>
            <w:tcW w:w="1763" w:type="dxa"/>
            <w:noWrap/>
            <w:vAlign w:val="center"/>
          </w:tcPr>
          <w:p>
            <w:pPr>
              <w:pStyle w:val="62"/>
            </w:pPr>
            <w:r>
              <w:rPr>
                <w:rFonts w:hint="eastAsia"/>
              </w:rPr>
              <w:t>45.69%</w:t>
            </w:r>
          </w:p>
        </w:tc>
        <w:tc>
          <w:tcPr>
            <w:tcW w:w="1763" w:type="dxa"/>
            <w:noWrap/>
            <w:vAlign w:val="center"/>
          </w:tcPr>
          <w:p>
            <w:pPr>
              <w:pStyle w:val="62"/>
            </w:pPr>
            <w:r>
              <w:rPr>
                <w:rFonts w:hint="eastAsia"/>
              </w:rPr>
              <w:t>53.56%</w:t>
            </w:r>
          </w:p>
        </w:tc>
        <w:tc>
          <w:tcPr>
            <w:tcW w:w="1763" w:type="dxa"/>
            <w:noWrap/>
            <w:vAlign w:val="center"/>
          </w:tcPr>
          <w:p>
            <w:pPr>
              <w:pStyle w:val="62"/>
            </w:pPr>
            <w:r>
              <w:rPr>
                <w:rFonts w:hint="eastAsia"/>
              </w:rPr>
              <w:t>35.20%</w:t>
            </w:r>
          </w:p>
        </w:tc>
        <w:tc>
          <w:tcPr>
            <w:tcW w:w="1763" w:type="dxa"/>
            <w:noWrap/>
            <w:vAlign w:val="center"/>
          </w:tcPr>
          <w:p>
            <w:pPr>
              <w:pStyle w:val="62"/>
            </w:pPr>
            <w:r>
              <w:rPr>
                <w:rFonts w:hint="eastAsia"/>
              </w:rPr>
              <w:t>52.33%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824" w:type="dxa"/>
            <w:noWrap/>
            <w:vAlign w:val="center"/>
          </w:tcPr>
          <w:p>
            <w:pPr>
              <w:pStyle w:val="62"/>
            </w:pPr>
            <w:r>
              <w:rPr>
                <w:rFonts w:hint="eastAsia"/>
              </w:rPr>
              <w:t>陆河县</w:t>
            </w:r>
          </w:p>
        </w:tc>
        <w:tc>
          <w:tcPr>
            <w:tcW w:w="1763" w:type="dxa"/>
            <w:noWrap/>
            <w:vAlign w:val="center"/>
          </w:tcPr>
          <w:p>
            <w:pPr>
              <w:pStyle w:val="62"/>
            </w:pPr>
            <w:r>
              <w:rPr>
                <w:rFonts w:hint="eastAsia"/>
              </w:rPr>
              <w:t>9.31%</w:t>
            </w:r>
          </w:p>
        </w:tc>
        <w:tc>
          <w:tcPr>
            <w:tcW w:w="1763" w:type="dxa"/>
            <w:noWrap/>
            <w:vAlign w:val="center"/>
          </w:tcPr>
          <w:p>
            <w:pPr>
              <w:pStyle w:val="62"/>
            </w:pPr>
            <w:r>
              <w:rPr>
                <w:rFonts w:hint="eastAsia"/>
              </w:rPr>
              <w:t>9.95%</w:t>
            </w:r>
          </w:p>
        </w:tc>
        <w:tc>
          <w:tcPr>
            <w:tcW w:w="1763" w:type="dxa"/>
            <w:noWrap/>
            <w:vAlign w:val="center"/>
          </w:tcPr>
          <w:p>
            <w:pPr>
              <w:pStyle w:val="62"/>
            </w:pPr>
            <w:r>
              <w:rPr>
                <w:rFonts w:hint="eastAsia"/>
              </w:rPr>
              <w:t>8.71%</w:t>
            </w:r>
          </w:p>
        </w:tc>
        <w:tc>
          <w:tcPr>
            <w:tcW w:w="1763" w:type="dxa"/>
            <w:noWrap/>
            <w:vAlign w:val="center"/>
          </w:tcPr>
          <w:p>
            <w:pPr>
              <w:pStyle w:val="62"/>
            </w:pPr>
            <w:r>
              <w:rPr>
                <w:rFonts w:hint="eastAsia"/>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824" w:type="dxa"/>
            <w:noWrap/>
            <w:vAlign w:val="center"/>
          </w:tcPr>
          <w:p>
            <w:pPr>
              <w:pStyle w:val="62"/>
            </w:pPr>
            <w:r>
              <w:rPr>
                <w:rFonts w:hint="eastAsia"/>
              </w:rPr>
              <w:t>红海湾开发区</w:t>
            </w:r>
          </w:p>
        </w:tc>
        <w:tc>
          <w:tcPr>
            <w:tcW w:w="1763" w:type="dxa"/>
            <w:noWrap/>
            <w:vAlign w:val="center"/>
          </w:tcPr>
          <w:p>
            <w:pPr>
              <w:pStyle w:val="62"/>
            </w:pPr>
            <w:r>
              <w:rPr>
                <w:rFonts w:hint="eastAsia"/>
              </w:rPr>
              <w:t>2.09%</w:t>
            </w:r>
          </w:p>
        </w:tc>
        <w:tc>
          <w:tcPr>
            <w:tcW w:w="1763" w:type="dxa"/>
            <w:noWrap/>
            <w:vAlign w:val="center"/>
          </w:tcPr>
          <w:p>
            <w:pPr>
              <w:pStyle w:val="62"/>
            </w:pPr>
            <w:r>
              <w:rPr>
                <w:rFonts w:hint="eastAsia"/>
              </w:rPr>
              <w:t>3.10%</w:t>
            </w:r>
          </w:p>
        </w:tc>
        <w:tc>
          <w:tcPr>
            <w:tcW w:w="1763" w:type="dxa"/>
            <w:noWrap/>
            <w:vAlign w:val="center"/>
          </w:tcPr>
          <w:p>
            <w:pPr>
              <w:pStyle w:val="62"/>
            </w:pPr>
            <w:r>
              <w:rPr>
                <w:rFonts w:hint="eastAsia"/>
              </w:rPr>
              <w:t>-</w:t>
            </w:r>
          </w:p>
        </w:tc>
        <w:tc>
          <w:tcPr>
            <w:tcW w:w="1763" w:type="dxa"/>
            <w:noWrap/>
            <w:vAlign w:val="center"/>
          </w:tcPr>
          <w:p>
            <w:pPr>
              <w:pStyle w:val="62"/>
            </w:pPr>
            <w:r>
              <w:rPr>
                <w:rFonts w:hint="eastAsia"/>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824" w:type="dxa"/>
            <w:noWrap/>
            <w:vAlign w:val="center"/>
          </w:tcPr>
          <w:p>
            <w:pPr>
              <w:pStyle w:val="62"/>
            </w:pPr>
            <w:r>
              <w:rPr>
                <w:rFonts w:hint="eastAsia"/>
              </w:rPr>
              <w:t>华侨管理区</w:t>
            </w:r>
          </w:p>
        </w:tc>
        <w:tc>
          <w:tcPr>
            <w:tcW w:w="1763" w:type="dxa"/>
            <w:noWrap/>
            <w:vAlign w:val="center"/>
          </w:tcPr>
          <w:p>
            <w:pPr>
              <w:pStyle w:val="62"/>
            </w:pPr>
            <w:r>
              <w:rPr>
                <w:rFonts w:hint="eastAsia"/>
              </w:rPr>
              <w:t>0.53%</w:t>
            </w:r>
          </w:p>
        </w:tc>
        <w:tc>
          <w:tcPr>
            <w:tcW w:w="1763" w:type="dxa"/>
            <w:noWrap/>
            <w:vAlign w:val="center"/>
          </w:tcPr>
          <w:p>
            <w:pPr>
              <w:pStyle w:val="62"/>
            </w:pPr>
            <w:r>
              <w:rPr>
                <w:rFonts w:hint="eastAsia"/>
              </w:rPr>
              <w:t>0.56%</w:t>
            </w:r>
          </w:p>
        </w:tc>
        <w:tc>
          <w:tcPr>
            <w:tcW w:w="1763" w:type="dxa"/>
            <w:noWrap/>
            <w:vAlign w:val="center"/>
          </w:tcPr>
          <w:p>
            <w:pPr>
              <w:pStyle w:val="62"/>
            </w:pPr>
            <w:r>
              <w:rPr>
                <w:rFonts w:hint="eastAsia"/>
              </w:rPr>
              <w:t>-</w:t>
            </w:r>
          </w:p>
        </w:tc>
        <w:tc>
          <w:tcPr>
            <w:tcW w:w="1763" w:type="dxa"/>
            <w:noWrap/>
            <w:vAlign w:val="center"/>
          </w:tcPr>
          <w:p>
            <w:pPr>
              <w:pStyle w:val="62"/>
            </w:pPr>
            <w:r>
              <w:rPr>
                <w:rFonts w:hint="eastAsia"/>
              </w:rPr>
              <w:t>0.94%</w:t>
            </w:r>
          </w:p>
        </w:tc>
      </w:tr>
    </w:tbl>
    <w:p>
      <w:pPr>
        <w:pStyle w:val="62"/>
        <w:rPr>
          <w:lang w:val="zh-CN"/>
        </w:rPr>
      </w:pPr>
    </w:p>
    <w:p>
      <w:pPr>
        <w:ind w:firstLine="643"/>
        <w:rPr>
          <w:lang w:val="zh-CN"/>
        </w:rPr>
      </w:pPr>
      <w:r>
        <w:rPr>
          <w:rFonts w:hint="eastAsia"/>
          <w:b/>
          <w:lang w:val="zh-CN"/>
        </w:rPr>
        <w:t>城市对乡村的带动作用有待加强。</w:t>
      </w:r>
      <w:r>
        <w:rPr>
          <w:rFonts w:hint="eastAsia"/>
          <w:lang w:val="zh-CN"/>
        </w:rPr>
        <w:t>城乡生产要素流动仍然存在障碍，城镇对乡村地区人才、技术等输送不足，尤其是偏远农村地区科技人员和农经农技、农机等专业人才短缺现象较为突出。</w:t>
      </w:r>
      <w:r>
        <w:rPr>
          <w:rFonts w:hint="eastAsia" w:ascii="仿宋_GB2312" w:hAnsi="仿宋_GB2312" w:cs="仿宋_GB2312"/>
        </w:rPr>
        <w:t>农业生产规模化产业化水平有待提高，城市对乡村特色农产品和服务的消费仍主要停留在初级产品阶段。</w:t>
      </w:r>
      <w:r>
        <w:rPr>
          <w:rFonts w:hint="eastAsia"/>
          <w:lang w:val="zh-CN"/>
        </w:rPr>
        <w:t>城乡二元结构问题突出，2</w:t>
      </w:r>
      <w:r>
        <w:rPr>
          <w:lang w:val="zh-CN"/>
        </w:rPr>
        <w:t>021</w:t>
      </w:r>
      <w:r>
        <w:rPr>
          <w:rFonts w:hint="eastAsia"/>
          <w:lang w:val="zh-CN"/>
        </w:rPr>
        <w:t>年汕尾</w:t>
      </w:r>
      <w:r>
        <w:rPr>
          <w:rFonts w:hint="eastAsia"/>
          <w:bCs/>
          <w:lang w:val="zh-CN"/>
        </w:rPr>
        <w:t>市</w:t>
      </w:r>
      <w:r>
        <w:rPr>
          <w:rFonts w:hint="eastAsia"/>
          <w:lang w:val="zh-CN"/>
        </w:rPr>
        <w:t>城乡居民收入差距为1</w:t>
      </w:r>
      <w:r>
        <w:rPr>
          <w:lang w:val="zh-CN"/>
        </w:rPr>
        <w:t>3197</w:t>
      </w:r>
      <w:r>
        <w:rPr>
          <w:rFonts w:hint="eastAsia"/>
          <w:lang w:val="zh-CN"/>
        </w:rPr>
        <w:t>元，农村居民人均可支配收入</w:t>
      </w:r>
      <w:r>
        <w:rPr>
          <w:lang w:val="zh-CN"/>
        </w:rPr>
        <w:t>19885</w:t>
      </w:r>
      <w:r>
        <w:rPr>
          <w:rFonts w:hint="eastAsia"/>
          <w:lang w:val="zh-CN"/>
        </w:rPr>
        <w:t>元，低于广东省</w:t>
      </w:r>
      <w:r>
        <w:rPr>
          <w:lang w:val="zh-CN"/>
        </w:rPr>
        <w:t>20143</w:t>
      </w:r>
      <w:r>
        <w:rPr>
          <w:rFonts w:hint="eastAsia"/>
          <w:lang w:val="zh-CN"/>
        </w:rPr>
        <w:t>元的平均水平。城乡公共资源配置不尽合理，</w:t>
      </w:r>
      <w:r>
        <w:t>教育</w:t>
      </w:r>
      <w:r>
        <w:rPr>
          <w:rFonts w:hint="eastAsia" w:ascii="仿宋_GB2312" w:hAnsi="仿宋_GB2312" w:cs="仿宋_GB2312"/>
        </w:rPr>
        <w:t>发展不平衡，城镇与农村之间教育发展水平差距大；</w:t>
      </w:r>
      <w:r>
        <w:rPr>
          <w:rFonts w:hint="eastAsia"/>
          <w:lang w:val="zh-CN"/>
        </w:rPr>
        <w:t>2</w:t>
      </w:r>
      <w:r>
        <w:rPr>
          <w:lang w:val="zh-CN"/>
        </w:rPr>
        <w:t>021</w:t>
      </w:r>
      <w:r>
        <w:rPr>
          <w:rFonts w:hint="eastAsia"/>
          <w:lang w:val="zh-CN"/>
        </w:rPr>
        <w:t>年农村每千人拥有的医疗机构床位数为2</w:t>
      </w:r>
      <w:r>
        <w:rPr>
          <w:lang w:val="zh-CN"/>
        </w:rPr>
        <w:t>31</w:t>
      </w:r>
      <w:r>
        <w:rPr>
          <w:rFonts w:hint="eastAsia"/>
          <w:lang w:val="zh-CN"/>
        </w:rPr>
        <w:t>张，城镇每千人拥有的医疗机构床位数为5</w:t>
      </w:r>
      <w:r>
        <w:rPr>
          <w:lang w:val="zh-CN"/>
        </w:rPr>
        <w:t>66</w:t>
      </w:r>
      <w:r>
        <w:rPr>
          <w:rFonts w:hint="eastAsia"/>
          <w:lang w:val="zh-CN"/>
        </w:rPr>
        <w:t>张；全市仍有</w:t>
      </w:r>
      <w:r>
        <w:t>664个自然村未完成雨污分流，1262个自然村未完成农村生活污水设施建设</w:t>
      </w:r>
      <w:r>
        <w:rPr>
          <w:rFonts w:hint="eastAsia" w:ascii="仿宋_GB2312" w:hAnsi="仿宋_GB2312" w:cs="仿宋_GB2312"/>
        </w:rPr>
        <w:t>，乡村地区教育、医疗卫生、基础设施建设等较城市均有较大差距</w:t>
      </w:r>
      <w:r>
        <w:rPr>
          <w:rFonts w:hint="eastAsia"/>
          <w:lang w:val="zh-CN"/>
        </w:rPr>
        <w:t>。</w:t>
      </w:r>
    </w:p>
    <w:p>
      <w:pPr>
        <w:ind w:firstLine="643"/>
        <w:rPr>
          <w:lang w:val="zh-CN"/>
        </w:rPr>
      </w:pPr>
      <w:r>
        <w:rPr>
          <w:rFonts w:hint="eastAsia"/>
          <w:b/>
          <w:lang w:val="zh-CN"/>
        </w:rPr>
        <w:t>城市治理体系和治理能力现代化水平有待提升。</w:t>
      </w:r>
      <w:r>
        <w:rPr>
          <w:rFonts w:hint="eastAsia" w:ascii="仿宋_GB2312" w:hAnsi="仿宋_GB2312" w:cs="仿宋_GB2312"/>
        </w:rPr>
        <w:t>城市治理机制尚不健全，重开发建设、轻管理服务的传统城市治理模式已经难以满足城市规模快速扩张，老城新城、生产生活、地上地下等空间开发管理统筹有待进一步提升。城市管理机构职责有待进一步理顺，基层社会治理较为薄弱，街道和社区资源配置不足，服务和管理力量与需求差距较大。城市治理智慧化、精细化水平有待提高，智慧城市停留在硬件设施建设上，缺少便民的智慧化应用。高效预防和应对自然灾害、疫情险情、重大公共事件的制度体系有待进一步完善，防洪排涝、公共卫生防控救治、安全生产等方面存在不少薄弱环节。</w:t>
      </w:r>
    </w:p>
    <w:p>
      <w:pPr>
        <w:pStyle w:val="3"/>
        <w:spacing w:before="217" w:after="217"/>
        <w:rPr>
          <w:lang w:val="zh-CN"/>
        </w:rPr>
      </w:pPr>
      <w:bookmarkStart w:id="8" w:name="_Toc116065979"/>
      <w:r>
        <w:rPr>
          <w:rFonts w:hint="eastAsia"/>
          <w:lang w:val="zh-CN"/>
        </w:rPr>
        <w:t>第三节 发展态势</w:t>
      </w:r>
      <w:bookmarkEnd w:id="8"/>
    </w:p>
    <w:p>
      <w:pPr>
        <w:ind w:firstLine="640"/>
        <w:rPr>
          <w:lang w:val="zh-CN"/>
        </w:rPr>
      </w:pPr>
      <w:r>
        <w:rPr>
          <w:rFonts w:hint="eastAsia" w:ascii="仿宋_GB2312" w:hAnsi="仿宋_GB2312" w:cs="仿宋_GB2312"/>
        </w:rPr>
        <w:t>我国已转向高质量发展阶段，经济长期向好的基本面没有改变，城镇化依然是经济增长和结构变化的重要引擎。</w:t>
      </w:r>
      <w:r>
        <w:rPr>
          <w:rFonts w:hint="eastAsia"/>
          <w:lang w:val="zh-CN"/>
        </w:rPr>
        <w:t>根据城镇化的一般规律，汕尾市城镇化仍处于中期快速发展阶段，但内外部环境和自身条件都发生了复杂而深刻的变化，城镇化呈现出新的趋势性特征。</w:t>
      </w:r>
    </w:p>
    <w:p>
      <w:pPr>
        <w:ind w:firstLine="643"/>
        <w:rPr>
          <w:rFonts w:hint="eastAsia"/>
          <w:lang w:val="zh-CN"/>
        </w:rPr>
      </w:pPr>
      <w:r>
        <w:rPr>
          <w:rFonts w:hint="eastAsia"/>
          <w:b/>
          <w:bCs/>
          <w:lang w:val="zh-CN"/>
        </w:rPr>
        <w:t>人口向城市迁移和集聚仍是大趋势，城市群和都市圈正成为承载发展要素的主要空间形式。</w:t>
      </w:r>
      <w:r>
        <w:rPr>
          <w:rFonts w:hint="eastAsia"/>
          <w:lang w:val="zh-CN"/>
        </w:rPr>
        <w:t>当前城市化已经整体进入到以城市群和都市圈为主导的发展阶段，人口加快从中小城市向更高能级城市集中，以中心城市为核心、带动周边中小城市和小城镇一体化发展的格局形态将更加凸显。广东省提出构建“一群五圈”城镇空间格局，深圳都市圈、汕潮揭都市圈的规划建设使得汕尾市区位优势日益凸显，但汕尾市面临人口进一步被粤港澳大湾区虹吸的压力，人口总量在减少。因此，顺应向海发展趋势，加快提升中心城区首位度和辐射力，完善主城区、红海湾经济开发区、海丰县城、陆丰城区城市功能，积极培育南部都市发展圈，提高人口和产业的集聚能力，将是汕尾市今后城镇化的重点任务。</w:t>
      </w:r>
    </w:p>
    <w:p>
      <w:pPr>
        <w:ind w:firstLine="643"/>
        <w:rPr>
          <w:lang w:val="zh-CN"/>
        </w:rPr>
      </w:pPr>
      <w:r>
        <w:rPr>
          <w:rFonts w:hint="eastAsia"/>
          <w:b/>
          <w:bCs/>
          <w:lang w:val="zh-CN"/>
        </w:rPr>
        <w:t>人口老龄化趋势加快，劳动人口呈减量化高素质化特征。</w:t>
      </w:r>
      <w:r>
        <w:rPr>
          <w:rFonts w:hint="eastAsia"/>
          <w:lang w:val="zh-CN"/>
        </w:rPr>
        <w:t>预计“十四五”期间，我国老年人口将超过3亿人，从轻度老龄化进入到中度老龄化阶段，劳动年龄人口也将累计减少3500万人。汕尾市人口老龄化程度亦日益加深，劳动人口比重持续下降，人口受教育程度不断提高，人们的诉求表达更趋多元迫切，对城市在资源和要素配置上“以人为中心”的要求更高。人口结构的重大变化，一方面倒逼汕尾市产业结构和就业岗位供给方式转型，另一方面也对教育、医疗、文化、体育等公共服务水平和人居环境品质提出更高要求。</w:t>
      </w:r>
    </w:p>
    <w:p>
      <w:pPr>
        <w:ind w:firstLine="643"/>
        <w:rPr>
          <w:lang w:val="zh-CN"/>
        </w:rPr>
      </w:pPr>
      <w:r>
        <w:rPr>
          <w:rFonts w:hint="eastAsia"/>
          <w:b/>
          <w:bCs/>
          <w:lang w:val="zh-CN"/>
        </w:rPr>
        <w:t>“双循环”新发展格局，区域一体化发展态势明显。</w:t>
      </w:r>
      <w:r>
        <w:rPr>
          <w:rFonts w:hint="eastAsia"/>
          <w:lang w:val="zh-CN"/>
        </w:rPr>
        <w:t>我国正加快构建以国内大循环为主体、国内国际双循环相互促进的新发展格局，建设高效规范、公平竞争、充分开放的全国统一大市场，对产业体系、流通体系和循环通道提出了新要求。广东笃定心志推进“双区”“两个合作区”建设工作，加快构建“一核一带一区”区域发展新格局，并赋予汕尾市沿海经济带靓丽明珠和沿海经济带东承西接战略支点的定位。汕尾市应当进一步加快推动基础设施互联互通、</w:t>
      </w:r>
      <w:r>
        <w:rPr>
          <w:rFonts w:hint="eastAsia"/>
        </w:rPr>
        <w:t>承接产业转移、</w:t>
      </w:r>
      <w:r>
        <w:rPr>
          <w:rFonts w:hint="eastAsia"/>
          <w:lang w:val="zh-CN"/>
        </w:rPr>
        <w:t>发展开放型经济，形成内外联动发展的区域格局。</w:t>
      </w:r>
    </w:p>
    <w:p>
      <w:pPr>
        <w:ind w:firstLine="643"/>
        <w:rPr>
          <w:lang w:val="zh-CN"/>
        </w:rPr>
      </w:pPr>
      <w:r>
        <w:rPr>
          <w:rFonts w:hint="eastAsia"/>
          <w:b/>
          <w:bCs/>
          <w:lang w:val="zh-CN"/>
        </w:rPr>
        <w:t>县城的功能作用日益突出，成为就地就近城镇化的重要载体。</w:t>
      </w:r>
      <w:r>
        <w:rPr>
          <w:rFonts w:hint="eastAsia"/>
          <w:lang w:val="zh-CN"/>
        </w:rPr>
        <w:t>以县城为载体推进城镇化建设是国家今后一个时期的重要政策导向。就汕尾市而言，加快推动县城城镇化建设，一方面可以提高承接深圳、广州等大都市经济功能辐射的能力，发展特色产业，加快提升县城对经济发展的支撑功能；另一方面有利于更好地发挥县城以城带乡、以城促乡的功能，依托县城打造引领区域发展的特色农业产业集群、提升公共服务保障能力，更好地服务农业农村现代化、更好地支撑就地就近城镇化。</w:t>
      </w:r>
    </w:p>
    <w:p>
      <w:pPr>
        <w:ind w:firstLine="643"/>
        <w:rPr>
          <w:lang w:val="zh-CN"/>
        </w:rPr>
      </w:pPr>
      <w:r>
        <w:rPr>
          <w:rFonts w:hint="eastAsia"/>
          <w:b/>
          <w:bCs/>
          <w:lang w:val="zh-CN"/>
        </w:rPr>
        <w:t>绿色低碳成为普遍方式，城镇化向绿色低碳转型的趋势更加明确。</w:t>
      </w:r>
      <w:r>
        <w:rPr>
          <w:rFonts w:hint="eastAsia"/>
          <w:lang w:val="zh-CN"/>
        </w:rPr>
        <w:t>国家层面已经将“碳达峰、碳中和”纳入生态文明建设整体布局，未来城镇发展的资源环境约束将会愈发增强。作为国家生态文明建设示范区，汕尾市海、岛、湖、田、林、山等生态资源禀赋得天独厚。“碳达峰、碳中和”的重大战略决策部署要求汕尾市要发挥生态优势，调整优化产业结构和能源结构，建立健全绿色低碳循环发展经济体系，推动生产生活方式绿色低碳发展。</w:t>
      </w:r>
    </w:p>
    <w:p>
      <w:pPr>
        <w:ind w:firstLine="643"/>
        <w:rPr>
          <w:lang w:val="zh-CN"/>
        </w:rPr>
      </w:pPr>
      <w:r>
        <w:rPr>
          <w:rFonts w:hint="eastAsia"/>
          <w:b/>
          <w:bCs/>
          <w:lang w:val="zh-CN"/>
        </w:rPr>
        <w:t>城镇化发展重心由传统城市建设向现代城市治理转变。</w:t>
      </w:r>
      <w:r>
        <w:rPr>
          <w:rFonts w:hint="eastAsia"/>
          <w:lang w:val="zh-CN"/>
        </w:rPr>
        <w:t>规划、建设、管理是城市发展的重要手段，过去以城市建设为中心造成众多问题，城市发展在新时代应该以城市管理为核心，传统城市建设管理模式迫切需要向现代城市治理服务模式转变。未来汕尾市要加快改善治理理念、治理模式、治理机制、治理手段，注重政府、市场和社会良性互动，深化信息技术在政务服务、社会治理、群众生活等场景的广泛应用，让城市更聪明更智慧、更美好更温情。</w:t>
      </w:r>
    </w:p>
    <w:p>
      <w:pPr>
        <w:ind w:firstLine="643"/>
        <w:rPr>
          <w:lang w:val="zh-CN"/>
        </w:rPr>
      </w:pPr>
      <w:r>
        <w:rPr>
          <w:rFonts w:hint="eastAsia"/>
          <w:b/>
          <w:bCs/>
          <w:lang w:val="zh-CN"/>
        </w:rPr>
        <w:t>乡村振兴战略扎实推进，城乡融合发展步伐加快。</w:t>
      </w:r>
      <w:r>
        <w:rPr>
          <w:rFonts w:hint="eastAsia" w:ascii="仿宋_GB2312" w:hAnsi="仿宋_GB2312" w:cs="仿宋_GB2312"/>
        </w:rPr>
        <w:t>城镇化既要促进城镇的发展，也要支持乡村的振兴，新一轮城镇化将以城乡统筹、融合发展的系统思维，破除阻碍城乡人才、土地、资金、技术等要素自由流动和平等交换的体制机制壁垒，更加均等地配置城乡公共资源。同时，乡村资源资产价值日趋显化、融入市场的条件更加成熟，城市人才、工商资本及金融资本入乡投资发展成为常态，城市居民入乡消费趋于普遍，城乡产业协同发展趋势更加明显。汕尾市应抓住乡村振兴、新型城镇化等国家战略机遇，通过以城带乡、以工促农，推动形成新型工农城乡关系，缩小城乡发展差距，实现城乡融合发展。</w:t>
      </w:r>
    </w:p>
    <w:p>
      <w:pPr>
        <w:ind w:firstLine="640"/>
        <w:rPr>
          <w:lang w:val="zh-CN"/>
        </w:rPr>
      </w:pPr>
      <w:r>
        <w:rPr>
          <w:rFonts w:hint="eastAsia"/>
          <w:lang w:val="zh-CN"/>
        </w:rPr>
        <w:t>与此同时，汕尾市城镇化发展的外部环境不确定性更加明显，新冠肺炎疫情影响广泛深远，全球经济衰退、逆全球化抬头使经济发展的不确定性增强，科技革命、机器换人趋势加剧，经济增速放缓，影响城镇化进程。未来汕尾应立足基本市情，顺应城镇化发展规律和阶段性特征，适应外部环境带来的深刻影响，准确识变、科学应变、主动求变，推动新型城镇化实现高质量发展。</w:t>
      </w:r>
    </w:p>
    <w:p>
      <w:pPr>
        <w:ind w:firstLine="640"/>
        <w:rPr>
          <w:rFonts w:hint="eastAsia"/>
          <w:lang w:val="zh-CN"/>
        </w:rPr>
      </w:pPr>
    </w:p>
    <w:p>
      <w:pPr>
        <w:pStyle w:val="2"/>
      </w:pPr>
      <w:bookmarkStart w:id="9" w:name="_Toc116065980"/>
      <w:r>
        <w:rPr>
          <w:rFonts w:hint="eastAsia"/>
        </w:rPr>
        <w:t>第二章 总体要求</w:t>
      </w:r>
      <w:bookmarkEnd w:id="9"/>
    </w:p>
    <w:p>
      <w:pPr>
        <w:pStyle w:val="3"/>
        <w:spacing w:before="217" w:after="217"/>
        <w:rPr>
          <w:lang w:val="zh-CN"/>
        </w:rPr>
      </w:pPr>
      <w:bookmarkStart w:id="10" w:name="_Toc116065981"/>
      <w:r>
        <w:rPr>
          <w:rFonts w:hint="eastAsia"/>
          <w:lang w:val="zh-CN"/>
        </w:rPr>
        <w:t>第一节 指导思想</w:t>
      </w:r>
      <w:bookmarkEnd w:id="10"/>
    </w:p>
    <w:p>
      <w:pPr>
        <w:ind w:firstLine="640"/>
        <w:rPr>
          <w:lang w:val="zh-CN"/>
        </w:rPr>
      </w:pPr>
      <w:r>
        <w:rPr>
          <w:rFonts w:hint="eastAsia"/>
          <w:lang w:val="zh-CN"/>
        </w:rPr>
        <w:t>以习近平新时代中国特色社会主义思想为指导，深入贯彻党的十九大和十九届历次全会精神，深入贯彻习近平总书记对广东系列重要讲话和重要指示批示精神，紧抓粤港澳大湾区和深圳中国特色社会主义先行示范区建设以及前海深港现代服务业合作区、横琴粤澳深度合作区建设的重大机遇，贯彻新发展理念，以推进城镇化高质量发展为主题，以转变城市发展方式为主线，以体制机制改革创新为根本动力，以满足人民日益增长的美好生活需要为根本目的，深入实施以人为核心的新型城镇化战略，促进农业转移人口全面融入城市，优化城镇化发展格局，建设以人民为中心的新型城市，推进城市治理体系和治理能力现代化，加快推进城乡融合发展，努力探索和形成具有汕尾特色的新型城镇化高质量发展之路，奋力打造沿海经济带靓丽明珠，为广东省在全面建设社会主义现代化国家新征程上走在全国前列、创造新辉煌作出汕尾应有贡献。</w:t>
      </w:r>
    </w:p>
    <w:p>
      <w:pPr>
        <w:pStyle w:val="3"/>
        <w:spacing w:before="217" w:after="217"/>
        <w:rPr>
          <w:lang w:val="zh-CN"/>
        </w:rPr>
      </w:pPr>
      <w:bookmarkStart w:id="11" w:name="_Toc116065982"/>
      <w:r>
        <w:rPr>
          <w:rFonts w:hint="eastAsia"/>
          <w:lang w:val="zh-CN"/>
        </w:rPr>
        <w:t>第二节 基本原则</w:t>
      </w:r>
      <w:bookmarkEnd w:id="11"/>
    </w:p>
    <w:p>
      <w:pPr>
        <w:ind w:firstLine="643"/>
        <w:rPr>
          <w:lang w:val="zh-CN"/>
        </w:rPr>
      </w:pPr>
      <w:r>
        <w:rPr>
          <w:rFonts w:hint="eastAsia"/>
          <w:b/>
          <w:lang w:val="zh-CN"/>
        </w:rPr>
        <w:t>以人为本，全面发展。</w:t>
      </w:r>
      <w:r>
        <w:rPr>
          <w:rFonts w:hint="eastAsia"/>
          <w:lang w:val="zh-CN"/>
        </w:rPr>
        <w:t>坚持以人为核心，坚持人民城市人民建，人民城市为人民，着力提高人口素质和农业转移人口市民化质量，加快实现城镇基本公共服务常住人口全覆盖，不断提升城市宜居宜业水平，不断增强人民获得感幸福感安全感，促进人的全面发展，使全体人民共享城镇化发展成果。</w:t>
      </w:r>
    </w:p>
    <w:p>
      <w:pPr>
        <w:ind w:firstLine="643"/>
        <w:rPr>
          <w:lang w:val="zh-CN"/>
        </w:rPr>
      </w:pPr>
      <w:r>
        <w:rPr>
          <w:rFonts w:hint="eastAsia"/>
          <w:b/>
          <w:lang w:val="zh-CN"/>
        </w:rPr>
        <w:t>内涵发展，品质提升。</w:t>
      </w:r>
      <w:r>
        <w:rPr>
          <w:rFonts w:hint="eastAsia"/>
          <w:lang w:val="zh-CN"/>
        </w:rPr>
        <w:t>加快推动城市发展由外延扩张式向内涵提升式转变，全面提升城市治理水平，着力推进绿色发展、循环发展、低碳发展。构建区域联动、组团发展的城镇化空间格局，增强城市创新活力，传承海陆丰优秀传统文化，提升城市功能品质，建设成为人民美好生活的空间载体。</w:t>
      </w:r>
    </w:p>
    <w:p>
      <w:pPr>
        <w:ind w:firstLine="643"/>
        <w:rPr>
          <w:lang w:val="zh-CN"/>
        </w:rPr>
      </w:pPr>
      <w:r>
        <w:rPr>
          <w:rFonts w:hint="eastAsia"/>
          <w:b/>
          <w:lang w:val="zh-CN"/>
        </w:rPr>
        <w:t>优化布局，集约高效。</w:t>
      </w:r>
      <w:r>
        <w:rPr>
          <w:rFonts w:hint="eastAsia"/>
          <w:lang w:val="zh-CN"/>
        </w:rPr>
        <w:t>根据资源环境承载能力构建科学合理的城镇化格局，以综合交通网络和信息网络为依托，科学构建城镇化布局体系。严守三条“红线”，控制城镇建设用地规模，严格保护基本农田，合理控制城镇开发边界。优化城市内部空间结构，促进城市紧凑发展，不断提高土地利用效率</w:t>
      </w:r>
    </w:p>
    <w:p>
      <w:pPr>
        <w:ind w:firstLine="643"/>
        <w:rPr>
          <w:lang w:val="zh-CN"/>
        </w:rPr>
      </w:pPr>
      <w:r>
        <w:rPr>
          <w:rFonts w:hint="eastAsia"/>
          <w:b/>
          <w:lang w:val="zh-CN"/>
        </w:rPr>
        <w:t>工农互促，城乡互补。</w:t>
      </w:r>
      <w:r>
        <w:rPr>
          <w:rFonts w:hint="eastAsia"/>
          <w:lang w:val="zh-CN"/>
        </w:rPr>
        <w:t>统筹推进新型城镇化战略与乡村振兴战略，坚持城镇化与工业化、信息化、农业现代化相互协调、良性互动，构建城乡要素平等交换、双向流动和公共资源合理配置的体制机制，促进城乡产业融合发展，发挥城市对乡村的辐射带动作用，乡村对城市的支撑保障作用，持续缩小城乡区域发展差距。</w:t>
      </w:r>
    </w:p>
    <w:p>
      <w:pPr>
        <w:pStyle w:val="3"/>
        <w:spacing w:before="217" w:after="217"/>
        <w:rPr>
          <w:lang w:val="zh-CN"/>
        </w:rPr>
      </w:pPr>
      <w:bookmarkStart w:id="12" w:name="_Toc116065983"/>
      <w:r>
        <w:rPr>
          <w:rFonts w:hint="eastAsia"/>
          <w:lang w:val="zh-CN"/>
        </w:rPr>
        <w:t>第三节 发展目标</w:t>
      </w:r>
      <w:bookmarkEnd w:id="12"/>
    </w:p>
    <w:p>
      <w:pPr>
        <w:ind w:firstLine="640"/>
        <w:rPr>
          <w:lang w:val="zh-CN"/>
        </w:rPr>
      </w:pPr>
      <w:r>
        <w:rPr>
          <w:rFonts w:hint="eastAsia"/>
          <w:lang w:val="zh-CN"/>
        </w:rPr>
        <w:t>到2</w:t>
      </w:r>
      <w:r>
        <w:rPr>
          <w:lang w:val="zh-CN"/>
        </w:rPr>
        <w:t>035</w:t>
      </w:r>
      <w:r>
        <w:rPr>
          <w:rFonts w:hint="eastAsia"/>
          <w:lang w:val="zh-CN"/>
        </w:rPr>
        <w:t>年，汕尾将基本实现新型城镇化，全市常住人口城镇化率达到</w:t>
      </w:r>
      <w:r>
        <w:rPr>
          <w:rFonts w:hint="eastAsia"/>
          <w:highlight w:val="yellow"/>
          <w:lang w:val="zh-CN"/>
        </w:rPr>
        <w:t>XX%</w:t>
      </w:r>
      <w:r>
        <w:rPr>
          <w:rFonts w:hint="eastAsia"/>
          <w:lang w:val="zh-CN"/>
        </w:rPr>
        <w:t>以上，城镇化发展方式全面转型、发展质量全面提升，城镇化空间布局和形态全面优化，城市功能品质全面完善，新型城乡关系全面建立，人的全面发展在新型城镇化进程中得到充分彰显。</w:t>
      </w:r>
    </w:p>
    <w:p>
      <w:pPr>
        <w:ind w:firstLine="643"/>
        <w:rPr>
          <w:lang w:val="zh-CN"/>
        </w:rPr>
      </w:pPr>
      <w:r>
        <w:rPr>
          <w:rFonts w:hint="eastAsia"/>
          <w:b/>
          <w:lang w:val="zh-CN"/>
        </w:rPr>
        <w:t>——农业转移人口全面融入城市。</w:t>
      </w:r>
      <w:r>
        <w:rPr>
          <w:rFonts w:hint="eastAsia"/>
          <w:lang w:val="zh-CN"/>
        </w:rPr>
        <w:t>户籍制度改革基本完成，以经常居住地登记户口制度全面落实。新型户口管理服务制度有效落实，基本实现城镇基本公共服务常住人口全覆盖，农业转移人口融入城市能力显著提升，形成本外融合的社会包容氛围。</w:t>
      </w:r>
    </w:p>
    <w:p>
      <w:pPr>
        <w:ind w:firstLine="643"/>
        <w:rPr>
          <w:lang w:val="zh-CN"/>
        </w:rPr>
      </w:pPr>
      <w:r>
        <w:rPr>
          <w:rFonts w:hint="eastAsia"/>
          <w:b/>
          <w:lang w:val="zh-CN"/>
        </w:rPr>
        <w:t>——城镇化发展格局更加成熟定型。</w:t>
      </w:r>
      <w:r>
        <w:rPr>
          <w:rFonts w:hint="eastAsia"/>
          <w:lang w:val="zh-CN"/>
        </w:rPr>
        <w:t>“一圈两带两廊”的“井”轴空间格局构筑形成，城镇规模结构更加合理，疏密有致、分工协作、功能完善的城镇化空间格局全面形成，公共资源配置更加合理，城市综合承载能力显著增强。</w:t>
      </w:r>
    </w:p>
    <w:p>
      <w:pPr>
        <w:ind w:firstLine="643"/>
        <w:rPr>
          <w:lang w:val="zh-CN"/>
        </w:rPr>
      </w:pPr>
      <w:r>
        <w:rPr>
          <w:rFonts w:hint="eastAsia"/>
          <w:b/>
          <w:lang w:val="zh-CN"/>
        </w:rPr>
        <w:t>——现代化城市体系基本建成。</w:t>
      </w:r>
      <w:r>
        <w:rPr>
          <w:rFonts w:hint="eastAsia"/>
          <w:lang w:val="zh-CN"/>
        </w:rPr>
        <w:t>城市功能品质更加完善，创新活力迸发，运行智慧高效，海陆丰文化特色彰显，生态环境质量显著改善，抵御风险冲击能力大幅增强，宜居、创新、智慧、绿色、人文成为汕尾城市特征，整体打造成为人们享受美好生活的幸福家园。</w:t>
      </w:r>
    </w:p>
    <w:p>
      <w:pPr>
        <w:ind w:firstLine="643"/>
        <w:rPr>
          <w:lang w:val="zh-CN"/>
        </w:rPr>
      </w:pPr>
      <w:r>
        <w:rPr>
          <w:rFonts w:hint="eastAsia"/>
          <w:b/>
          <w:lang w:val="zh-CN"/>
        </w:rPr>
        <w:t>——城市治理现代化水平显著提升。</w:t>
      </w:r>
      <w:r>
        <w:rPr>
          <w:rFonts w:hint="eastAsia"/>
          <w:lang w:val="zh-CN"/>
        </w:rPr>
        <w:t>城市治理科学化、精细化、智能化程度显著提升，统一规划体系全面建立，精明增长、集约高效的空间治理方式基本形成，共建共治共享的社会治理新格局基本形成，城市发展资金保障机制更加完善，行政管理服务质量和效率显著提高。</w:t>
      </w:r>
    </w:p>
    <w:p>
      <w:pPr>
        <w:ind w:firstLine="643"/>
        <w:rPr>
          <w:lang w:val="zh-CN"/>
        </w:rPr>
      </w:pPr>
      <w:r>
        <w:rPr>
          <w:rFonts w:hint="eastAsia"/>
          <w:b/>
          <w:lang w:val="zh-CN"/>
        </w:rPr>
        <w:t>——城乡全面融合发展基本实现。</w:t>
      </w:r>
      <w:r>
        <w:rPr>
          <w:rFonts w:hint="eastAsia"/>
          <w:lang w:val="zh-CN"/>
        </w:rPr>
        <w:t>城乡要素双向自由流动的制度性通道全面打通，城乡基本公共服务均等化和基础设施一体化基本实现，城乡产业发展趋于协调，农业农村现代化基本实现，城乡发展差距和居民生活水平差距显著缩小。</w:t>
      </w:r>
    </w:p>
    <w:p>
      <w:pPr>
        <w:ind w:firstLine="640"/>
        <w:rPr>
          <w:lang w:val="zh-CN"/>
        </w:rPr>
      </w:pPr>
      <w:r>
        <w:rPr>
          <w:rFonts w:hint="eastAsia"/>
          <w:lang w:val="zh-CN"/>
        </w:rPr>
        <w:t>锚定2</w:t>
      </w:r>
      <w:r>
        <w:rPr>
          <w:lang w:val="zh-CN"/>
        </w:rPr>
        <w:t>035</w:t>
      </w:r>
      <w:r>
        <w:rPr>
          <w:rFonts w:hint="eastAsia"/>
          <w:lang w:val="zh-CN"/>
        </w:rPr>
        <w:t>年基本实现新型城镇化目标，我市“十四五”时期新型城镇化发展努力实现如下目标：农业转移人口市民化质量明显提高，人口与产业、公共服务、社会就业实现良性互动，以人为核心的城镇化质量明显提升，城镇人口和经济承载能力进一步提高，城市生活更加方便、美好、安全，城市治理能力和治理水平实现新跃升，社会治理体系更加完善，城乡融合发展体制机制基本建立。到2</w:t>
      </w:r>
      <w:r>
        <w:rPr>
          <w:lang w:val="zh-CN"/>
        </w:rPr>
        <w:t>025</w:t>
      </w:r>
      <w:r>
        <w:rPr>
          <w:rFonts w:hint="eastAsia"/>
          <w:lang w:val="zh-CN"/>
        </w:rPr>
        <w:t>年，常住人口城镇化率达到</w:t>
      </w:r>
      <w:r>
        <w:rPr>
          <w:rFonts w:hint="eastAsia"/>
          <w:highlight w:val="yellow"/>
          <w:lang w:val="zh-CN"/>
        </w:rPr>
        <w:t>XX%</w:t>
      </w:r>
      <w:r>
        <w:rPr>
          <w:rFonts w:hint="eastAsia"/>
          <w:lang w:val="zh-CN"/>
        </w:rPr>
        <w:t>，城镇常住人口</w:t>
      </w:r>
      <w:r>
        <w:rPr>
          <w:rFonts w:hint="eastAsia"/>
          <w:highlight w:val="yellow"/>
          <w:lang w:val="zh-CN"/>
        </w:rPr>
        <w:t>XX</w:t>
      </w:r>
      <w:r>
        <w:rPr>
          <w:rFonts w:hint="eastAsia"/>
          <w:lang w:val="zh-CN"/>
        </w:rPr>
        <w:t>万人，城乡居民人均可支配收入比控制在</w:t>
      </w:r>
      <w:r>
        <w:rPr>
          <w:rFonts w:hint="eastAsia"/>
          <w:highlight w:val="yellow"/>
          <w:lang w:val="zh-CN"/>
        </w:rPr>
        <w:t>XX</w:t>
      </w:r>
      <w:r>
        <w:rPr>
          <w:rFonts w:hint="eastAsia"/>
          <w:lang w:val="zh-CN"/>
        </w:rPr>
        <w:t>左右。</w:t>
      </w:r>
    </w:p>
    <w:p>
      <w:pPr>
        <w:pStyle w:val="65"/>
        <w:spacing w:before="217"/>
        <w:rPr>
          <w:lang w:val="zh-CN"/>
        </w:rPr>
      </w:pPr>
      <w:r>
        <w:rPr>
          <w:rFonts w:hint="eastAsia"/>
          <w:lang w:val="zh-CN"/>
        </w:rPr>
        <w:t>表2</w:t>
      </w:r>
      <w:r>
        <w:rPr>
          <w:lang w:val="zh-CN"/>
        </w:rPr>
        <w:t xml:space="preserve">-1 </w:t>
      </w:r>
      <w:r>
        <w:rPr>
          <w:rFonts w:hint="eastAsia"/>
          <w:lang w:val="zh-CN"/>
        </w:rPr>
        <w:t>汕尾市新型城镇化发展指标体系</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1"/>
        <w:gridCol w:w="1006"/>
        <w:gridCol w:w="935"/>
        <w:gridCol w:w="996"/>
        <w:gridCol w:w="996"/>
        <w:gridCol w:w="997"/>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846" w:type="dxa"/>
            <w:vAlign w:val="center"/>
          </w:tcPr>
          <w:p>
            <w:pPr>
              <w:pStyle w:val="62"/>
              <w:rPr>
                <w:b/>
                <w:lang w:val="zh-CN"/>
              </w:rPr>
            </w:pPr>
            <w:r>
              <w:rPr>
                <w:rFonts w:hint="eastAsia"/>
                <w:b/>
                <w:lang w:val="zh-CN"/>
              </w:rPr>
              <w:t>类别</w:t>
            </w:r>
          </w:p>
        </w:tc>
        <w:tc>
          <w:tcPr>
            <w:tcW w:w="2977" w:type="dxa"/>
            <w:gridSpan w:val="2"/>
            <w:vAlign w:val="center"/>
          </w:tcPr>
          <w:p>
            <w:pPr>
              <w:pStyle w:val="62"/>
              <w:rPr>
                <w:b/>
                <w:lang w:val="zh-CN"/>
              </w:rPr>
            </w:pPr>
            <w:r>
              <w:rPr>
                <w:rFonts w:hint="eastAsia"/>
                <w:b/>
                <w:lang w:val="zh-CN"/>
              </w:rPr>
              <w:t>指标</w:t>
            </w:r>
          </w:p>
        </w:tc>
        <w:tc>
          <w:tcPr>
            <w:tcW w:w="935" w:type="dxa"/>
            <w:vAlign w:val="center"/>
          </w:tcPr>
          <w:p>
            <w:pPr>
              <w:pStyle w:val="62"/>
              <w:rPr>
                <w:b/>
                <w:lang w:val="zh-CN"/>
              </w:rPr>
            </w:pPr>
            <w:r>
              <w:rPr>
                <w:rFonts w:hint="eastAsia"/>
                <w:b/>
                <w:lang w:val="zh-CN"/>
              </w:rPr>
              <w:t>单位</w:t>
            </w:r>
          </w:p>
        </w:tc>
        <w:tc>
          <w:tcPr>
            <w:tcW w:w="996" w:type="dxa"/>
            <w:vAlign w:val="center"/>
          </w:tcPr>
          <w:p>
            <w:pPr>
              <w:pStyle w:val="62"/>
              <w:rPr>
                <w:b/>
                <w:lang w:val="zh-CN"/>
              </w:rPr>
            </w:pPr>
            <w:r>
              <w:rPr>
                <w:rFonts w:hint="eastAsia"/>
                <w:b/>
                <w:lang w:val="zh-CN"/>
              </w:rPr>
              <w:t>2</w:t>
            </w:r>
            <w:r>
              <w:rPr>
                <w:b/>
                <w:lang w:val="zh-CN"/>
              </w:rPr>
              <w:t>020</w:t>
            </w:r>
            <w:r>
              <w:rPr>
                <w:rFonts w:hint="eastAsia"/>
                <w:b/>
                <w:lang w:val="zh-CN"/>
              </w:rPr>
              <w:t>年</w:t>
            </w:r>
          </w:p>
        </w:tc>
        <w:tc>
          <w:tcPr>
            <w:tcW w:w="996" w:type="dxa"/>
            <w:vAlign w:val="center"/>
          </w:tcPr>
          <w:p>
            <w:pPr>
              <w:pStyle w:val="62"/>
              <w:rPr>
                <w:b/>
                <w:lang w:val="zh-CN"/>
              </w:rPr>
            </w:pPr>
            <w:r>
              <w:rPr>
                <w:rFonts w:hint="eastAsia"/>
                <w:b/>
                <w:lang w:val="zh-CN"/>
              </w:rPr>
              <w:t>2</w:t>
            </w:r>
            <w:r>
              <w:rPr>
                <w:b/>
                <w:lang w:val="zh-CN"/>
              </w:rPr>
              <w:t>025</w:t>
            </w:r>
            <w:r>
              <w:rPr>
                <w:rFonts w:hint="eastAsia"/>
                <w:b/>
                <w:lang w:val="zh-CN"/>
              </w:rPr>
              <w:t>年</w:t>
            </w:r>
          </w:p>
        </w:tc>
        <w:tc>
          <w:tcPr>
            <w:tcW w:w="997" w:type="dxa"/>
            <w:vAlign w:val="center"/>
          </w:tcPr>
          <w:p>
            <w:pPr>
              <w:pStyle w:val="62"/>
              <w:rPr>
                <w:b/>
                <w:lang w:val="zh-CN"/>
              </w:rPr>
            </w:pPr>
            <w:r>
              <w:rPr>
                <w:rFonts w:hint="eastAsia"/>
                <w:b/>
                <w:lang w:val="zh-CN"/>
              </w:rPr>
              <w:t>2</w:t>
            </w:r>
            <w:r>
              <w:rPr>
                <w:b/>
                <w:lang w:val="zh-CN"/>
              </w:rPr>
              <w:t>035</w:t>
            </w:r>
            <w:r>
              <w:rPr>
                <w:rFonts w:hint="eastAsia"/>
                <w:b/>
                <w:lang w:val="zh-CN"/>
              </w:rPr>
              <w:t>年</w:t>
            </w:r>
          </w:p>
        </w:tc>
        <w:tc>
          <w:tcPr>
            <w:tcW w:w="996" w:type="dxa"/>
            <w:vAlign w:val="center"/>
          </w:tcPr>
          <w:p>
            <w:pPr>
              <w:pStyle w:val="62"/>
              <w:rPr>
                <w:b/>
                <w:lang w:val="zh-CN"/>
              </w:rPr>
            </w:pPr>
            <w:r>
              <w:rPr>
                <w:rFonts w:hint="eastAsia"/>
                <w:b/>
                <w:lang w:val="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46" w:type="dxa"/>
            <w:vAlign w:val="center"/>
          </w:tcPr>
          <w:p>
            <w:pPr>
              <w:pStyle w:val="62"/>
              <w:rPr>
                <w:lang w:val="zh-CN"/>
              </w:rPr>
            </w:pPr>
            <w:r>
              <w:rPr>
                <w:rFonts w:hint="eastAsia"/>
                <w:lang w:val="zh-CN"/>
              </w:rPr>
              <w:t>城镇化水平</w:t>
            </w:r>
          </w:p>
        </w:tc>
        <w:tc>
          <w:tcPr>
            <w:tcW w:w="2977" w:type="dxa"/>
            <w:gridSpan w:val="2"/>
            <w:vAlign w:val="center"/>
          </w:tcPr>
          <w:p>
            <w:pPr>
              <w:pStyle w:val="62"/>
              <w:jc w:val="both"/>
              <w:rPr>
                <w:lang w:val="zh-CN"/>
              </w:rPr>
            </w:pPr>
            <w:r>
              <w:rPr>
                <w:rFonts w:hint="eastAsia"/>
                <w:lang w:val="zh-CN"/>
              </w:rPr>
              <w:t>1</w:t>
            </w:r>
            <w:r>
              <w:rPr>
                <w:lang w:val="zh-CN"/>
              </w:rPr>
              <w:t>.</w:t>
            </w:r>
            <w:r>
              <w:rPr>
                <w:rFonts w:hint="eastAsia"/>
                <w:lang w:val="zh-CN"/>
              </w:rPr>
              <w:t>常住人口城镇化率</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46" w:type="dxa"/>
            <w:vMerge w:val="restart"/>
            <w:vAlign w:val="center"/>
          </w:tcPr>
          <w:p>
            <w:pPr>
              <w:pStyle w:val="62"/>
              <w:rPr>
                <w:lang w:val="zh-CN"/>
              </w:rPr>
            </w:pPr>
            <w:r>
              <w:rPr>
                <w:rFonts w:hint="eastAsia"/>
                <w:lang w:val="zh-CN"/>
              </w:rPr>
              <w:t>城市服务</w:t>
            </w:r>
          </w:p>
        </w:tc>
        <w:tc>
          <w:tcPr>
            <w:tcW w:w="1971" w:type="dxa"/>
            <w:vMerge w:val="restart"/>
            <w:vAlign w:val="center"/>
          </w:tcPr>
          <w:p>
            <w:pPr>
              <w:pStyle w:val="62"/>
              <w:jc w:val="both"/>
              <w:rPr>
                <w:lang w:val="zh-CN"/>
              </w:rPr>
            </w:pPr>
            <w:r>
              <w:rPr>
                <w:rFonts w:hint="eastAsia"/>
                <w:lang w:val="zh-CN"/>
              </w:rPr>
              <w:t>2</w:t>
            </w:r>
            <w:r>
              <w:rPr>
                <w:lang w:val="zh-CN"/>
              </w:rPr>
              <w:t>.</w:t>
            </w:r>
            <w:r>
              <w:rPr>
                <w:rFonts w:hint="eastAsia"/>
                <w:lang w:val="zh-CN"/>
              </w:rPr>
              <w:t>城镇基础教育千人学位数</w:t>
            </w:r>
          </w:p>
        </w:tc>
        <w:tc>
          <w:tcPr>
            <w:tcW w:w="1006" w:type="dxa"/>
            <w:vAlign w:val="center"/>
          </w:tcPr>
          <w:p>
            <w:pPr>
              <w:pStyle w:val="62"/>
              <w:rPr>
                <w:lang w:val="zh-CN"/>
              </w:rPr>
            </w:pPr>
            <w:r>
              <w:rPr>
                <w:rFonts w:hint="eastAsia"/>
                <w:lang w:val="zh-CN"/>
              </w:rPr>
              <w:t>幼儿园</w:t>
            </w:r>
          </w:p>
        </w:tc>
        <w:tc>
          <w:tcPr>
            <w:tcW w:w="935" w:type="dxa"/>
            <w:vAlign w:val="center"/>
          </w:tcPr>
          <w:p>
            <w:pPr>
              <w:pStyle w:val="62"/>
              <w:rPr>
                <w:lang w:val="zh-CN"/>
              </w:rPr>
            </w:pPr>
            <w:r>
              <w:rPr>
                <w:rFonts w:hint="eastAsia"/>
                <w:lang w:val="zh-CN"/>
              </w:rPr>
              <w:t>位</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46" w:type="dxa"/>
            <w:vMerge w:val="continue"/>
            <w:vAlign w:val="center"/>
          </w:tcPr>
          <w:p>
            <w:pPr>
              <w:pStyle w:val="62"/>
              <w:rPr>
                <w:lang w:val="zh-CN"/>
              </w:rPr>
            </w:pPr>
          </w:p>
        </w:tc>
        <w:tc>
          <w:tcPr>
            <w:tcW w:w="1971" w:type="dxa"/>
            <w:vMerge w:val="continue"/>
            <w:vAlign w:val="center"/>
          </w:tcPr>
          <w:p>
            <w:pPr>
              <w:pStyle w:val="62"/>
              <w:jc w:val="both"/>
              <w:rPr>
                <w:lang w:val="zh-CN"/>
              </w:rPr>
            </w:pPr>
          </w:p>
        </w:tc>
        <w:tc>
          <w:tcPr>
            <w:tcW w:w="1006" w:type="dxa"/>
            <w:vAlign w:val="center"/>
          </w:tcPr>
          <w:p>
            <w:pPr>
              <w:pStyle w:val="62"/>
              <w:rPr>
                <w:lang w:val="zh-CN"/>
              </w:rPr>
            </w:pPr>
            <w:r>
              <w:rPr>
                <w:rFonts w:hint="eastAsia"/>
                <w:lang w:val="zh-CN"/>
              </w:rPr>
              <w:t>小学</w:t>
            </w:r>
          </w:p>
        </w:tc>
        <w:tc>
          <w:tcPr>
            <w:tcW w:w="935" w:type="dxa"/>
            <w:vAlign w:val="center"/>
          </w:tcPr>
          <w:p>
            <w:pPr>
              <w:pStyle w:val="62"/>
              <w:rPr>
                <w:lang w:val="zh-CN"/>
              </w:rPr>
            </w:pPr>
            <w:r>
              <w:rPr>
                <w:rFonts w:hint="eastAsia"/>
                <w:lang w:val="zh-CN"/>
              </w:rPr>
              <w:t>位</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46" w:type="dxa"/>
            <w:vMerge w:val="continue"/>
            <w:vAlign w:val="center"/>
          </w:tcPr>
          <w:p>
            <w:pPr>
              <w:pStyle w:val="62"/>
              <w:rPr>
                <w:lang w:val="zh-CN"/>
              </w:rPr>
            </w:pPr>
          </w:p>
        </w:tc>
        <w:tc>
          <w:tcPr>
            <w:tcW w:w="1971" w:type="dxa"/>
            <w:vMerge w:val="continue"/>
            <w:vAlign w:val="center"/>
          </w:tcPr>
          <w:p>
            <w:pPr>
              <w:pStyle w:val="62"/>
              <w:jc w:val="both"/>
              <w:rPr>
                <w:lang w:val="zh-CN"/>
              </w:rPr>
            </w:pPr>
          </w:p>
        </w:tc>
        <w:tc>
          <w:tcPr>
            <w:tcW w:w="1006" w:type="dxa"/>
            <w:vAlign w:val="center"/>
          </w:tcPr>
          <w:p>
            <w:pPr>
              <w:pStyle w:val="62"/>
              <w:rPr>
                <w:lang w:val="zh-CN"/>
              </w:rPr>
            </w:pPr>
            <w:r>
              <w:rPr>
                <w:rFonts w:hint="eastAsia"/>
                <w:lang w:val="zh-CN"/>
              </w:rPr>
              <w:t>初中</w:t>
            </w:r>
          </w:p>
        </w:tc>
        <w:tc>
          <w:tcPr>
            <w:tcW w:w="935" w:type="dxa"/>
            <w:vAlign w:val="center"/>
          </w:tcPr>
          <w:p>
            <w:pPr>
              <w:pStyle w:val="62"/>
              <w:rPr>
                <w:lang w:val="zh-CN"/>
              </w:rPr>
            </w:pPr>
            <w:r>
              <w:rPr>
                <w:rFonts w:hint="eastAsia"/>
                <w:lang w:val="zh-CN"/>
              </w:rPr>
              <w:t>位</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3</w:t>
            </w:r>
            <w:r>
              <w:rPr>
                <w:lang w:val="zh-CN"/>
              </w:rPr>
              <w:t>.</w:t>
            </w:r>
            <w:r>
              <w:rPr>
                <w:rFonts w:hint="eastAsia"/>
                <w:lang w:val="zh-CN"/>
              </w:rPr>
              <w:t>外来务工人员随迁子女在公办学校（含政府购买学位）接受义务教育比例</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4</w:t>
            </w:r>
            <w:r>
              <w:rPr>
                <w:lang w:val="zh-CN"/>
              </w:rPr>
              <w:t>.</w:t>
            </w:r>
            <w:r>
              <w:rPr>
                <w:rFonts w:hint="eastAsia"/>
                <w:lang w:val="zh-CN"/>
              </w:rPr>
              <w:t>每万人拥有公共文化设施面积</w:t>
            </w:r>
          </w:p>
        </w:tc>
        <w:tc>
          <w:tcPr>
            <w:tcW w:w="935" w:type="dxa"/>
            <w:vAlign w:val="center"/>
          </w:tcPr>
          <w:p>
            <w:pPr>
              <w:pStyle w:val="62"/>
              <w:rPr>
                <w:lang w:val="zh-CN"/>
              </w:rPr>
            </w:pPr>
            <w:r>
              <w:rPr>
                <w:rFonts w:hint="eastAsia"/>
                <w:lang w:val="zh-CN"/>
              </w:rPr>
              <w:t>平方米</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5</w:t>
            </w:r>
            <w:r>
              <w:rPr>
                <w:lang w:val="zh-CN"/>
              </w:rPr>
              <w:t>.</w:t>
            </w:r>
            <w:r>
              <w:rPr>
                <w:rFonts w:hint="eastAsia"/>
                <w:lang w:val="zh-CN"/>
              </w:rPr>
              <w:t>每千人拥有医疗卫生机构床位数</w:t>
            </w:r>
          </w:p>
        </w:tc>
        <w:tc>
          <w:tcPr>
            <w:tcW w:w="935" w:type="dxa"/>
            <w:vAlign w:val="center"/>
          </w:tcPr>
          <w:p>
            <w:pPr>
              <w:pStyle w:val="62"/>
              <w:rPr>
                <w:lang w:val="zh-CN"/>
              </w:rPr>
            </w:pPr>
            <w:r>
              <w:rPr>
                <w:rFonts w:hint="eastAsia"/>
                <w:lang w:val="zh-CN"/>
              </w:rPr>
              <w:t>张</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6</w:t>
            </w:r>
            <w:r>
              <w:rPr>
                <w:lang w:val="zh-CN"/>
              </w:rPr>
              <w:t>.</w:t>
            </w:r>
            <w:r>
              <w:rPr>
                <w:rFonts w:hint="eastAsia"/>
                <w:lang w:val="zh-CN"/>
              </w:rPr>
              <w:t>每千人口拥有3岁以下婴幼儿托位数</w:t>
            </w:r>
          </w:p>
        </w:tc>
        <w:tc>
          <w:tcPr>
            <w:tcW w:w="935" w:type="dxa"/>
            <w:vAlign w:val="center"/>
          </w:tcPr>
          <w:p>
            <w:pPr>
              <w:pStyle w:val="62"/>
              <w:rPr>
                <w:lang w:val="zh-CN"/>
              </w:rPr>
            </w:pPr>
            <w:r>
              <w:rPr>
                <w:rFonts w:hint="eastAsia"/>
                <w:lang w:val="zh-CN"/>
              </w:rPr>
              <w:t>位</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7</w:t>
            </w:r>
            <w:r>
              <w:rPr>
                <w:lang w:val="zh-CN"/>
              </w:rPr>
              <w:t>.</w:t>
            </w:r>
            <w:r>
              <w:rPr>
                <w:rFonts w:hint="eastAsia"/>
                <w:lang w:val="zh-CN"/>
              </w:rPr>
              <w:t>养老机构护理型床位占比</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8</w:t>
            </w:r>
            <w:r>
              <w:rPr>
                <w:lang w:val="zh-CN"/>
              </w:rPr>
              <w:t>.</w:t>
            </w:r>
            <w:r>
              <w:rPr>
                <w:rFonts w:hint="eastAsia"/>
                <w:lang w:val="zh-CN"/>
              </w:rPr>
              <w:t>城镇累计新增就业人数</w:t>
            </w:r>
          </w:p>
        </w:tc>
        <w:tc>
          <w:tcPr>
            <w:tcW w:w="935" w:type="dxa"/>
            <w:vAlign w:val="center"/>
          </w:tcPr>
          <w:p>
            <w:pPr>
              <w:pStyle w:val="62"/>
              <w:rPr>
                <w:lang w:val="zh-CN"/>
              </w:rPr>
            </w:pPr>
            <w:r>
              <w:rPr>
                <w:rFonts w:hint="eastAsia"/>
                <w:lang w:val="zh-CN"/>
              </w:rPr>
              <w:t>万人</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9</w:t>
            </w:r>
            <w:r>
              <w:rPr>
                <w:lang w:val="zh-CN"/>
              </w:rPr>
              <w:t>.</w:t>
            </w:r>
            <w:r>
              <w:rPr>
                <w:rFonts w:hint="eastAsia"/>
                <w:lang w:val="zh-CN"/>
              </w:rPr>
              <w:t>外来务工人员新享有城镇保障性住房</w:t>
            </w:r>
          </w:p>
        </w:tc>
        <w:tc>
          <w:tcPr>
            <w:tcW w:w="935" w:type="dxa"/>
            <w:vAlign w:val="center"/>
          </w:tcPr>
          <w:p>
            <w:pPr>
              <w:pStyle w:val="62"/>
              <w:rPr>
                <w:lang w:val="zh-CN"/>
              </w:rPr>
            </w:pPr>
            <w:r>
              <w:rPr>
                <w:rFonts w:hint="eastAsia"/>
                <w:lang w:val="zh-CN"/>
              </w:rPr>
              <w:t>万套</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1</w:t>
            </w:r>
            <w:r>
              <w:rPr>
                <w:lang w:val="zh-CN"/>
              </w:rPr>
              <w:t>0.</w:t>
            </w:r>
            <w:r>
              <w:rPr>
                <w:rFonts w:hint="eastAsia"/>
                <w:lang w:val="zh-CN"/>
              </w:rPr>
              <w:t>公共交通占机动化分担率</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1</w:t>
            </w:r>
            <w:r>
              <w:rPr>
                <w:lang w:val="zh-CN"/>
              </w:rPr>
              <w:t>1.5</w:t>
            </w:r>
            <w:r>
              <w:rPr>
                <w:rFonts w:hint="eastAsia"/>
                <w:lang w:val="zh-CN"/>
              </w:rPr>
              <w:t>G网络用户普及率</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1</w:t>
            </w:r>
            <w:r>
              <w:rPr>
                <w:lang w:val="zh-CN"/>
              </w:rPr>
              <w:t>2.</w:t>
            </w:r>
            <w:r>
              <w:rPr>
                <w:rFonts w:hint="eastAsia"/>
                <w:lang w:val="zh-CN"/>
              </w:rPr>
              <w:t>城镇每百户拥有的社区综合服务设施面积</w:t>
            </w:r>
          </w:p>
        </w:tc>
        <w:tc>
          <w:tcPr>
            <w:tcW w:w="935" w:type="dxa"/>
            <w:vAlign w:val="center"/>
          </w:tcPr>
          <w:p>
            <w:pPr>
              <w:pStyle w:val="62"/>
              <w:rPr>
                <w:lang w:val="zh-CN"/>
              </w:rPr>
            </w:pPr>
            <w:r>
              <w:rPr>
                <w:rFonts w:hint="eastAsia"/>
                <w:lang w:val="zh-CN"/>
              </w:rPr>
              <w:t>平方米</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restart"/>
            <w:vAlign w:val="center"/>
          </w:tcPr>
          <w:p>
            <w:pPr>
              <w:pStyle w:val="62"/>
              <w:rPr>
                <w:lang w:val="zh-CN"/>
              </w:rPr>
            </w:pPr>
            <w:r>
              <w:rPr>
                <w:rFonts w:hint="eastAsia"/>
                <w:lang w:val="zh-CN"/>
              </w:rPr>
              <w:t>城市环境</w:t>
            </w:r>
          </w:p>
        </w:tc>
        <w:tc>
          <w:tcPr>
            <w:tcW w:w="2977" w:type="dxa"/>
            <w:gridSpan w:val="2"/>
            <w:vAlign w:val="center"/>
          </w:tcPr>
          <w:p>
            <w:pPr>
              <w:pStyle w:val="62"/>
              <w:jc w:val="both"/>
              <w:rPr>
                <w:lang w:val="zh-CN"/>
              </w:rPr>
            </w:pPr>
            <w:r>
              <w:rPr>
                <w:rFonts w:hint="eastAsia"/>
                <w:lang w:val="zh-CN"/>
              </w:rPr>
              <w:t>1</w:t>
            </w:r>
            <w:r>
              <w:rPr>
                <w:lang w:val="zh-CN"/>
              </w:rPr>
              <w:t>3.</w:t>
            </w:r>
            <w:r>
              <w:rPr>
                <w:rFonts w:hint="eastAsia"/>
                <w:lang w:val="zh-CN"/>
              </w:rPr>
              <w:t>城市生活污水集中收集率</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1</w:t>
            </w:r>
            <w:r>
              <w:rPr>
                <w:lang w:val="zh-CN"/>
              </w:rPr>
              <w:t>4.</w:t>
            </w:r>
            <w:r>
              <w:rPr>
                <w:rFonts w:hint="eastAsia"/>
                <w:lang w:val="zh-CN"/>
              </w:rPr>
              <w:t>城市生活垃圾无害化处理率</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1</w:t>
            </w:r>
            <w:r>
              <w:rPr>
                <w:lang w:val="zh-CN"/>
              </w:rPr>
              <w:t>5.</w:t>
            </w:r>
            <w:r>
              <w:rPr>
                <w:rFonts w:hint="eastAsia"/>
                <w:lang w:val="zh-CN"/>
              </w:rPr>
              <w:t>城市建成区绿化覆盖率</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1</w:t>
            </w:r>
            <w:r>
              <w:rPr>
                <w:lang w:val="zh-CN"/>
              </w:rPr>
              <w:t>6.</w:t>
            </w:r>
            <w:r>
              <w:rPr>
                <w:rFonts w:hint="eastAsia"/>
                <w:lang w:val="zh-CN"/>
              </w:rPr>
              <w:t>空气质量优良天数比率</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1993" w:type="dxa"/>
            <w:gridSpan w:val="2"/>
            <w:vAlign w:val="center"/>
          </w:tcPr>
          <w:p>
            <w:pPr>
              <w:pStyle w:val="62"/>
              <w:rPr>
                <w:lang w:val="zh-CN"/>
              </w:rPr>
            </w:pPr>
            <w:r>
              <w:rPr>
                <w:rFonts w:hint="eastAsia"/>
                <w:lang w:val="zh-CN"/>
              </w:rPr>
              <w:t>完成省下达任务</w:t>
            </w:r>
          </w:p>
        </w:tc>
        <w:tc>
          <w:tcPr>
            <w:tcW w:w="996" w:type="dxa"/>
            <w:vAlign w:val="center"/>
          </w:tcPr>
          <w:p>
            <w:pPr>
              <w:pStyle w:val="62"/>
              <w:rPr>
                <w:lang w:val="zh-CN"/>
              </w:rPr>
            </w:pPr>
            <w:r>
              <w:rPr>
                <w:rFonts w:hint="eastAsia"/>
                <w:lang w:val="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restart"/>
            <w:vAlign w:val="center"/>
          </w:tcPr>
          <w:p>
            <w:pPr>
              <w:pStyle w:val="62"/>
              <w:rPr>
                <w:lang w:val="zh-CN"/>
              </w:rPr>
            </w:pPr>
            <w:r>
              <w:rPr>
                <w:rFonts w:hint="eastAsia"/>
                <w:lang w:val="zh-CN"/>
              </w:rPr>
              <w:t>城乡融合</w:t>
            </w:r>
          </w:p>
        </w:tc>
        <w:tc>
          <w:tcPr>
            <w:tcW w:w="2977" w:type="dxa"/>
            <w:gridSpan w:val="2"/>
            <w:vAlign w:val="center"/>
          </w:tcPr>
          <w:p>
            <w:pPr>
              <w:pStyle w:val="62"/>
              <w:jc w:val="both"/>
              <w:rPr>
                <w:lang w:val="zh-CN"/>
              </w:rPr>
            </w:pPr>
            <w:r>
              <w:rPr>
                <w:rFonts w:hint="eastAsia"/>
                <w:lang w:val="zh-CN"/>
              </w:rPr>
              <w:t>1</w:t>
            </w:r>
            <w:r>
              <w:rPr>
                <w:lang w:val="zh-CN"/>
              </w:rPr>
              <w:t>7.</w:t>
            </w:r>
            <w:r>
              <w:rPr>
                <w:rFonts w:hint="eastAsia"/>
                <w:lang w:val="zh-CN"/>
              </w:rPr>
              <w:t>城乡居民人均可支配收入比</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1</w:t>
            </w:r>
            <w:r>
              <w:rPr>
                <w:lang w:val="zh-CN"/>
              </w:rPr>
              <w:t>8.</w:t>
            </w:r>
            <w:r>
              <w:rPr>
                <w:rFonts w:hint="eastAsia"/>
                <w:lang w:val="zh-CN"/>
              </w:rPr>
              <w:t>城乡基本医疗保险参保率</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1</w:t>
            </w:r>
            <w:r>
              <w:rPr>
                <w:lang w:val="zh-CN"/>
              </w:rPr>
              <w:t>9.</w:t>
            </w:r>
            <w:r>
              <w:rPr>
                <w:rFonts w:hint="eastAsia"/>
                <w:lang w:val="zh-CN"/>
              </w:rPr>
              <w:t>衔接高速公路和国省道的农村公路路段技术水平达三级及以上比例</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2</w:t>
            </w:r>
            <w:r>
              <w:rPr>
                <w:lang w:val="zh-CN"/>
              </w:rPr>
              <w:t>0.</w:t>
            </w:r>
            <w:r>
              <w:rPr>
                <w:rFonts w:hint="eastAsia"/>
                <w:lang w:val="zh-CN"/>
              </w:rPr>
              <w:t>垃圾收运体系覆盖的自然村比例</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6" w:type="dxa"/>
            <w:vMerge w:val="continue"/>
            <w:vAlign w:val="center"/>
          </w:tcPr>
          <w:p>
            <w:pPr>
              <w:pStyle w:val="62"/>
              <w:rPr>
                <w:lang w:val="zh-CN"/>
              </w:rPr>
            </w:pPr>
          </w:p>
        </w:tc>
        <w:tc>
          <w:tcPr>
            <w:tcW w:w="2977" w:type="dxa"/>
            <w:gridSpan w:val="2"/>
            <w:vAlign w:val="center"/>
          </w:tcPr>
          <w:p>
            <w:pPr>
              <w:pStyle w:val="62"/>
              <w:jc w:val="both"/>
              <w:rPr>
                <w:lang w:val="zh-CN"/>
              </w:rPr>
            </w:pPr>
            <w:r>
              <w:rPr>
                <w:rFonts w:hint="eastAsia"/>
                <w:lang w:val="zh-CN"/>
              </w:rPr>
              <w:t>2</w:t>
            </w:r>
            <w:r>
              <w:rPr>
                <w:lang w:val="zh-CN"/>
              </w:rPr>
              <w:t>1.</w:t>
            </w:r>
            <w:r>
              <w:rPr>
                <w:rFonts w:hint="eastAsia"/>
                <w:lang w:val="zh-CN"/>
              </w:rPr>
              <w:t>农村生活污水治理率</w:t>
            </w:r>
          </w:p>
        </w:tc>
        <w:tc>
          <w:tcPr>
            <w:tcW w:w="935" w:type="dxa"/>
            <w:vAlign w:val="center"/>
          </w:tcPr>
          <w:p>
            <w:pPr>
              <w:pStyle w:val="62"/>
              <w:rPr>
                <w:lang w:val="zh-CN"/>
              </w:rPr>
            </w:pPr>
            <w:r>
              <w:rPr>
                <w:rFonts w:hint="eastAsia"/>
                <w:lang w:val="zh-CN"/>
              </w:rPr>
              <w:t>%</w:t>
            </w:r>
          </w:p>
        </w:tc>
        <w:tc>
          <w:tcPr>
            <w:tcW w:w="996" w:type="dxa"/>
            <w:vAlign w:val="center"/>
          </w:tcPr>
          <w:p>
            <w:pPr>
              <w:pStyle w:val="62"/>
              <w:rPr>
                <w:lang w:val="zh-CN"/>
              </w:rPr>
            </w:pPr>
          </w:p>
        </w:tc>
        <w:tc>
          <w:tcPr>
            <w:tcW w:w="996" w:type="dxa"/>
            <w:vAlign w:val="center"/>
          </w:tcPr>
          <w:p>
            <w:pPr>
              <w:pStyle w:val="62"/>
              <w:rPr>
                <w:lang w:val="zh-CN"/>
              </w:rPr>
            </w:pPr>
          </w:p>
        </w:tc>
        <w:tc>
          <w:tcPr>
            <w:tcW w:w="997" w:type="dxa"/>
            <w:vAlign w:val="center"/>
          </w:tcPr>
          <w:p>
            <w:pPr>
              <w:pStyle w:val="62"/>
              <w:rPr>
                <w:lang w:val="zh-CN"/>
              </w:rPr>
            </w:pPr>
          </w:p>
        </w:tc>
        <w:tc>
          <w:tcPr>
            <w:tcW w:w="996" w:type="dxa"/>
            <w:vAlign w:val="center"/>
          </w:tcPr>
          <w:p>
            <w:pPr>
              <w:pStyle w:val="62"/>
              <w:rPr>
                <w:lang w:val="zh-CN"/>
              </w:rPr>
            </w:pPr>
            <w:r>
              <w:rPr>
                <w:rFonts w:hint="eastAsia"/>
                <w:lang w:val="zh-CN"/>
              </w:rPr>
              <w:t>预期性</w:t>
            </w:r>
          </w:p>
        </w:tc>
      </w:tr>
    </w:tbl>
    <w:p>
      <w:pPr>
        <w:pStyle w:val="62"/>
        <w:rPr>
          <w:lang w:val="zh-CN"/>
        </w:rPr>
      </w:pPr>
    </w:p>
    <w:p>
      <w:pPr>
        <w:ind w:firstLine="640"/>
        <w:rPr>
          <w:lang w:val="zh-CN"/>
        </w:rPr>
      </w:pPr>
    </w:p>
    <w:p>
      <w:pPr>
        <w:pStyle w:val="2"/>
      </w:pPr>
      <w:bookmarkStart w:id="13" w:name="_Toc116065984"/>
      <w:r>
        <w:rPr>
          <w:rFonts w:hint="eastAsia"/>
        </w:rPr>
        <w:t>第三章 促进农业转移人口全面融入城市</w:t>
      </w:r>
      <w:bookmarkEnd w:id="13"/>
    </w:p>
    <w:p>
      <w:pPr>
        <w:ind w:firstLine="640"/>
      </w:pPr>
      <w:r>
        <w:rPr>
          <w:rFonts w:hint="eastAsia"/>
          <w:lang w:val="zh-CN"/>
        </w:rPr>
        <w:t>以深化改革户籍制度和基本公共服务提供机制为重点，</w:t>
      </w:r>
      <w:r>
        <w:rPr>
          <w:rFonts w:hint="eastAsia" w:ascii="仿宋_GB2312" w:hAnsi="仿宋_GB2312" w:cs="仿宋_GB2312"/>
          <w:bCs/>
        </w:rPr>
        <w:t>健全农业转移人口市民化机制和政策体系，推进城镇基本公共服务全面均等覆盖常住人口，推动以农业转移人口为主的外来常住人口在城镇安居乐业、平等分享城市发展成果，切实提高市民化质量。</w:t>
      </w:r>
    </w:p>
    <w:p>
      <w:pPr>
        <w:pStyle w:val="3"/>
        <w:spacing w:before="217" w:after="217"/>
        <w:rPr>
          <w:lang w:val="zh-CN"/>
        </w:rPr>
      </w:pPr>
      <w:bookmarkStart w:id="14" w:name="_Toc116065985"/>
      <w:r>
        <w:rPr>
          <w:rFonts w:hint="eastAsia"/>
          <w:lang w:val="zh-CN"/>
        </w:rPr>
        <w:t>第一节 全面深化户籍制度改革</w:t>
      </w:r>
      <w:bookmarkEnd w:id="14"/>
    </w:p>
    <w:p>
      <w:pPr>
        <w:ind w:firstLine="640"/>
        <w:rPr>
          <w:bCs/>
          <w:lang w:val="zh-CN"/>
        </w:rPr>
      </w:pPr>
      <w:r>
        <w:rPr>
          <w:rFonts w:hint="eastAsia"/>
          <w:bCs/>
          <w:lang w:val="zh-CN"/>
        </w:rPr>
        <w:t>依据尊重意愿、存量优先、循序渐进原则，</w:t>
      </w:r>
      <w:r>
        <w:rPr>
          <w:rFonts w:hint="eastAsia" w:ascii="仿宋_GB2312" w:hAnsi="仿宋_GB2312" w:cs="仿宋_GB2312"/>
        </w:rPr>
        <w:t>统筹推进户籍制度改革</w:t>
      </w:r>
      <w:r>
        <w:rPr>
          <w:rFonts w:hint="eastAsia"/>
          <w:bCs/>
          <w:lang w:val="zh-CN"/>
        </w:rPr>
        <w:t>，进一步提升人口管理服务的质量和效率，引导人口有序流动和均衡分布，让有意愿、有能力在城市落户的外来常住人口能落尽落。</w:t>
      </w:r>
    </w:p>
    <w:p>
      <w:pPr>
        <w:ind w:firstLine="643"/>
        <w:rPr>
          <w:lang w:val="zh-CN"/>
        </w:rPr>
      </w:pPr>
      <w:r>
        <w:rPr>
          <w:rFonts w:hint="eastAsia"/>
          <w:b/>
          <w:lang w:val="zh-CN"/>
        </w:rPr>
        <w:t>深化户籍制度改革。</w:t>
      </w:r>
      <w:r>
        <w:rPr>
          <w:rFonts w:hint="eastAsia" w:ascii="仿宋_GB2312" w:hAnsi="仿宋_GB2312" w:cs="仿宋_GB2312"/>
        </w:rPr>
        <w:t>全面放开城镇落户限制</w:t>
      </w:r>
      <w:r>
        <w:rPr>
          <w:rFonts w:hint="eastAsia"/>
          <w:lang w:val="zh-CN"/>
        </w:rPr>
        <w:t>，</w:t>
      </w:r>
      <w:r>
        <w:rPr>
          <w:rFonts w:hint="eastAsia" w:ascii="仿宋_GB2312" w:hAnsi="仿宋_GB2312" w:cs="仿宋_GB2312"/>
        </w:rPr>
        <w:t>凡在城镇有合法稳定住所（含租赁）的人员，本人及其共同居住生活的配偶、未成年子女、父母等，可以在当地申请登记落户，</w:t>
      </w:r>
      <w:r>
        <w:rPr>
          <w:rFonts w:hint="eastAsia"/>
          <w:lang w:val="zh-CN"/>
        </w:rPr>
        <w:t>确保外来常住人口落户标准一视同仁。探索实行户籍准入年限同城化累计互认和户口通迁制度，鼓励符合条件的返乡就业创业人员在原籍地或就业、创业地落户，有序引导本地乡村居民就地就近进城落户，增强农业转移人口在城市落户意愿，推动流动人口市民化取得新进展。</w:t>
      </w:r>
    </w:p>
    <w:p>
      <w:pPr>
        <w:ind w:firstLine="643"/>
        <w:rPr>
          <w:lang w:val="zh-CN"/>
        </w:rPr>
      </w:pPr>
      <w:r>
        <w:rPr>
          <w:rFonts w:hint="eastAsia"/>
          <w:b/>
          <w:bCs/>
          <w:lang w:val="zh-CN"/>
        </w:rPr>
        <w:t>全面落实居住证管理服务制度。</w:t>
      </w:r>
      <w:r>
        <w:rPr>
          <w:rFonts w:hint="eastAsia"/>
          <w:lang w:val="zh-CN"/>
        </w:rPr>
        <w:t>推动居住证制度扩面提质，加强城市居住登记和居住证发放管理，提高居住证申领、签注便利度，加强与深圳都市圈内部居住证互认。积极探索打通各类涉及身份信息的政府数据系统，加快推进电子居住证，简化市域内居住证转换办理手续。提高居住证含金量，健全以居住证为载体的城镇基本公共服务提供机制，扩大居住证附加的城镇义务教育、住房保障等服务范围并提高服务标准，逐步实现居住证持有者、城中（郊）村居民在公共服务上与本地城镇居民同等待遇。探索建立居住证与身份证功能衔接并轨，逐步实现身份证承载居住证功能。</w:t>
      </w:r>
    </w:p>
    <w:p>
      <w:pPr>
        <w:ind w:firstLine="643"/>
        <w:rPr>
          <w:lang w:val="zh-CN"/>
        </w:rPr>
      </w:pPr>
      <w:r>
        <w:rPr>
          <w:rFonts w:hint="eastAsia"/>
          <w:b/>
          <w:bCs/>
          <w:lang w:val="zh-CN"/>
        </w:rPr>
        <w:t>探索建立新型人口管理制度。</w:t>
      </w:r>
      <w:r>
        <w:rPr>
          <w:rFonts w:hint="eastAsia"/>
          <w:lang w:val="zh-CN"/>
        </w:rPr>
        <w:t>建设户籍迁移协同平台，推动户籍管理政务服务“省内通办”“跨省通办”，提高户籍管理信息化水平。试行以经常居住地登记户口制度，建立实有人口信息登记统计制度，完善流动人口动态监测机制，实时掌握流动人口变化情况。在城乡融合发展改革的试点地区，探索建立相对宽松的城乡人口有序流动管理机制。</w:t>
      </w:r>
    </w:p>
    <w:p>
      <w:pPr>
        <w:ind w:firstLine="640"/>
        <w:rPr>
          <w:rFonts w:hint="eastAsia"/>
          <w:lang w:val="zh-CN"/>
        </w:rPr>
      </w:pPr>
    </w:p>
    <w:p>
      <w:pPr>
        <w:pStyle w:val="3"/>
        <w:spacing w:before="217" w:after="217"/>
        <w:rPr>
          <w:lang w:val="zh-CN"/>
        </w:rPr>
      </w:pPr>
      <w:bookmarkStart w:id="15" w:name="_Toc116065986"/>
      <w:r>
        <w:rPr>
          <w:rFonts w:hint="eastAsia"/>
          <w:lang w:val="zh-CN"/>
        </w:rPr>
        <w:t>第二节 推动城镇基本公共服务全面均等覆盖常住人口</w:t>
      </w:r>
      <w:bookmarkEnd w:id="15"/>
    </w:p>
    <w:p>
      <w:pPr>
        <w:ind w:firstLine="640"/>
      </w:pPr>
      <w:r>
        <w:rPr>
          <w:rFonts w:hint="eastAsia"/>
        </w:rPr>
        <w:t>适应人口集聚和流动规律，统筹推进多层次公共服务供给和多元化服务需求满足，以就业创业、子女教育、医疗卫生、社会保险、住房保障为重点，推动公共资源按照常住人口规模配置，实现城镇基本公共服务常住人口全面均等覆盖，增强全体居民的归属感和幸福感。</w:t>
      </w:r>
    </w:p>
    <w:p>
      <w:pPr>
        <w:ind w:firstLine="643"/>
      </w:pPr>
      <w:r>
        <w:rPr>
          <w:rFonts w:hint="eastAsia"/>
          <w:b/>
          <w:bCs/>
        </w:rPr>
        <w:t>多渠道促进就业创业。</w:t>
      </w:r>
      <w:r>
        <w:rPr>
          <w:rFonts w:hint="eastAsia"/>
        </w:rPr>
        <w:t>健全覆盖城乡、服务均等的公共就业创业服务体系，加强基层公共就业创业服务平台建设，推动农业转移人口与城镇户籍劳动者享有公平的就业机会、职业发展机会，保障劳动者同工同酬。加快产业布局调整，强化促消费、扩内需政策扶持，发展商贸、物流、康养、旅游等业态，提升吸纳外来务工人员就业能力。因地制宜发展零工市场或劳务市场，搭建企业用工余缺调剂平台，支持外来务工人员从事直播销售、网约配送等新就业形态增加收入。加强外来务工人员创业服务能力建设，优化创新创业生态，制定返乡人员创业扶持政策，鼓励多样化创业。</w:t>
      </w:r>
    </w:p>
    <w:p>
      <w:pPr>
        <w:ind w:firstLine="643"/>
      </w:pPr>
      <w:r>
        <w:rPr>
          <w:rFonts w:hint="eastAsia"/>
          <w:b/>
          <w:bCs/>
        </w:rPr>
        <w:t>提升随迁子女的教育服务保障水平。</w:t>
      </w:r>
      <w:r>
        <w:rPr>
          <w:rFonts w:hint="eastAsia"/>
        </w:rPr>
        <w:t>强化流入地政府责任,以公办学校为主将随迁子女纳入流入地义务教育保障范围。加大人口流入地区教育资源供给，科学测算学位需求，加快新建、改扩建一批幼儿园和中小学校，增加幼儿园和义务教育学位，确保满足适龄儿童少年入学需求。逐步将外来常住人口随迁子女纳入流入地中等职业教育、普通高中教育、普惠性学前教育保障范围，进一步保障随迁子女在流入地的受教育权利。健全以居住证为主要依据的随迁子女入学政策，完善随迁子女易地升学考试制度，建立以本地学籍、居住年限、连续接受教育年限等为依据的中高考报考制度，全面保障随迁子女享有平等教育权利。</w:t>
      </w:r>
    </w:p>
    <w:p>
      <w:pPr>
        <w:ind w:firstLine="643"/>
      </w:pPr>
      <w:r>
        <w:rPr>
          <w:rFonts w:hint="eastAsia"/>
          <w:b/>
          <w:bCs/>
        </w:rPr>
        <w:t>完善医疗卫生服务和基本医疗保障制度。</w:t>
      </w:r>
      <w:r>
        <w:rPr>
          <w:rFonts w:hint="eastAsia"/>
        </w:rPr>
        <w:t>统筹不同类型、层级的医疗卫生资源的数量和布局，扩大外来常住人口流入地区医疗资源供给，形成与常住人口健康需求相匹配的医疗卫生服务体系。推进城镇基本医疗保险覆盖农业转移人口，保障外来务工人员依法随用人单位参加城镇职工医保并享受相应待遇，参加居民医保的居住证持有人按本地居民同等标准缴费和享受待遇。稳步推进基本医疗保险市级统筹，完善基本医疗保险跨区异地就医医疗费用直接结算制度。</w:t>
      </w:r>
    </w:p>
    <w:p>
      <w:pPr>
        <w:ind w:firstLine="643"/>
      </w:pPr>
      <w:r>
        <w:rPr>
          <w:rFonts w:hint="eastAsia"/>
          <w:b/>
          <w:bCs/>
        </w:rPr>
        <w:t>加快健全覆盖全民的社会保障体系。</w:t>
      </w:r>
      <w:r>
        <w:rPr>
          <w:rFonts w:hint="eastAsia"/>
        </w:rPr>
        <w:t>推进外来常住人口与城镇职工平等参加社会保险并享受相关待遇，逐步推进社会保障一体化。加大基本养老保险参保扩面力度，推进农业转移人口等重点人群纳入基本养老保险体系，确保应参尽参、应保尽保。全面落实基本养老保险关系转移接续政策，推动符合条件的外来常住人口参加当地城乡居民养老保险或城镇职工养老保险，按规定享有养老保险待遇。落实企业职工基本养老保险和工伤保险基金省级统筹政策，推动实现失业保险基金省级统筹和城乡居保基金省级管理。完善以低保制度为核心的社会救助体系，允许符合条件的农业转移人口在居住地申请最低生活保障，推动临时救助制度覆盖所有常住人口。</w:t>
      </w:r>
    </w:p>
    <w:p>
      <w:pPr>
        <w:ind w:firstLine="643"/>
      </w:pPr>
      <w:r>
        <w:rPr>
          <w:rFonts w:hint="eastAsia"/>
          <w:b/>
          <w:bCs/>
        </w:rPr>
        <w:t>加大住房保障力度。</w:t>
      </w:r>
      <w:r>
        <w:rPr>
          <w:rFonts w:hint="eastAsia"/>
        </w:rPr>
        <w:t>进一步扩大公租房、保障性租赁住房、租赁补贴和住房公积金对外来常住人口覆盖范围，完善以廉租房、公租房、经济适用房、限价房、安置房和人才房为主体的多元化常住人口住房保障体系。优化外来常住人口住房保障申请条件和审核流程，将居住年限和社保缴纳年限作为申请保障性住房、住房租赁补贴的主要条件，适时调整住房</w:t>
      </w:r>
      <w:r>
        <w:tab/>
      </w:r>
      <w:r>
        <w:rPr>
          <w:rFonts w:hint="eastAsia"/>
        </w:rPr>
        <w:t>保障申请的条件，确保农业转移人口与本地户籍居民在申请条件和审核流程等方面一视同仁，优先保障举家迁徙外来务工人员的住房需求。扩大对非户籍人口租赁住房的货币化补贴，提高其参缴住房公积金的比例。结合旧城改造、城中村改造和新城新区开发，建设交通便捷、配套完善的公租房、保障性租赁住房。支持有条件的企业改善集体宿舍居住条件，加快建设配置合理的人才公寓，对不能够尽快给以安排住房的高层次人才，按照人才政策及时足量地发放租房补贴，重点解决好新市民、青年人，特别是从事基本公共服务人员等群体的住房困难问题。</w:t>
      </w:r>
    </w:p>
    <w:p>
      <w:pPr>
        <w:pStyle w:val="3"/>
        <w:spacing w:before="217" w:after="217"/>
        <w:rPr>
          <w:lang w:val="zh-CN"/>
        </w:rPr>
      </w:pPr>
      <w:bookmarkStart w:id="16" w:name="_Toc116065987"/>
      <w:r>
        <w:rPr>
          <w:rFonts w:hint="eastAsia"/>
          <w:lang w:val="zh-CN"/>
        </w:rPr>
        <w:t>第三节 提高农业转移人口融入城市能力</w:t>
      </w:r>
      <w:bookmarkEnd w:id="16"/>
    </w:p>
    <w:p>
      <w:pPr>
        <w:ind w:firstLine="640"/>
        <w:rPr>
          <w:b/>
          <w:bCs/>
        </w:rPr>
      </w:pPr>
      <w:r>
        <w:rPr>
          <w:rFonts w:hint="eastAsia"/>
        </w:rPr>
        <w:t>提升农业转移人口技能素质，创造机会均等、权利共享和公平竞争的制度环境，营造开放包容的城市文化氛围，</w:t>
      </w:r>
      <w:r>
        <w:rPr>
          <w:rFonts w:hint="eastAsia"/>
          <w:lang w:val="zh-CN"/>
        </w:rPr>
        <w:t>增强</w:t>
      </w:r>
      <w:r>
        <w:t>农业转移人口的城市归属感</w:t>
      </w:r>
      <w:r>
        <w:rPr>
          <w:rFonts w:hint="eastAsia"/>
        </w:rPr>
        <w:t>和市民身份认同感</w:t>
      </w:r>
      <w:r>
        <w:t>。</w:t>
      </w:r>
    </w:p>
    <w:p>
      <w:pPr>
        <w:ind w:firstLine="643"/>
      </w:pPr>
      <w:r>
        <w:rPr>
          <w:rFonts w:hint="eastAsia"/>
          <w:b/>
          <w:bCs/>
        </w:rPr>
        <w:t>加强劳动技能培训。</w:t>
      </w:r>
      <w:r>
        <w:rPr>
          <w:rFonts w:hint="eastAsia"/>
        </w:rPr>
        <w:t>统筹发挥政府、企业、学校等作用，强化农业转移人口技能培训及职业教育，提高其在城市稳定就业能力。深入实施“粤菜师傅”“广东技工”“南粤家政”三项工程，积极开展定向定岗培训、急需紧缺职业专项培训、职业转换培训和创业培训。统筹各级各类职业技能培训资金，持续开展汕尾市新生代产业工人“圆梦计划”，资助在汕尾务工青年参加“学历+技能”再教育，帮助新生代产业工人进行自我增值。强化企业在外来务工人员岗位技能培训中的主体作用，聚焦用工矛盾突出行业，鼓励大中型企业开展岗前培训、新型学徒制培训和职业技能提升培训。推动职业院校和技工学校强化产教融合、校企合作，整合优化全市职业教育资源，以市场需求为导向，动态调整专业课程设置和教学实践安排，加快培育“教师+技师”等双师型师资队伍，推进公办职业院校混合所有制改革。扩大职业院校面向农业转移人口的招生规模，逐步完善基于技能水平测试等方式的农业转移人口学历教育学分认定机制。</w:t>
      </w:r>
    </w:p>
    <w:p>
      <w:pPr>
        <w:ind w:firstLine="643"/>
      </w:pPr>
      <w:r>
        <w:rPr>
          <w:rFonts w:hint="eastAsia"/>
          <w:b/>
          <w:bCs/>
        </w:rPr>
        <w:t>加强人文关怀。</w:t>
      </w:r>
      <w:r>
        <w:rPr>
          <w:rFonts w:hint="eastAsia"/>
        </w:rPr>
        <w:t>发挥工会、妇联、共青团及志愿者组织等各类社会组织作用，广泛开展关爱“新汕尾人”的宣传教育活动和交流培训活动，帮助外来常住人口及其随迁家属尽快融入城市生活。健全外来务工人员劳动权益保护机制，引导法律援助机构为外来务工人员提供劳动报酬、社保待遇、工伤赔偿等法律援助服务。鼓励用工单位主动关心解决外来务工人员居住生活等方面困难，加强职工之家等职工组织建设，通过实行困难人员就业社保补贴、实施困难临时救助、开展困难结对帮扶、提供文化惠民专项服务等方式，切实保障外来务工人员的基本生活。丰富外来务工人员的业余生活，在外来务工人员集中的开发区和工业园区建设公共文化体育空间，为外来务工人员提供适当的娱乐服务。关心新生代外来务工人员的精神文化需求，探索引进专业社工和社区社会组织提供心理咨询等服务，尝试建立服务外来务工人员的心理疏导专业空间。鼓励用现代企业文化推动外来务工人员向现代产业工人转型，促进外来务工人员与企业共同发展。</w:t>
      </w:r>
    </w:p>
    <w:p>
      <w:pPr>
        <w:ind w:firstLine="643"/>
      </w:pPr>
      <w:r>
        <w:rPr>
          <w:rFonts w:hint="eastAsia"/>
          <w:b/>
          <w:bCs/>
        </w:rPr>
        <w:t>提高社会参与水平。</w:t>
      </w:r>
      <w:r>
        <w:rPr>
          <w:rFonts w:hint="eastAsia"/>
        </w:rPr>
        <w:t>引导外来常住人口加入党团组织、转移党团关系，提高各级党代会代表、人大代表、政协委员中外来务工人员的比例，积极引导外来务工人员参加党组织、工会和社会组织，引导外来常住人口有序参政议政和社会管理。鼓励外来常住人口参与社会治理，依托社区居委会引导外来常住人口加入社区居民代表大会及社区志愿者队伍，积极探索外来常住人口参与规划听证会、公众咨询会、社区评议会、民情恳谈会、网络论坛等多样化的社会治理平台的新机制，引导外来常住人口理性、合法地表达自我诉求，提升外来常住人口对城市居民的身份认同。</w:t>
      </w:r>
    </w:p>
    <w:p>
      <w:pPr>
        <w:pStyle w:val="3"/>
        <w:spacing w:before="217" w:after="217"/>
        <w:rPr>
          <w:lang w:val="zh-CN"/>
        </w:rPr>
      </w:pPr>
      <w:bookmarkStart w:id="17" w:name="_Toc116065988"/>
      <w:r>
        <w:rPr>
          <w:rFonts w:hint="eastAsia"/>
          <w:lang w:val="zh-CN"/>
        </w:rPr>
        <w:t>第四节 深化市民化配套政策</w:t>
      </w:r>
      <w:bookmarkEnd w:id="17"/>
    </w:p>
    <w:p>
      <w:pPr>
        <w:ind w:firstLine="640"/>
        <w:rPr>
          <w:b/>
          <w:bCs/>
        </w:rPr>
      </w:pPr>
      <w:r>
        <w:rPr>
          <w:rFonts w:hint="eastAsia"/>
        </w:rPr>
        <w:t>完善市民化财政资金安排、城镇新增建设用地规模与吸纳落户数量挂钩政策，提高人口流入地政府吸纳外来人口落户积极性。</w:t>
      </w:r>
    </w:p>
    <w:p>
      <w:pPr>
        <w:ind w:firstLine="643"/>
      </w:pPr>
      <w:r>
        <w:rPr>
          <w:rFonts w:hint="eastAsia"/>
          <w:b/>
          <w:bCs/>
        </w:rPr>
        <w:t>落实农业转移人口市民化财政政策。</w:t>
      </w:r>
      <w:r>
        <w:rPr>
          <w:rFonts w:hint="eastAsia"/>
        </w:rPr>
        <w:t>统筹用好财政农业转移人口市民化奖励资金，重点支持吸纳农业转移人口落户多的地区，加快农业转移人口市民化。贯彻落实中央预算内投资和中央财政专项转移支付安排向吸纳农业转移人口落户多的地区倾斜的政策，建立财政建设资金对吸纳落户较多地区的基础设施投资补助机制，重点支持保障性住房建设，以及市政公用设施、公共服务设施、环境基础设施的建设运行维护。建立健全由政府、企业、个人共同参与农业转移人口市民化成本分担机制，推动实现多方参与、成本共担。</w:t>
      </w:r>
    </w:p>
    <w:p>
      <w:pPr>
        <w:ind w:firstLine="643"/>
      </w:pPr>
      <w:r>
        <w:rPr>
          <w:rFonts w:hint="eastAsia"/>
          <w:b/>
          <w:bCs/>
        </w:rPr>
        <w:t>深化“人地挂钩”机制。</w:t>
      </w:r>
      <w:r>
        <w:rPr>
          <w:rFonts w:hint="eastAsia"/>
        </w:rPr>
        <w:t>完善城镇新增建设用地规模与农业转移人口市民化挂钩政策，完善农业转移人口市民化统计口径，建立常住人口常态化统计机制，科学确定城市吸纳农业转移人口规模，依据人口规模合理安排城镇新增建设用地规模。市、县两级国土空间规划的编制和修订，要充分考虑人口规模因素特别是进城落户人口数量，科学测算和合理安排城镇新增建设用地规模。依据国土空间规划和各地区上一年度进城落户人口数量，合理增加外来常住人口配套的城镇住房，教育卫生、公共文化体育等用地供给。统筹考虑人口流入流出地用地需求，开展拆旧复垦指标交易，发挥闲置土地更大效益。</w:t>
      </w:r>
    </w:p>
    <w:p>
      <w:pPr>
        <w:ind w:firstLine="643"/>
      </w:pPr>
      <w:r>
        <w:rPr>
          <w:rFonts w:hint="eastAsia"/>
          <w:b/>
          <w:bCs/>
        </w:rPr>
        <w:t>维护进城落户农民的农村权益。</w:t>
      </w:r>
      <w:r>
        <w:rPr>
          <w:rFonts w:hint="eastAsia"/>
        </w:rPr>
        <w:t>建立进城落户农户的农村土地承包权、宅基地使用权、集体收益分配权维护保障机制和市场化退出机制，积极引导和支持进城落户农民依法自愿有偿转让相关权益，农民自愿退出农村“三权”应依法获得合理补偿，不得以退出上述权益作为农民进城落户的条件，不断健全农户“三权”市场化退出机制和配套政策。</w:t>
      </w:r>
    </w:p>
    <w:p>
      <w:pPr>
        <w:ind w:firstLine="640"/>
      </w:pPr>
    </w:p>
    <w:p>
      <w:pPr>
        <w:pStyle w:val="2"/>
      </w:pPr>
      <w:bookmarkStart w:id="18" w:name="_Toc116065989"/>
      <w:r>
        <w:rPr>
          <w:rFonts w:hint="eastAsia"/>
        </w:rPr>
        <w:t>第四章 优化城镇化发展格局</w:t>
      </w:r>
      <w:bookmarkEnd w:id="18"/>
    </w:p>
    <w:p>
      <w:pPr>
        <w:ind w:firstLine="640"/>
        <w:rPr>
          <w:lang w:val="zh-CN"/>
        </w:rPr>
      </w:pPr>
      <w:r>
        <w:rPr>
          <w:rFonts w:hint="eastAsia"/>
          <w:lang w:val="zh-CN"/>
        </w:rPr>
        <w:t>加快建设东翼沿海经济带东承西接战略支点城市，积极融入全省“一核一带一区”发展格局，主动共建深圳都市圈，优化“井轴融湾、多维开放”的城镇格局，完善多中心、网络化的城镇体系，加快推进中心城区、县城、小城镇协调发展，高水平构建具有汕尾特色的新型城镇化发展新格局。</w:t>
      </w:r>
    </w:p>
    <w:p>
      <w:pPr>
        <w:pStyle w:val="3"/>
        <w:spacing w:before="217" w:after="217"/>
        <w:rPr>
          <w:lang w:val="zh-CN"/>
        </w:rPr>
      </w:pPr>
      <w:bookmarkStart w:id="19" w:name="_Toc116065990"/>
      <w:r>
        <w:rPr>
          <w:rFonts w:hint="eastAsia"/>
          <w:lang w:val="zh-CN"/>
        </w:rPr>
        <w:t>第一节 加快融入区域发展格局</w:t>
      </w:r>
      <w:bookmarkEnd w:id="19"/>
    </w:p>
    <w:p>
      <w:pPr>
        <w:ind w:firstLine="640"/>
        <w:rPr>
          <w:color w:val="auto"/>
          <w:lang w:val="zh-CN"/>
        </w:rPr>
      </w:pPr>
      <w:r>
        <w:rPr>
          <w:rFonts w:hint="eastAsia"/>
          <w:color w:val="auto"/>
          <w:lang w:val="zh-CN"/>
        </w:rPr>
        <w:t>依托沿海经济带战略支点区位优势，加速释放革命老区政策红利效应，抢抓“双区”“两个合作区”和“一核一带一区”发展格局、深圳都市圈规划建设等重大战略机遇，向西深度融入“双区”，向东紧密携手汕潮揭，在东承西接中借梯登高，加快建设沿海经济带靓丽明珠。</w:t>
      </w:r>
    </w:p>
    <w:p>
      <w:pPr>
        <w:ind w:firstLine="643"/>
        <w:rPr>
          <w:bCs/>
          <w:lang w:val="zh-CN"/>
        </w:rPr>
      </w:pPr>
      <w:r>
        <w:rPr>
          <w:rFonts w:hint="eastAsia"/>
          <w:b/>
          <w:bCs/>
          <w:lang w:val="zh-CN"/>
        </w:rPr>
        <w:t>深度融入“双区”。</w:t>
      </w:r>
      <w:r>
        <w:rPr>
          <w:rFonts w:hint="eastAsia"/>
          <w:bCs/>
          <w:lang w:val="zh-CN"/>
        </w:rPr>
        <w:t>深化产业协同共兴，统筹“汕尾所能”“汕尾所优”对接“湾区所向”“湾区所需”，大力推动深圳、广州等大湾区核心城市的高端产业、高成长性企业在汕尾布局，延伸电子信息、高端装备、电力能源、新能源汽车、海洋生物等产业链，努力打造“双区”产业转移承接地、产业链延伸区、产业集群配套基地。推动基础设施互通互联，加快推进广汕高铁、深汕西高速改扩建工程建设，争取深汕高铁延伸至海丰、陆河，积极推动深汕第二高速延伸至汕尾市区段通道研究，促进深汕城际铁路通勤化，强化汕尾港与粤港澳大湾区核心港口圈联动发展，增强大湾区对汕尾的辐射力度，加快形成与大湾区核心城市“半小时、一小时”交通圈。畅通资源开放共享，加强与深圳、广州等大湾区核心城市在创新资源、金融资源、公共服务资源、人力资源等方面的合作共享，争取推动“两个合作区”现有成熟政策措施在汕尾复制推广，推动“双区”的国家实验室、广东省实验室等科研机构在汕尾建设分支机构或分中心，加快建设汕尾“创新岛”（深圳）等创新飞地。</w:t>
      </w:r>
    </w:p>
    <w:p>
      <w:pPr>
        <w:ind w:firstLine="643"/>
        <w:rPr>
          <w:bCs/>
        </w:rPr>
      </w:pPr>
      <w:r>
        <w:rPr>
          <w:rFonts w:hint="eastAsia"/>
          <w:b/>
          <w:bCs/>
        </w:rPr>
        <w:t>紧密携手汕潮揭。</w:t>
      </w:r>
      <w:r>
        <w:rPr>
          <w:rFonts w:hint="eastAsia"/>
          <w:bCs/>
        </w:rPr>
        <w:t>做好产业协同合作，提高与汕潮揭都市圈三个城市的同城化发展水平，积极参与海峡西岸城市群发展建设，依托沿海经济带强化与汕头高新区电子信息产业的对接合作，协同揭阳大南海石化工业区和揭阳港，拓展大南海石化工业园（汕尾基地），承接化学与精细化工广东省实验室科技成果转化，共同打造潮汕平台大石化工业板块。加强交通设施互联互通，大力推进汕汕高铁、揭普惠高速南延线建设，谋划陆丰港区湖东作业区疏港铁路，加快建设陆丰甲东和湖东深水港，推动口岸扩大开放，加速融入汕潮揭“一小时经济圈”。共同推进生态环境保护，协同维育莲花山区域生态屏障，促进榕江上游流域协同治理。推动文旅交流互动，以汕潮揭为纽带，强化与海峡西岸城市群的联系，共同打造“汕尾-汕潮揭-厦漳泉”精品旅游路线，不断提高汕尾滨海旅游知名度。</w:t>
      </w:r>
    </w:p>
    <w:p>
      <w:pPr>
        <w:pStyle w:val="3"/>
        <w:spacing w:before="217" w:after="217"/>
      </w:pPr>
      <w:bookmarkStart w:id="20" w:name="_Toc116065991"/>
      <w:r>
        <w:rPr>
          <w:rFonts w:hint="eastAsia"/>
          <w:lang w:val="zh-CN"/>
        </w:rPr>
        <w:t>第二</w:t>
      </w:r>
      <w:r>
        <w:rPr>
          <w:rFonts w:hint="eastAsia"/>
        </w:rPr>
        <w:t>节 引导城镇体系优化布局</w:t>
      </w:r>
      <w:bookmarkEnd w:id="20"/>
    </w:p>
    <w:p>
      <w:pPr>
        <w:ind w:firstLine="640"/>
      </w:pPr>
      <w:r>
        <w:rPr>
          <w:rFonts w:hint="eastAsia"/>
        </w:rPr>
        <w:t>进一步优化市域城镇体系等级结构、合理引导城镇人口规模，完善“多中心、网格化”的城镇体系，推动新型城镇化高质量发展。</w:t>
      </w:r>
    </w:p>
    <w:p>
      <w:pPr>
        <w:ind w:firstLine="643"/>
      </w:pPr>
      <w:r>
        <w:rPr>
          <w:rFonts w:hint="eastAsia"/>
          <w:b/>
          <w:bCs/>
        </w:rPr>
        <w:t>优化市域城镇等级结构。</w:t>
      </w:r>
      <w:r>
        <w:rPr>
          <w:rFonts w:hint="eastAsia"/>
        </w:rPr>
        <w:t>顺应人口向中心城区、县城集中的趋势，引导人口有序增长和合理布局，提升中心城区和其他战略节点城镇规模能级，构建“主城-副中心-外围城区-I级重点镇-II级重点镇-一般镇”的等级结构。推动人流、物流、资金流、信息流等要素资源加快向汕尾中心城区集聚，逐步扩大中心城区范围，提升中心城区的首位度和区域辐射能力。结合城镇化的发展趋势和县域经济发展需要，在原有中心镇的发展基础上，将有限的县域资源集聚到重点镇上，将其打造成为县域经济和公共服务的副中心，在带动周边镇和乡村振兴发展中发挥积极作用。</w:t>
      </w:r>
      <w:r>
        <w:tab/>
      </w:r>
    </w:p>
    <w:p>
      <w:pPr>
        <w:pStyle w:val="53"/>
        <w:rPr>
          <w:b w:val="0"/>
          <w:bCs w:val="0"/>
        </w:rPr>
      </w:pPr>
      <w:r>
        <w:rPr>
          <w:rFonts w:hint="eastAsia"/>
        </w:rPr>
        <w:t>合理引导城镇人口规模。</w:t>
      </w:r>
      <w:r>
        <w:rPr>
          <w:rFonts w:hint="eastAsia"/>
          <w:b w:val="0"/>
        </w:rPr>
        <w:t>推动外来人口、农村人口向中心城区集聚，增强中心城区综合实力和向外辐射带动能力，建成近百万人口的中等城市。各县（市）引导城区周边农村人口向城区集聚，做大城区规模，同时引导外围农村人口向临近镇区、中心村集聚，一般村人口适度减量。按照承载人口规模分为5</w:t>
      </w:r>
      <w:r>
        <w:rPr>
          <w:b w:val="0"/>
        </w:rPr>
        <w:t>0</w:t>
      </w:r>
      <w:r>
        <w:rPr>
          <w:rFonts w:hint="eastAsia"/>
          <w:b w:val="0"/>
        </w:rPr>
        <w:t>-</w:t>
      </w:r>
      <w:r>
        <w:rPr>
          <w:b w:val="0"/>
        </w:rPr>
        <w:t>100</w:t>
      </w:r>
      <w:r>
        <w:rPr>
          <w:rFonts w:hint="eastAsia"/>
          <w:b w:val="0"/>
        </w:rPr>
        <w:t>万、2</w:t>
      </w:r>
      <w:r>
        <w:rPr>
          <w:b w:val="0"/>
        </w:rPr>
        <w:t>0</w:t>
      </w:r>
      <w:r>
        <w:rPr>
          <w:rFonts w:hint="eastAsia"/>
          <w:b w:val="0"/>
        </w:rPr>
        <w:t>-</w:t>
      </w:r>
      <w:r>
        <w:rPr>
          <w:b w:val="0"/>
        </w:rPr>
        <w:t>50</w:t>
      </w:r>
      <w:r>
        <w:rPr>
          <w:rFonts w:hint="eastAsia"/>
          <w:b w:val="0"/>
        </w:rPr>
        <w:t>万、1</w:t>
      </w:r>
      <w:r>
        <w:rPr>
          <w:b w:val="0"/>
        </w:rPr>
        <w:t>0</w:t>
      </w:r>
      <w:r>
        <w:rPr>
          <w:rFonts w:hint="eastAsia"/>
          <w:b w:val="0"/>
        </w:rPr>
        <w:t>-</w:t>
      </w:r>
      <w:r>
        <w:rPr>
          <w:b w:val="0"/>
        </w:rPr>
        <w:t>20</w:t>
      </w:r>
      <w:r>
        <w:rPr>
          <w:rFonts w:hint="eastAsia"/>
          <w:b w:val="0"/>
        </w:rPr>
        <w:t>万、5-</w:t>
      </w:r>
      <w:r>
        <w:rPr>
          <w:b w:val="0"/>
        </w:rPr>
        <w:t>10</w:t>
      </w:r>
      <w:r>
        <w:rPr>
          <w:rFonts w:hint="eastAsia"/>
          <w:b w:val="0"/>
        </w:rPr>
        <w:t>万、5万以下5个等级。</w:t>
      </w:r>
      <w:r>
        <w:rPr>
          <w:rFonts w:hint="eastAsia"/>
          <w:b w:val="0"/>
          <w:bCs w:val="0"/>
        </w:rPr>
        <w:t>中心城区规划承载人口8</w:t>
      </w:r>
      <w:r>
        <w:rPr>
          <w:b w:val="0"/>
          <w:bCs w:val="0"/>
        </w:rPr>
        <w:t>0</w:t>
      </w:r>
      <w:r>
        <w:rPr>
          <w:rFonts w:hint="eastAsia"/>
          <w:b w:val="0"/>
          <w:bCs w:val="0"/>
        </w:rPr>
        <w:t>万人左右，其中主城区6</w:t>
      </w:r>
      <w:r>
        <w:rPr>
          <w:b w:val="0"/>
          <w:bCs w:val="0"/>
        </w:rPr>
        <w:t>3</w:t>
      </w:r>
      <w:r>
        <w:rPr>
          <w:rFonts w:hint="eastAsia"/>
          <w:b w:val="0"/>
          <w:bCs w:val="0"/>
        </w:rPr>
        <w:t>万人，红海湾副中心1</w:t>
      </w:r>
      <w:r>
        <w:rPr>
          <w:b w:val="0"/>
          <w:bCs w:val="0"/>
        </w:rPr>
        <w:t>7</w:t>
      </w:r>
      <w:r>
        <w:rPr>
          <w:rFonts w:hint="eastAsia"/>
          <w:b w:val="0"/>
          <w:bCs w:val="0"/>
        </w:rPr>
        <w:t>万人。陆丰市区、海丰县城区、陆河县城区规划承载人口分别为50万人、45万人和20万人。I级重点镇10-20万人左右。II级重点镇5-10万人左右。一般镇规划人口控制在5万以下。</w:t>
      </w:r>
    </w:p>
    <w:p>
      <w:pPr>
        <w:pStyle w:val="65"/>
        <w:spacing w:before="217"/>
      </w:pPr>
      <w:r>
        <w:rPr>
          <w:rFonts w:hint="eastAsia"/>
        </w:rPr>
        <w:t>表4</w:t>
      </w:r>
      <w:r>
        <w:t xml:space="preserve">-1 </w:t>
      </w:r>
      <w:r>
        <w:rPr>
          <w:rFonts w:hint="eastAsia"/>
        </w:rPr>
        <w:t>市域城镇规模结构一览表</w:t>
      </w:r>
    </w:p>
    <w:tbl>
      <w:tblPr>
        <w:tblStyle w:val="25"/>
        <w:tblW w:w="8844" w:type="dxa"/>
        <w:tblInd w:w="-5" w:type="dxa"/>
        <w:tblLayout w:type="fixed"/>
        <w:tblCellMar>
          <w:top w:w="0" w:type="dxa"/>
          <w:left w:w="0" w:type="dxa"/>
          <w:bottom w:w="0" w:type="dxa"/>
          <w:right w:w="0" w:type="dxa"/>
        </w:tblCellMar>
      </w:tblPr>
      <w:tblGrid>
        <w:gridCol w:w="1418"/>
        <w:gridCol w:w="4819"/>
        <w:gridCol w:w="1843"/>
        <w:gridCol w:w="764"/>
      </w:tblGrid>
      <w:tr>
        <w:tblPrEx>
          <w:tblCellMar>
            <w:top w:w="0" w:type="dxa"/>
            <w:left w:w="0" w:type="dxa"/>
            <w:bottom w:w="0" w:type="dxa"/>
            <w:right w:w="0" w:type="dxa"/>
          </w:tblCellMar>
        </w:tblPrEx>
        <w:trPr>
          <w:trHeight w:val="421" w:hRule="atLeast"/>
          <w:tblHeader/>
        </w:trPr>
        <w:tc>
          <w:tcPr>
            <w:tcW w:w="1418"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b/>
                <w:color w:val="auto"/>
              </w:rPr>
            </w:pPr>
            <w:r>
              <w:rPr>
                <w:rFonts w:hint="eastAsia"/>
                <w:b/>
                <w:lang w:val="zh-CN"/>
              </w:rPr>
              <w:t>城镇等级</w:t>
            </w:r>
          </w:p>
        </w:tc>
        <w:tc>
          <w:tcPr>
            <w:tcW w:w="4819"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b/>
                <w:color w:val="auto"/>
              </w:rPr>
            </w:pPr>
            <w:r>
              <w:rPr>
                <w:rFonts w:hint="eastAsia"/>
                <w:b/>
                <w:lang w:val="zh-CN"/>
              </w:rPr>
              <w:t>名称</w:t>
            </w:r>
          </w:p>
        </w:tc>
        <w:tc>
          <w:tcPr>
            <w:tcW w:w="1843"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b/>
                <w:color w:val="auto"/>
              </w:rPr>
            </w:pPr>
            <w:r>
              <w:rPr>
                <w:rFonts w:hint="eastAsia"/>
                <w:b/>
                <w:lang w:val="zh-CN"/>
              </w:rPr>
              <w:t>规模等级（万人</w:t>
            </w:r>
            <w:r>
              <w:rPr>
                <w:rFonts w:hint="eastAsia"/>
                <w:b/>
                <w:lang w:eastAsia="en-US"/>
              </w:rPr>
              <w:t>）</w:t>
            </w:r>
          </w:p>
        </w:tc>
        <w:tc>
          <w:tcPr>
            <w:tcW w:w="764" w:type="dxa"/>
            <w:tcBorders>
              <w:top w:val="single" w:color="auto" w:sz="4" w:space="0"/>
              <w:left w:val="single" w:color="auto" w:sz="4" w:space="0"/>
              <w:bottom w:val="nil"/>
              <w:right w:val="single" w:color="auto" w:sz="4" w:space="0"/>
            </w:tcBorders>
            <w:shd w:val="clear" w:color="auto" w:fill="FFFFFF"/>
            <w:vAlign w:val="center"/>
          </w:tcPr>
          <w:p>
            <w:pPr>
              <w:pStyle w:val="62"/>
              <w:rPr>
                <w:rFonts w:eastAsia="Times New Roman" w:cs="Courier New"/>
                <w:b/>
                <w:color w:val="auto"/>
              </w:rPr>
            </w:pPr>
            <w:r>
              <w:rPr>
                <w:rFonts w:hint="eastAsia"/>
                <w:b/>
                <w:lang w:val="zh-CN"/>
              </w:rPr>
              <w:t>数量</w:t>
            </w:r>
          </w:p>
        </w:tc>
      </w:tr>
      <w:tr>
        <w:tblPrEx>
          <w:tblCellMar>
            <w:top w:w="0" w:type="dxa"/>
            <w:left w:w="0" w:type="dxa"/>
            <w:bottom w:w="0" w:type="dxa"/>
            <w:right w:w="0" w:type="dxa"/>
          </w:tblCellMar>
        </w:tblPrEx>
        <w:trPr>
          <w:trHeight w:val="514" w:hRule="atLeast"/>
        </w:trPr>
        <w:tc>
          <w:tcPr>
            <w:tcW w:w="1418"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color w:val="auto"/>
              </w:rPr>
            </w:pPr>
            <w:r>
              <w:rPr>
                <w:rFonts w:hint="eastAsia"/>
                <w:lang w:val="zh-CN"/>
              </w:rPr>
              <w:t>主城区</w:t>
            </w:r>
          </w:p>
        </w:tc>
        <w:tc>
          <w:tcPr>
            <w:tcW w:w="4819" w:type="dxa"/>
            <w:tcBorders>
              <w:top w:val="single" w:color="auto" w:sz="4" w:space="0"/>
              <w:left w:val="single" w:color="auto" w:sz="4" w:space="0"/>
              <w:bottom w:val="nil"/>
              <w:right w:val="nil"/>
            </w:tcBorders>
            <w:shd w:val="clear" w:color="auto" w:fill="FFFFFF"/>
            <w:vAlign w:val="center"/>
          </w:tcPr>
          <w:p>
            <w:pPr>
              <w:pStyle w:val="62"/>
              <w:jc w:val="both"/>
              <w:rPr>
                <w:rFonts w:eastAsia="Times New Roman" w:cs="Courier New"/>
                <w:color w:val="auto"/>
              </w:rPr>
            </w:pPr>
            <w:r>
              <w:rPr>
                <w:rFonts w:hint="eastAsia"/>
                <w:lang w:val="zh-CN"/>
              </w:rPr>
              <w:t>汕尾市主城区（含中心城区香洲、凤山、新港</w:t>
            </w:r>
            <w:r>
              <w:rPr>
                <w:rFonts w:hint="eastAsia" w:eastAsia="宋体" w:cs="宋体"/>
                <w:lang w:val="zh-CN"/>
              </w:rPr>
              <w:t>、</w:t>
            </w:r>
            <w:r>
              <w:rPr>
                <w:rFonts w:hint="eastAsia"/>
                <w:lang w:val="zh-CN"/>
              </w:rPr>
              <w:t>东涌、红草、马宫、捷胜</w:t>
            </w:r>
            <w:r>
              <w:rPr>
                <w:rFonts w:eastAsia="Times New Roman" w:cs="Courier New"/>
                <w:lang w:val="zh-CN"/>
              </w:rPr>
              <w:t>7</w:t>
            </w:r>
            <w:r>
              <w:rPr>
                <w:rFonts w:hint="eastAsia"/>
                <w:lang w:val="zh-CN"/>
              </w:rPr>
              <w:t>个乡镇街道）</w:t>
            </w:r>
          </w:p>
        </w:tc>
        <w:tc>
          <w:tcPr>
            <w:tcW w:w="1843"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color w:val="auto"/>
              </w:rPr>
            </w:pPr>
            <w:r>
              <w:rPr>
                <w:rFonts w:eastAsia="Times New Roman" w:cs="Courier New"/>
                <w:lang w:val="zh-CN"/>
              </w:rPr>
              <w:t>70</w:t>
            </w:r>
          </w:p>
        </w:tc>
        <w:tc>
          <w:tcPr>
            <w:tcW w:w="764" w:type="dxa"/>
            <w:tcBorders>
              <w:top w:val="single" w:color="auto" w:sz="4" w:space="0"/>
              <w:left w:val="single" w:color="auto" w:sz="4" w:space="0"/>
              <w:bottom w:val="nil"/>
              <w:right w:val="single" w:color="auto" w:sz="4" w:space="0"/>
            </w:tcBorders>
            <w:shd w:val="clear" w:color="auto" w:fill="FFFFFF"/>
            <w:vAlign w:val="center"/>
          </w:tcPr>
          <w:p>
            <w:pPr>
              <w:pStyle w:val="62"/>
              <w:rPr>
                <w:rFonts w:eastAsia="Times New Roman" w:cs="Courier New"/>
                <w:color w:val="auto"/>
              </w:rPr>
            </w:pPr>
            <w:r>
              <w:rPr>
                <w:rFonts w:eastAsia="Times New Roman" w:cs="Courier New"/>
                <w:lang w:val="zh-CN"/>
              </w:rPr>
              <w:t>1</w:t>
            </w:r>
          </w:p>
        </w:tc>
      </w:tr>
      <w:tr>
        <w:tblPrEx>
          <w:tblCellMar>
            <w:top w:w="0" w:type="dxa"/>
            <w:left w:w="0" w:type="dxa"/>
            <w:bottom w:w="0" w:type="dxa"/>
            <w:right w:w="0" w:type="dxa"/>
          </w:tblCellMar>
        </w:tblPrEx>
        <w:trPr>
          <w:trHeight w:val="467" w:hRule="atLeast"/>
        </w:trPr>
        <w:tc>
          <w:tcPr>
            <w:tcW w:w="1418"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color w:val="auto"/>
              </w:rPr>
            </w:pPr>
            <w:r>
              <w:rPr>
                <w:rFonts w:hint="eastAsia"/>
                <w:lang w:val="zh-CN"/>
              </w:rPr>
              <w:t>副中心</w:t>
            </w:r>
          </w:p>
        </w:tc>
        <w:tc>
          <w:tcPr>
            <w:tcW w:w="4819" w:type="dxa"/>
            <w:tcBorders>
              <w:top w:val="single" w:color="auto" w:sz="4" w:space="0"/>
              <w:left w:val="single" w:color="auto" w:sz="4" w:space="0"/>
              <w:bottom w:val="nil"/>
              <w:right w:val="nil"/>
            </w:tcBorders>
            <w:shd w:val="clear" w:color="auto" w:fill="FFFFFF"/>
            <w:vAlign w:val="center"/>
          </w:tcPr>
          <w:p>
            <w:pPr>
              <w:pStyle w:val="62"/>
              <w:jc w:val="both"/>
              <w:rPr>
                <w:rFonts w:eastAsia="Times New Roman" w:cs="Courier New"/>
                <w:color w:val="auto"/>
              </w:rPr>
            </w:pPr>
            <w:r>
              <w:rPr>
                <w:rFonts w:hint="eastAsia"/>
                <w:lang w:val="zh-CN"/>
              </w:rPr>
              <w:t>红海湾经济技术开发区</w:t>
            </w:r>
            <w:r>
              <w:rPr>
                <w:rFonts w:hint="eastAsia"/>
              </w:rPr>
              <w:t>（</w:t>
            </w:r>
            <w:r>
              <w:rPr>
                <w:rFonts w:hint="eastAsia"/>
                <w:lang w:val="zh-CN"/>
              </w:rPr>
              <w:t>含田</w:t>
            </w:r>
            <w:r>
              <w:rPr>
                <w:rFonts w:hint="eastAsia" w:eastAsia="微软雅黑" w:cs="微软雅黑"/>
                <w:lang w:val="zh-CN"/>
              </w:rPr>
              <w:t>墘</w:t>
            </w:r>
            <w:r>
              <w:rPr>
                <w:rFonts w:hint="eastAsia" w:eastAsia="宋体" w:cs="宋体"/>
                <w:lang w:val="zh-CN"/>
              </w:rPr>
              <w:t>、</w:t>
            </w:r>
            <w:r>
              <w:rPr>
                <w:rFonts w:hint="eastAsia"/>
                <w:lang w:val="zh-CN"/>
              </w:rPr>
              <w:t>东洲</w:t>
            </w:r>
            <w:r>
              <w:rPr>
                <w:rFonts w:hint="eastAsia" w:eastAsia="宋体" w:cs="宋体"/>
                <w:lang w:val="zh-CN"/>
              </w:rPr>
              <w:t>、</w:t>
            </w:r>
            <w:r>
              <w:rPr>
                <w:rFonts w:hint="eastAsia"/>
                <w:lang w:val="zh-CN"/>
              </w:rPr>
              <w:t>遮浪</w:t>
            </w:r>
            <w:r>
              <w:rPr>
                <w:rFonts w:eastAsia="Times New Roman" w:cs="Courier New"/>
                <w:lang w:val="zh-CN"/>
              </w:rPr>
              <w:t>3</w:t>
            </w:r>
            <w:r>
              <w:rPr>
                <w:rFonts w:hint="eastAsia"/>
                <w:lang w:val="zh-CN"/>
              </w:rPr>
              <w:t>个街道</w:t>
            </w:r>
            <w:r>
              <w:rPr>
                <w:rFonts w:hint="eastAsia" w:eastAsia="宋体" w:cs="宋体"/>
                <w:lang w:val="zh-CN"/>
              </w:rPr>
              <w:t>）</w:t>
            </w:r>
          </w:p>
        </w:tc>
        <w:tc>
          <w:tcPr>
            <w:tcW w:w="1843"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color w:val="auto"/>
              </w:rPr>
            </w:pPr>
            <w:r>
              <w:rPr>
                <w:rFonts w:eastAsia="Times New Roman" w:cs="Courier New"/>
                <w:lang w:val="zh-CN"/>
              </w:rPr>
              <w:t>10</w:t>
            </w:r>
          </w:p>
        </w:tc>
        <w:tc>
          <w:tcPr>
            <w:tcW w:w="764" w:type="dxa"/>
            <w:tcBorders>
              <w:top w:val="single" w:color="auto" w:sz="4" w:space="0"/>
              <w:left w:val="single" w:color="auto" w:sz="4" w:space="0"/>
              <w:bottom w:val="nil"/>
              <w:right w:val="single" w:color="auto" w:sz="4" w:space="0"/>
            </w:tcBorders>
            <w:shd w:val="clear" w:color="auto" w:fill="FFFFFF"/>
            <w:vAlign w:val="center"/>
          </w:tcPr>
          <w:p>
            <w:pPr>
              <w:pStyle w:val="62"/>
              <w:rPr>
                <w:rFonts w:eastAsia="Times New Roman" w:cs="Courier New"/>
                <w:color w:val="auto"/>
              </w:rPr>
            </w:pPr>
            <w:r>
              <w:rPr>
                <w:rFonts w:eastAsia="Times New Roman" w:cs="Courier New"/>
                <w:lang w:val="zh-CN"/>
              </w:rPr>
              <w:t>1</w:t>
            </w:r>
          </w:p>
        </w:tc>
      </w:tr>
      <w:tr>
        <w:tblPrEx>
          <w:tblCellMar>
            <w:top w:w="0" w:type="dxa"/>
            <w:left w:w="0" w:type="dxa"/>
            <w:bottom w:w="0" w:type="dxa"/>
            <w:right w:w="0" w:type="dxa"/>
          </w:tblCellMar>
        </w:tblPrEx>
        <w:trPr>
          <w:trHeight w:val="845" w:hRule="atLeast"/>
        </w:trPr>
        <w:tc>
          <w:tcPr>
            <w:tcW w:w="1418"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color w:val="auto"/>
              </w:rPr>
            </w:pPr>
            <w:r>
              <w:rPr>
                <w:rFonts w:hint="eastAsia"/>
                <w:lang w:val="zh-CN"/>
              </w:rPr>
              <w:t>外围城区</w:t>
            </w:r>
          </w:p>
        </w:tc>
        <w:tc>
          <w:tcPr>
            <w:tcW w:w="4819" w:type="dxa"/>
            <w:tcBorders>
              <w:top w:val="single" w:color="auto" w:sz="4" w:space="0"/>
              <w:left w:val="single" w:color="auto" w:sz="4" w:space="0"/>
              <w:bottom w:val="nil"/>
              <w:right w:val="nil"/>
            </w:tcBorders>
            <w:shd w:val="clear" w:color="auto" w:fill="FFFFFF"/>
            <w:vAlign w:val="center"/>
          </w:tcPr>
          <w:p>
            <w:pPr>
              <w:pStyle w:val="62"/>
              <w:jc w:val="both"/>
              <w:rPr>
                <w:rFonts w:eastAsia="Times New Roman" w:cs="Courier New"/>
                <w:color w:val="auto"/>
              </w:rPr>
            </w:pPr>
            <w:r>
              <w:rPr>
                <w:rFonts w:hint="eastAsia"/>
                <w:lang w:val="zh-CN"/>
              </w:rPr>
              <w:t>陆丰市城区</w:t>
            </w:r>
            <w:r>
              <w:rPr>
                <w:rFonts w:hint="eastAsia"/>
              </w:rPr>
              <w:t>（</w:t>
            </w:r>
            <w:r>
              <w:rPr>
                <w:rFonts w:hint="eastAsia"/>
                <w:lang w:val="zh-CN"/>
              </w:rPr>
              <w:t>含东海</w:t>
            </w:r>
            <w:r>
              <w:rPr>
                <w:rFonts w:hint="eastAsia" w:ascii="宋体" w:hAnsi="宋体" w:eastAsia="宋体" w:cs="宋体"/>
                <w:lang w:val="zh-CN"/>
              </w:rPr>
              <w:t>、</w:t>
            </w:r>
            <w:r>
              <w:rPr>
                <w:rFonts w:hint="eastAsia"/>
                <w:lang w:val="zh-CN"/>
              </w:rPr>
              <w:t>城东、河西、河东、上英、潭西</w:t>
            </w:r>
            <w:r>
              <w:rPr>
                <w:rFonts w:hint="eastAsia"/>
              </w:rPr>
              <w:t>）</w:t>
            </w:r>
            <w:r>
              <w:rPr>
                <w:rFonts w:hint="eastAsia" w:ascii="宋体" w:hAnsi="宋体" w:eastAsia="宋体" w:cs="宋体"/>
              </w:rPr>
              <w:t>、</w:t>
            </w:r>
            <w:r>
              <w:rPr>
                <w:rFonts w:hint="eastAsia"/>
                <w:lang w:val="zh-CN"/>
              </w:rPr>
              <w:t>海丰县城区</w:t>
            </w:r>
            <w:r>
              <w:rPr>
                <w:rFonts w:hint="eastAsia"/>
              </w:rPr>
              <w:t>（</w:t>
            </w:r>
            <w:r>
              <w:rPr>
                <w:rFonts w:hint="eastAsia"/>
                <w:lang w:val="zh-CN"/>
              </w:rPr>
              <w:t>含海城、附城、城东）、陆河县城区</w:t>
            </w:r>
            <w:r>
              <w:rPr>
                <w:rFonts w:hint="eastAsia"/>
              </w:rPr>
              <w:t>（</w:t>
            </w:r>
            <w:r>
              <w:rPr>
                <w:rFonts w:hint="eastAsia"/>
                <w:lang w:val="zh-CN"/>
              </w:rPr>
              <w:t>含河田）、大南海石化工业园（汕尾基地）</w:t>
            </w:r>
          </w:p>
        </w:tc>
        <w:tc>
          <w:tcPr>
            <w:tcW w:w="1843"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color w:val="auto"/>
              </w:rPr>
            </w:pPr>
            <w:r>
              <w:rPr>
                <w:rFonts w:eastAsia="Times New Roman" w:cs="Courier New"/>
                <w:lang w:eastAsia="en-US"/>
              </w:rPr>
              <w:t>10-50</w:t>
            </w:r>
          </w:p>
        </w:tc>
        <w:tc>
          <w:tcPr>
            <w:tcW w:w="764" w:type="dxa"/>
            <w:tcBorders>
              <w:top w:val="single" w:color="auto" w:sz="4" w:space="0"/>
              <w:left w:val="single" w:color="auto" w:sz="4" w:space="0"/>
              <w:bottom w:val="nil"/>
              <w:right w:val="single" w:color="auto" w:sz="4" w:space="0"/>
            </w:tcBorders>
            <w:shd w:val="clear" w:color="auto" w:fill="FFFFFF"/>
            <w:vAlign w:val="center"/>
          </w:tcPr>
          <w:p>
            <w:pPr>
              <w:pStyle w:val="62"/>
              <w:rPr>
                <w:rFonts w:eastAsia="Times New Roman" w:cs="Courier New"/>
                <w:color w:val="auto"/>
              </w:rPr>
            </w:pPr>
            <w:r>
              <w:rPr>
                <w:rFonts w:eastAsia="Times New Roman" w:cs="Courier New"/>
                <w:lang w:val="zh-CN"/>
              </w:rPr>
              <w:t>4</w:t>
            </w:r>
          </w:p>
        </w:tc>
      </w:tr>
      <w:tr>
        <w:tblPrEx>
          <w:tblCellMar>
            <w:top w:w="0" w:type="dxa"/>
            <w:left w:w="0" w:type="dxa"/>
            <w:bottom w:w="0" w:type="dxa"/>
            <w:right w:w="0" w:type="dxa"/>
          </w:tblCellMar>
        </w:tblPrEx>
        <w:trPr>
          <w:trHeight w:val="405" w:hRule="atLeast"/>
        </w:trPr>
        <w:tc>
          <w:tcPr>
            <w:tcW w:w="1418"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color w:val="auto"/>
              </w:rPr>
            </w:pPr>
            <w:r>
              <w:rPr>
                <w:rFonts w:eastAsiaTheme="minorEastAsia"/>
                <w:lang w:val="zh-CN"/>
              </w:rPr>
              <w:t>Ⅰ</w:t>
            </w:r>
            <w:r>
              <w:rPr>
                <w:rFonts w:hint="eastAsia"/>
                <w:lang w:val="zh-CN"/>
              </w:rPr>
              <w:t>级重点镇</w:t>
            </w:r>
          </w:p>
        </w:tc>
        <w:tc>
          <w:tcPr>
            <w:tcW w:w="4819" w:type="dxa"/>
            <w:tcBorders>
              <w:top w:val="single" w:color="auto" w:sz="4" w:space="0"/>
              <w:left w:val="single" w:color="auto" w:sz="4" w:space="0"/>
              <w:bottom w:val="nil"/>
              <w:right w:val="nil"/>
            </w:tcBorders>
            <w:shd w:val="clear" w:color="auto" w:fill="FFFFFF"/>
            <w:vAlign w:val="center"/>
          </w:tcPr>
          <w:p>
            <w:pPr>
              <w:pStyle w:val="62"/>
              <w:jc w:val="both"/>
              <w:rPr>
                <w:rFonts w:eastAsia="Times New Roman" w:cs="Courier New"/>
                <w:color w:val="auto"/>
              </w:rPr>
            </w:pPr>
            <w:r>
              <w:rPr>
                <w:rFonts w:hint="eastAsia"/>
                <w:lang w:val="zh-CN"/>
              </w:rPr>
              <w:t>梅陇镇，星都经济开发区、大甲子镇</w:t>
            </w:r>
            <w:r>
              <w:rPr>
                <w:rFonts w:hint="eastAsia"/>
              </w:rPr>
              <w:t>（</w:t>
            </w:r>
            <w:r>
              <w:rPr>
                <w:rFonts w:hint="eastAsia"/>
                <w:lang w:val="zh-CN"/>
              </w:rPr>
              <w:t>甲子、甲东</w:t>
            </w:r>
            <w:r>
              <w:rPr>
                <w:rFonts w:hint="eastAsia" w:ascii="宋体" w:hAnsi="宋体" w:eastAsia="宋体" w:cs="宋体"/>
                <w:lang w:val="zh-CN"/>
              </w:rPr>
              <w:t>、</w:t>
            </w:r>
            <w:r>
              <w:rPr>
                <w:rFonts w:hint="eastAsia"/>
                <w:lang w:val="zh-CN"/>
              </w:rPr>
              <w:t>甲西）、碣石镇、南塘镇</w:t>
            </w:r>
          </w:p>
        </w:tc>
        <w:tc>
          <w:tcPr>
            <w:tcW w:w="1843" w:type="dxa"/>
            <w:tcBorders>
              <w:top w:val="single" w:color="auto" w:sz="4" w:space="0"/>
              <w:left w:val="single" w:color="auto" w:sz="4" w:space="0"/>
              <w:bottom w:val="nil"/>
              <w:right w:val="nil"/>
            </w:tcBorders>
            <w:shd w:val="clear" w:color="auto" w:fill="FFFFFF"/>
            <w:vAlign w:val="center"/>
          </w:tcPr>
          <w:p>
            <w:pPr>
              <w:pStyle w:val="62"/>
              <w:rPr>
                <w:rFonts w:eastAsia="Times New Roman" w:cs="Courier New"/>
                <w:color w:val="auto"/>
              </w:rPr>
            </w:pPr>
            <w:r>
              <w:rPr>
                <w:rFonts w:eastAsia="Times New Roman" w:cs="Courier New"/>
                <w:lang w:eastAsia="en-US"/>
              </w:rPr>
              <w:t>10-20</w:t>
            </w:r>
          </w:p>
        </w:tc>
        <w:tc>
          <w:tcPr>
            <w:tcW w:w="764" w:type="dxa"/>
            <w:tcBorders>
              <w:top w:val="single" w:color="auto" w:sz="4" w:space="0"/>
              <w:left w:val="single" w:color="auto" w:sz="4" w:space="0"/>
              <w:bottom w:val="nil"/>
              <w:right w:val="single" w:color="auto" w:sz="4" w:space="0"/>
            </w:tcBorders>
            <w:shd w:val="clear" w:color="auto" w:fill="FFFFFF"/>
            <w:vAlign w:val="center"/>
          </w:tcPr>
          <w:p>
            <w:pPr>
              <w:pStyle w:val="62"/>
              <w:rPr>
                <w:rFonts w:eastAsia="Times New Roman" w:cs="Courier New"/>
                <w:color w:val="auto"/>
              </w:rPr>
            </w:pPr>
            <w:r>
              <w:rPr>
                <w:rFonts w:eastAsia="Times New Roman" w:cs="Courier New"/>
                <w:lang w:val="zh-CN"/>
              </w:rPr>
              <w:t>5</w:t>
            </w:r>
          </w:p>
        </w:tc>
      </w:tr>
      <w:tr>
        <w:tblPrEx>
          <w:tblCellMar>
            <w:top w:w="0" w:type="dxa"/>
            <w:left w:w="0" w:type="dxa"/>
            <w:bottom w:w="0" w:type="dxa"/>
            <w:right w:w="0" w:type="dxa"/>
          </w:tblCellMar>
        </w:tblPrEx>
        <w:trPr>
          <w:trHeight w:val="502" w:hRule="atLeast"/>
        </w:trPr>
        <w:tc>
          <w:tcPr>
            <w:tcW w:w="1418" w:type="dxa"/>
            <w:tcBorders>
              <w:top w:val="single" w:color="auto" w:sz="4" w:space="0"/>
              <w:left w:val="single" w:color="auto" w:sz="4" w:space="0"/>
              <w:bottom w:val="single" w:color="auto" w:sz="4" w:space="0"/>
              <w:right w:val="nil"/>
            </w:tcBorders>
            <w:shd w:val="clear" w:color="auto" w:fill="FFFFFF"/>
            <w:vAlign w:val="center"/>
          </w:tcPr>
          <w:p>
            <w:pPr>
              <w:pStyle w:val="62"/>
              <w:rPr>
                <w:rFonts w:eastAsia="Times New Roman" w:cs="Courier New"/>
                <w:color w:val="auto"/>
              </w:rPr>
            </w:pPr>
            <w:r>
              <w:rPr>
                <w:rFonts w:eastAsiaTheme="minorEastAsia"/>
              </w:rPr>
              <w:t>Ⅱ</w:t>
            </w:r>
            <w:r>
              <w:rPr>
                <w:rFonts w:hint="eastAsia"/>
                <w:lang w:val="zh-CN"/>
              </w:rPr>
              <w:t>级重点镇</w:t>
            </w:r>
          </w:p>
        </w:tc>
        <w:tc>
          <w:tcPr>
            <w:tcW w:w="4819" w:type="dxa"/>
            <w:tcBorders>
              <w:top w:val="single" w:color="auto" w:sz="4" w:space="0"/>
              <w:left w:val="single" w:color="auto" w:sz="4" w:space="0"/>
              <w:bottom w:val="single" w:color="auto" w:sz="4" w:space="0"/>
              <w:right w:val="nil"/>
            </w:tcBorders>
            <w:shd w:val="clear" w:color="auto" w:fill="FFFFFF"/>
            <w:vAlign w:val="center"/>
          </w:tcPr>
          <w:p>
            <w:pPr>
              <w:pStyle w:val="62"/>
              <w:jc w:val="both"/>
              <w:rPr>
                <w:rFonts w:eastAsia="Times New Roman" w:cs="Courier New"/>
                <w:color w:val="auto"/>
              </w:rPr>
            </w:pPr>
            <w:r>
              <w:rPr>
                <w:rFonts w:hint="eastAsia"/>
                <w:lang w:val="zh-CN"/>
              </w:rPr>
              <w:t>公平镇</w:t>
            </w:r>
            <w:r>
              <w:rPr>
                <w:rFonts w:hint="eastAsia" w:ascii="宋体" w:hAnsi="宋体" w:eastAsia="宋体" w:cs="宋体"/>
              </w:rPr>
              <w:t>、</w:t>
            </w:r>
            <w:r>
              <w:rPr>
                <w:rFonts w:hint="eastAsia"/>
                <w:lang w:val="zh-CN"/>
              </w:rPr>
              <w:t>可塘镇、赤坑镇、博美镇、湖东镇、金厢镇、华侨管理区、螺</w:t>
            </w:r>
            <w:r>
              <w:rPr>
                <w:rFonts w:hint="eastAsia" w:eastAsia="微软雅黑" w:cs="微软雅黑"/>
                <w:lang w:val="zh-CN"/>
              </w:rPr>
              <w:t>溪</w:t>
            </w:r>
            <w:r>
              <w:rPr>
                <w:rFonts w:hint="eastAsia" w:cs="仿宋_GB2312"/>
                <w:lang w:val="zh-CN"/>
              </w:rPr>
              <w:t>镇、新田镇</w:t>
            </w:r>
          </w:p>
        </w:tc>
        <w:tc>
          <w:tcPr>
            <w:tcW w:w="1843" w:type="dxa"/>
            <w:tcBorders>
              <w:top w:val="single" w:color="auto" w:sz="4" w:space="0"/>
              <w:left w:val="single" w:color="auto" w:sz="4" w:space="0"/>
              <w:bottom w:val="single" w:color="auto" w:sz="4" w:space="0"/>
              <w:right w:val="nil"/>
            </w:tcBorders>
            <w:shd w:val="clear" w:color="auto" w:fill="FFFFFF"/>
            <w:vAlign w:val="center"/>
          </w:tcPr>
          <w:p>
            <w:pPr>
              <w:pStyle w:val="62"/>
              <w:rPr>
                <w:rFonts w:eastAsia="Times New Roman" w:cs="Courier New"/>
                <w:color w:val="auto"/>
              </w:rPr>
            </w:pPr>
            <w:r>
              <w:rPr>
                <w:rFonts w:eastAsia="Times New Roman" w:cs="Courier New"/>
                <w:lang w:eastAsia="en-US"/>
              </w:rPr>
              <w:t>5-10</w:t>
            </w:r>
          </w:p>
        </w:tc>
        <w:tc>
          <w:tcPr>
            <w:tcW w:w="7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2"/>
              <w:rPr>
                <w:rFonts w:eastAsia="Times New Roman" w:cs="Courier New"/>
                <w:color w:val="auto"/>
              </w:rPr>
            </w:pPr>
            <w:r>
              <w:rPr>
                <w:rFonts w:eastAsia="Times New Roman" w:cs="Courier New"/>
                <w:lang w:val="zh-CN"/>
              </w:rPr>
              <w:t>9</w:t>
            </w:r>
          </w:p>
        </w:tc>
      </w:tr>
      <w:tr>
        <w:tblPrEx>
          <w:tblCellMar>
            <w:top w:w="0" w:type="dxa"/>
            <w:left w:w="0" w:type="dxa"/>
            <w:bottom w:w="0" w:type="dxa"/>
            <w:right w:w="0" w:type="dxa"/>
          </w:tblCellMar>
        </w:tblPrEx>
        <w:trPr>
          <w:trHeight w:val="502" w:hRule="atLeast"/>
        </w:trPr>
        <w:tc>
          <w:tcPr>
            <w:tcW w:w="1418" w:type="dxa"/>
            <w:tcBorders>
              <w:top w:val="single" w:color="auto" w:sz="4" w:space="0"/>
              <w:left w:val="single" w:color="auto" w:sz="4" w:space="0"/>
              <w:bottom w:val="single" w:color="auto" w:sz="4" w:space="0"/>
              <w:right w:val="nil"/>
            </w:tcBorders>
            <w:shd w:val="clear" w:color="auto" w:fill="FFFFFF"/>
            <w:vAlign w:val="center"/>
          </w:tcPr>
          <w:p>
            <w:pPr>
              <w:pStyle w:val="62"/>
              <w:rPr>
                <w:rFonts w:eastAsiaTheme="minorEastAsia"/>
              </w:rPr>
            </w:pPr>
            <w:r>
              <w:rPr>
                <w:rFonts w:hint="eastAsia"/>
                <w:lang w:val="zh-CN"/>
              </w:rPr>
              <w:t>—般镇</w:t>
            </w:r>
          </w:p>
        </w:tc>
        <w:tc>
          <w:tcPr>
            <w:tcW w:w="4819" w:type="dxa"/>
            <w:tcBorders>
              <w:top w:val="single" w:color="auto" w:sz="4" w:space="0"/>
              <w:left w:val="single" w:color="auto" w:sz="4" w:space="0"/>
              <w:bottom w:val="single" w:color="auto" w:sz="4" w:space="0"/>
              <w:right w:val="nil"/>
            </w:tcBorders>
            <w:shd w:val="clear" w:color="auto" w:fill="FFFFFF"/>
            <w:vAlign w:val="center"/>
          </w:tcPr>
          <w:p>
            <w:pPr>
              <w:pStyle w:val="62"/>
              <w:jc w:val="both"/>
              <w:rPr>
                <w:lang w:val="zh-CN"/>
              </w:rPr>
            </w:pPr>
            <w:r>
              <w:rPr>
                <w:rFonts w:hint="eastAsia"/>
                <w:lang w:val="zh-CN"/>
              </w:rPr>
              <w:t>陶河镇、大湖镇、黄羌镇、联安镇、平东镇、大安镇、西南镇、桥冲镇、内湖镇、八万镇、陂洋镇、水唇镇、东坑镇、南万镇、上护镇、河口镇</w:t>
            </w:r>
            <w:r>
              <w:rPr>
                <w:rFonts w:hint="eastAsia"/>
                <w:lang w:val="zh-CN"/>
              </w:rPr>
              <w:tab/>
            </w:r>
          </w:p>
        </w:tc>
        <w:tc>
          <w:tcPr>
            <w:tcW w:w="1843" w:type="dxa"/>
            <w:tcBorders>
              <w:top w:val="single" w:color="auto" w:sz="4" w:space="0"/>
              <w:left w:val="single" w:color="auto" w:sz="4" w:space="0"/>
              <w:bottom w:val="single" w:color="auto" w:sz="4" w:space="0"/>
              <w:right w:val="nil"/>
            </w:tcBorders>
            <w:shd w:val="clear" w:color="auto" w:fill="FFFFFF"/>
            <w:vAlign w:val="center"/>
          </w:tcPr>
          <w:p>
            <w:pPr>
              <w:pStyle w:val="62"/>
              <w:rPr>
                <w:rFonts w:eastAsia="Times New Roman" w:cs="Courier New"/>
              </w:rPr>
            </w:pPr>
            <w:r>
              <w:rPr>
                <w:rFonts w:hint="eastAsia"/>
                <w:lang w:val="zh-CN"/>
              </w:rPr>
              <w:t>5万以下</w:t>
            </w:r>
          </w:p>
        </w:tc>
        <w:tc>
          <w:tcPr>
            <w:tcW w:w="7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2"/>
              <w:rPr>
                <w:rFonts w:eastAsia="Times New Roman" w:cs="Courier New"/>
                <w:lang w:val="zh-CN"/>
              </w:rPr>
            </w:pPr>
            <w:r>
              <w:rPr>
                <w:rFonts w:hint="eastAsia"/>
                <w:lang w:val="zh-CN"/>
              </w:rPr>
              <w:t>16</w:t>
            </w:r>
          </w:p>
        </w:tc>
      </w:tr>
    </w:tbl>
    <w:p>
      <w:pPr>
        <w:ind w:firstLine="640"/>
      </w:pPr>
    </w:p>
    <w:p>
      <w:pPr>
        <w:pStyle w:val="3"/>
        <w:spacing w:before="217" w:after="217"/>
      </w:pPr>
      <w:bookmarkStart w:id="21" w:name="_Toc116065992"/>
      <w:r>
        <w:rPr>
          <w:rFonts w:hint="eastAsia"/>
        </w:rPr>
        <w:t>第三节 推进中心城区高质量发展</w:t>
      </w:r>
      <w:bookmarkEnd w:id="21"/>
    </w:p>
    <w:p>
      <w:pPr>
        <w:ind w:firstLine="640"/>
      </w:pPr>
      <w:r>
        <w:rPr>
          <w:rFonts w:hint="eastAsia"/>
        </w:rPr>
        <w:t>加强中心城区建设，提升中心城区综合服务能级，强化中心城区集聚高端要素、引领创新驱动、参与区域竞争的核心引领作用，增强中心城区对周边地区的辐射带动能力。</w:t>
      </w:r>
    </w:p>
    <w:p>
      <w:pPr>
        <w:ind w:firstLine="643"/>
        <w:rPr>
          <w:bCs/>
        </w:rPr>
      </w:pPr>
      <w:r>
        <w:rPr>
          <w:rFonts w:hint="eastAsia"/>
          <w:b/>
          <w:bCs/>
        </w:rPr>
        <w:t>加快推动中心城区提质增效。</w:t>
      </w:r>
      <w:r>
        <w:rPr>
          <w:rFonts w:hint="eastAsia"/>
          <w:bCs/>
        </w:rPr>
        <w:t>按照“东拓、西延、北扩、中优”的发展策略，逐步拉开城市框架，构建中心城区发展的大山海格局。推动中心城区向东拓展，将红海湾经济开发区打造为除海丰、陆丰、陆河城区外的第四个副中心，推动红海湾经济开发区与城区一体化发展，重点发展临港产业、文旅康养和综合服务等功能。推动中心城区向西延伸，将马宫打造为南粤滨海的现代渔业之都、滨海旅游地标和对接深汕合作区的海洋科技门户，重点发展现代渔港、文旅生活、高教科研、滨海旅游等功能。推动中心城区向北扩展，将红草高新区建设为汕尾高质量发展的增长极、开放发展的示范区和创新发展的大平台，重点发展电子信息、生物医药、机械装备、新能源、新材料等高新技术产业。推动中心城区向中优化，以新中轴线建设和环品清湖综合整治开发为抓手，打造城市公共服务中心和中央商务区，布局金融商贸、总部经济等业态，通过挖掘旧城历史文化培育以创新创意、文化旅游为代表的新型产业空间。</w:t>
      </w:r>
    </w:p>
    <w:p>
      <w:pPr>
        <w:ind w:firstLine="643"/>
        <w:rPr>
          <w:bCs/>
        </w:rPr>
      </w:pPr>
      <w:r>
        <w:rPr>
          <w:rFonts w:hint="eastAsia"/>
          <w:b/>
          <w:bCs/>
        </w:rPr>
        <w:t>优化提升中心城区服务能级。</w:t>
      </w:r>
      <w:r>
        <w:rPr>
          <w:rFonts w:hint="eastAsia"/>
          <w:bCs/>
        </w:rPr>
        <w:t>坚持新发展理念，优化中心城区总体功能布局，统筹新城建设和旧城改造，提升中心城区首位度和辐射力。通过有机更新提升旧城功能，以城镇老旧小区改造和城中村改造为重点，加快推</w:t>
      </w:r>
      <w:r>
        <w:rPr>
          <w:rFonts w:hint="eastAsia"/>
          <w:bCs/>
          <w:color w:val="auto"/>
        </w:rPr>
        <w:t>进海滨大道西段北片城市有机更新，推进虎洞山公园、大鹏山东公园、中轴公园（北段）、长富山公园等规划公园建设，</w:t>
      </w:r>
      <w:r>
        <w:rPr>
          <w:rFonts w:hint="eastAsia"/>
          <w:bCs/>
        </w:rPr>
        <w:t>通过“绣花针”式精细化管理，促使老城区换发新活力。结合未来社区建设和基层社会治理，促进功能完善、空间挖潜和服务提升。优化中心城区基础支撑，加大交通拥堵、内涝等“城市病”治理力度，完善停车场、城市地下管网等城市配套。搭建城市信息模型（CIM）基础平台，部署智能电网、智能水务等感知终端，打造“数字城市”“智慧城市”。推进历史文化街区保护利用，加强中心城区的城市文化及风貌塑造，强化历史文化保护，把历史文化街区、历史建筑打造成为展示汕尾非物质文化遗产的重要平台。</w:t>
      </w:r>
    </w:p>
    <w:p>
      <w:pPr>
        <w:pStyle w:val="3"/>
        <w:spacing w:before="217" w:after="217"/>
        <w:rPr>
          <w:lang w:val="zh-CN"/>
        </w:rPr>
      </w:pPr>
      <w:bookmarkStart w:id="22" w:name="_Toc116065993"/>
      <w:r>
        <w:rPr>
          <w:rFonts w:hint="eastAsia"/>
          <w:lang w:val="zh-CN"/>
        </w:rPr>
        <w:t>第四节 推进县城集约化发展</w:t>
      </w:r>
      <w:bookmarkEnd w:id="22"/>
    </w:p>
    <w:p>
      <w:pPr>
        <w:ind w:firstLine="640"/>
        <w:rPr>
          <w:lang w:val="zh-CN"/>
        </w:rPr>
      </w:pPr>
      <w:r>
        <w:rPr>
          <w:rFonts w:hint="eastAsia"/>
          <w:lang w:val="zh-CN"/>
        </w:rPr>
        <w:t>提升县城建设的集约化水平，促进产业平台提质增效、县城服务品质提升，通过产城融合提高县城空间的聚合度与社会经济承载力。</w:t>
      </w:r>
    </w:p>
    <w:p>
      <w:pPr>
        <w:ind w:firstLine="643"/>
      </w:pPr>
      <w:r>
        <w:rPr>
          <w:rFonts w:hint="eastAsia"/>
          <w:b/>
          <w:bCs/>
        </w:rPr>
        <w:t>推进海丰建成全国县城新型城镇化建设示范县。</w:t>
      </w:r>
      <w:r>
        <w:rPr>
          <w:rFonts w:hint="eastAsia"/>
        </w:rPr>
        <w:t>实施海丰县城扩容提质战略，立足附城“南部新城”“市县同城化先行区”的目标定位，高标准编制南三环两侧、海丽大道建设规划，全力推进海丽大道升级改造二期等基础设施工程，加速与汕尾市区的同城化步伐。推进城乡供水一体化及供水管网升级改造与北部新区地下综合管廊工程建设，加快海绵城市建设，解决城市内涝问题，推动海丰公共卫生、人居环境、公共服务、市政设施、产业配套等水平与中心市区接轨。围绕建设“双区”产业转移重要承接地和拓展区、汕尾与深汕合作区产业合作的主阵地，推进与深圳共建产业园区，加速引导“双区”高端制造、电子线路板、电子信息、美妆、新材料等战略性新兴产业布局海丰，沿“一城一区三园”高能级平台纵深集聚。</w:t>
      </w:r>
    </w:p>
    <w:p>
      <w:pPr>
        <w:ind w:firstLine="643"/>
      </w:pPr>
      <w:r>
        <w:rPr>
          <w:rFonts w:hint="eastAsia"/>
          <w:b/>
          <w:bCs/>
        </w:rPr>
        <w:t>推进陆丰建设粤东蓝色经济崛起示范区。</w:t>
      </w:r>
      <w:r>
        <w:rPr>
          <w:rFonts w:hint="eastAsia"/>
        </w:rPr>
        <w:t>坚持陆海统筹、港产联动，持续推进“风光水火核”产业发展，以“补链、延链、强链”为目标导向引进一批产业链上下游链主企业、配套企业，积极主动承接深圳海洋工程装备产业转型升级和智能化辐射，打造千亿级新能源和海洋高端装备制造基地。加快推进陆丰渔港经济区规划建设，加大力度开展深水网箱养殖、海上冷链物流基地、广东海大集团海洋种业产业园等项目的招商引进及落地建设工作，推动城东万亩鲈鱼养殖基地扩产增效，扶持发展海产品精加工业。加快先进能源科学与技术省实验室汕尾分中心建设，强化海洋科技创新平台建设与创新主体培育，完善海工基地园区道路、生活配套等基础设施建设，加快推进海工基地二期项目建设投产，建成港口作业区集疏运体系，全力打造蓝色经济产业创新发展“大平台”。</w:t>
      </w:r>
    </w:p>
    <w:p>
      <w:pPr>
        <w:ind w:firstLine="643"/>
        <w:rPr>
          <w:b/>
          <w:bCs/>
        </w:rPr>
      </w:pPr>
      <w:r>
        <w:rPr>
          <w:rFonts w:hint="eastAsia"/>
          <w:b/>
          <w:bCs/>
        </w:rPr>
        <w:t>推进陆河打造绿色高质量发展示范县。</w:t>
      </w:r>
      <w:r>
        <w:rPr>
          <w:rFonts w:hint="eastAsia"/>
        </w:rPr>
        <w:t>促进农业提质增效，聚力推进青梅、油柑省级现代农业产业园建设及环海农牧、天种生猪养殖项目落地，提高农产品加工水平，做好青梅、油柑、茶叶等特色农产品品牌化工作，建设成为面向“双区”的绿色优质农产品生产供应基地、省级禽畜特色产业园。依托“客家文化长廊，天然氧吧休闲”精品线路与北中村欢乐谷等资源，全力发展乡村旅游、文化体验、民宿文宿等新产业新业态，按季节时节打造陆河赏梅节、品梅节等乡村旅游活动，规划建设陆河县赖少其艺术馆、陆河县青梅博物馆等一批特色文化馆、展览馆，拓展乡村旅游新空间。以汕尾陆河高新技术产业开发区为载体发展新材料等绿色工业，大力推进陆河抽水蓄能电站等新能源项目建设，推动陆河冷链物流中心、电商产业园建设，全力创建“国家级电子商务进农村示范县”，打造全市乡村振兴样板。</w:t>
      </w:r>
    </w:p>
    <w:p>
      <w:pPr>
        <w:pStyle w:val="3"/>
        <w:spacing w:before="217" w:after="217"/>
        <w:rPr>
          <w:lang w:val="zh-CN"/>
        </w:rPr>
      </w:pPr>
      <w:bookmarkStart w:id="23" w:name="_Toc116065994"/>
      <w:r>
        <w:rPr>
          <w:rFonts w:hint="eastAsia"/>
          <w:lang w:val="zh-CN"/>
        </w:rPr>
        <w:t>第五节 推进小城镇特色化发展</w:t>
      </w:r>
      <w:bookmarkEnd w:id="23"/>
    </w:p>
    <w:p>
      <w:pPr>
        <w:ind w:firstLine="640"/>
        <w:rPr>
          <w:lang w:val="zh-CN"/>
        </w:rPr>
      </w:pPr>
      <w:r>
        <w:rPr>
          <w:rFonts w:hint="eastAsia"/>
          <w:lang w:val="zh-CN"/>
        </w:rPr>
        <w:t>高质量推进小城镇建设与特色化发展，高标准建设乡村振兴示范带，全面提升小城镇综合承载能力与治理水平，构建舒适便捷的特色城镇生活圈体系。</w:t>
      </w:r>
    </w:p>
    <w:p>
      <w:pPr>
        <w:ind w:firstLine="643"/>
        <w:rPr>
          <w:lang w:val="zh-CN"/>
        </w:rPr>
      </w:pPr>
      <w:r>
        <w:rPr>
          <w:rFonts w:hint="eastAsia"/>
          <w:b/>
          <w:bCs/>
          <w:lang w:val="zh-CN"/>
        </w:rPr>
        <w:t>实施小城镇品质提升行动。</w:t>
      </w:r>
      <w:r>
        <w:rPr>
          <w:rFonts w:hint="eastAsia"/>
          <w:lang w:val="zh-CN"/>
        </w:rPr>
        <w:t>加强小城镇规划建设的引导与管控，着力提升基础设施、公共服务、环境风貌和文化传承，重点完善道路、管网管线、园林绿化、污水垃圾处理等市政基础设施规划建设。推进小城镇环境整治，解决部分小城镇环境“脏、乱、差”问题，促进小城镇环境卫生设施提级扩能，实现推进小城镇市政公用设施提档升级、公共服务设施提标扩面。提升学校、医疗、文化等公共服务水平，完善商业商务、休闲娱乐、创业创新、金融服务等城市功能，建设一批绿色宜居住宅小区，引导农村人口在镇区集中居住。</w:t>
      </w:r>
    </w:p>
    <w:p>
      <w:pPr>
        <w:ind w:firstLine="643"/>
        <w:rPr>
          <w:lang w:val="zh-CN"/>
        </w:rPr>
      </w:pPr>
      <w:r>
        <w:rPr>
          <w:rFonts w:hint="eastAsia"/>
          <w:b/>
          <w:bCs/>
          <w:lang w:val="zh-CN"/>
        </w:rPr>
        <w:t>有序建设特色小城镇。</w:t>
      </w:r>
      <w:r>
        <w:rPr>
          <w:rFonts w:hint="eastAsia"/>
          <w:lang w:val="zh-CN"/>
        </w:rPr>
        <w:t>加强统筹政策引导和市场化运作，立足小城镇资源禀赋、区位环境、历史文化和产业发展基础，分类推进小城镇特色化集约化现代化发展。</w:t>
      </w:r>
      <w:r>
        <w:rPr>
          <w:rFonts w:hint="eastAsia"/>
          <w:color w:val="auto"/>
          <w:lang w:val="zh-CN"/>
        </w:rPr>
        <w:t>引导城市周边的小城镇积极对接城市需求</w:t>
      </w:r>
      <w:r>
        <w:rPr>
          <w:rFonts w:hint="eastAsia"/>
          <w:lang w:val="zh-CN"/>
        </w:rPr>
        <w:t>，承接城市发展外溢红利，融入城市发展，逐步发展为城市卫星镇。支持制造业基础扎实的镇做优做强做大产业集群，主动嵌入区域产业链、价值链和供应链，打造经济发达镇。引导具有区位优势或独特资源的小城镇发展成为文化旅游、地方工艺、健康养生等专业功能镇，加大对功能镇重点项目的支持力度。推动远离城市的小城镇完善基础设施与公共服务，发展成为服务乡村、带动周边的综合性小城镇，吸引城市要素，吸纳农民就近就业。</w:t>
      </w:r>
    </w:p>
    <w:p>
      <w:pPr>
        <w:ind w:firstLine="643"/>
      </w:pPr>
      <w:r>
        <w:rPr>
          <w:rFonts w:hint="eastAsia"/>
          <w:b/>
          <w:bCs/>
          <w:lang w:val="zh-CN"/>
        </w:rPr>
        <w:t>高标准建设乡村振兴示范带。</w:t>
      </w:r>
      <w:r>
        <w:rPr>
          <w:rFonts w:hint="eastAsia"/>
          <w:lang w:val="zh-CN"/>
        </w:rPr>
        <w:t>推进农村危险破旧泥砖房、削坡建房风险点整治以及“两违”建筑整治清拆，推进存量农房微改造，</w:t>
      </w:r>
      <w:r>
        <w:rPr>
          <w:rFonts w:hint="eastAsia"/>
        </w:rPr>
        <w:t>采取财政补贴、金融支持、市场主体参与等方式，鼓励企业和公益性团体参与，</w:t>
      </w:r>
      <w:r>
        <w:rPr>
          <w:rFonts w:hint="eastAsia"/>
          <w:lang w:val="zh-CN"/>
        </w:rPr>
        <w:t>全面推动农房管控与乡村风貌提升</w:t>
      </w:r>
      <w:r>
        <w:rPr>
          <w:rFonts w:hint="eastAsia"/>
        </w:rPr>
        <w:t>。</w:t>
      </w:r>
      <w:r>
        <w:rPr>
          <w:rFonts w:hint="eastAsia"/>
          <w:lang w:val="zh-CN"/>
        </w:rPr>
        <w:t>逐步推进“五美”专项行动，深入开展“四小园”建设和美丽庭院示范创建</w:t>
      </w:r>
      <w:r>
        <w:rPr>
          <w:rFonts w:hint="eastAsia"/>
        </w:rPr>
        <w:t>，连片连线建设美丽乡村</w:t>
      </w:r>
      <w:r>
        <w:rPr>
          <w:rFonts w:hint="eastAsia"/>
          <w:lang w:val="zh-CN"/>
        </w:rPr>
        <w:t>。以打造“全国最干净整洁村庄”为目标，巩固深化</w:t>
      </w:r>
      <w:r>
        <w:rPr>
          <w:rFonts w:hint="eastAsia"/>
        </w:rPr>
        <w:t>农村人居环境“三清三拆三整治”成果，健全农村人居环境基础设施长效管护机制。以“八个美丽”为抓手，大力构建乡村振兴综合体，实现“八个美丽”全面出彩，充分体现乡村振兴示范带建设成效。打造一批“绿富美”示范样板，串珠成链，连线成面，把全市农村建设成为各具特色的精美农村画卷，做大做强“美丽经济”，实现汕尾全域美丽、全域振兴。</w:t>
      </w:r>
    </w:p>
    <w:p>
      <w:pPr>
        <w:ind w:firstLine="640"/>
      </w:pPr>
    </w:p>
    <w:p>
      <w:pPr>
        <w:pStyle w:val="2"/>
      </w:pPr>
      <w:bookmarkStart w:id="24" w:name="_Toc92197948"/>
      <w:bookmarkStart w:id="25" w:name="_Toc116065995"/>
      <w:r>
        <w:rPr>
          <w:rFonts w:hint="eastAsia"/>
        </w:rPr>
        <w:t>第五章 建设以人民为中心的新型城市</w:t>
      </w:r>
      <w:bookmarkEnd w:id="24"/>
      <w:bookmarkEnd w:id="25"/>
    </w:p>
    <w:p>
      <w:pPr>
        <w:ind w:firstLine="640"/>
      </w:pPr>
      <w:r>
        <w:rPr>
          <w:rFonts w:hint="eastAsia"/>
        </w:rPr>
        <w:t>坚持人民城市人民建、人民城市为人民，加快转变城市发展方式，推动城市规划建设由追求规模向注重质量转变，推动城市内涵式、集约型、绿色化发展，切实增强城市吸引力和承载能力。</w:t>
      </w:r>
    </w:p>
    <w:p>
      <w:pPr>
        <w:pStyle w:val="3"/>
        <w:spacing w:before="217" w:after="217"/>
      </w:pPr>
      <w:bookmarkStart w:id="26" w:name="_Toc92197949"/>
      <w:bookmarkStart w:id="27" w:name="_Toc116065996"/>
      <w:r>
        <w:rPr>
          <w:rFonts w:hint="eastAsia"/>
        </w:rPr>
        <w:t>第一节 建设舒适便利宜居城市</w:t>
      </w:r>
      <w:bookmarkEnd w:id="26"/>
      <w:bookmarkEnd w:id="27"/>
    </w:p>
    <w:p>
      <w:pPr>
        <w:ind w:firstLine="640"/>
      </w:pPr>
      <w:r>
        <w:rPr>
          <w:rFonts w:hint="eastAsia"/>
        </w:rPr>
        <w:t>顺应人民对更加美好人居环境的需求，以人性化便捷化为导向，科学配置城市公共资源，提升公共服务和市政公用设施水平，提高存量空间品质，改善居民住房条件，打造宜居生活环境。</w:t>
      </w:r>
    </w:p>
    <w:p>
      <w:pPr>
        <w:ind w:firstLine="643"/>
        <w:rPr>
          <w:b/>
          <w:bCs/>
        </w:rPr>
      </w:pPr>
      <w:r>
        <w:rPr>
          <w:rFonts w:hint="eastAsia"/>
          <w:b/>
          <w:bCs/>
        </w:rPr>
        <w:t>提升城市公共服务品质。</w:t>
      </w:r>
      <w:r>
        <w:rPr>
          <w:rFonts w:hint="eastAsia"/>
        </w:rPr>
        <w:t>加快建立“资源随人走”的资源投入机制，结合城市人口空间分布和增长趋势，科学确定公共服务设施配置标准并优化空间布局，构建“十五分钟教育、医疗、体育、养老服务圈”。推进优质教育资源均衡配置，</w:t>
      </w:r>
      <w:bookmarkStart w:id="28" w:name="_Hlk114491380"/>
      <w:r>
        <w:rPr>
          <w:rFonts w:hint="eastAsia"/>
        </w:rPr>
        <w:t>通过新改扩建一批幼儿园和义务教育学校、</w:t>
      </w:r>
      <w:bookmarkEnd w:id="28"/>
      <w:r>
        <w:rPr>
          <w:rFonts w:hint="eastAsia"/>
        </w:rPr>
        <w:t>城镇小区配套幼儿园治理等方式，持续增加学位供给，实现适龄儿童就近入学入园。加快建设分级诊疗体系，规范医联体发展，推进以县级医院为龙头的紧密型县域医共体建设。完善基层医疗体系，加强基层医疗卫生队伍建设，提升乡镇卫生院、社区卫生服务中心和村卫生站基本医疗服务能力。完善全民健身公共服务体系，推动重大体育平台建设，支持有条件的社区提升体育场地设施水平，适度增加健身休闲区域。加大养老服务设施建设力度，健全城镇居家社区养老基础设施网络，加快构建居家养老、机构养老、社区养老、新型养老形式多元化并存的大养老体系。</w:t>
      </w:r>
    </w:p>
    <w:p>
      <w:pPr>
        <w:ind w:firstLine="643"/>
        <w:rPr>
          <w:b/>
          <w:bCs/>
        </w:rPr>
      </w:pPr>
      <w:r>
        <w:rPr>
          <w:rFonts w:hint="eastAsia"/>
          <w:b/>
          <w:bCs/>
        </w:rPr>
        <w:t>完善市政公用设施配套。</w:t>
      </w:r>
      <w:r>
        <w:rPr>
          <w:rFonts w:hint="eastAsia"/>
        </w:rPr>
        <w:t>优先发展公共交通，构建以常规公交为主体，出租车和网约车为补充的公共交通系统。鼓励发展线上定制公交、点对点通勤公交等精准柔性公交模式，推动城市中心城区公交站点5</w:t>
      </w:r>
      <w:r>
        <w:t>00</w:t>
      </w:r>
      <w:r>
        <w:rPr>
          <w:rFonts w:hint="eastAsia"/>
        </w:rPr>
        <w:t>米内全覆盖。按照小街区、密路网、微循环的方式构建级配合理的路网系统，强化支路系统建设，打通丁字路和封闭街区。以5</w:t>
      </w:r>
      <w:r>
        <w:t>00</w:t>
      </w:r>
      <w:r>
        <w:rPr>
          <w:rFonts w:hint="eastAsia"/>
        </w:rPr>
        <w:t>米步行范围为基本单元组团，加强社区慢行网络建设。加强停车场规划布局和用地保障，发展以配建停车场为主、公共停车场为辅、占道停车位为补充的停车设施体系，鼓励新建建筑物超配建设停车场。完善住宅小区和公共停车场充电设施，优化公共充换电设施建设布局。将市政、电力、通讯、燃气、给排水等各种管线集于一体，逐步实现统一规划、设计、建设和管理，集约高效利用地下空间。完善城市配送投递设施，建设统一分拨中转的公共配送中心，统一改造传统信报箱，合理布设不同类型的智能快件箱。</w:t>
      </w:r>
    </w:p>
    <w:p>
      <w:pPr>
        <w:ind w:firstLine="643"/>
        <w:rPr>
          <w:b/>
          <w:bCs/>
        </w:rPr>
      </w:pPr>
      <w:r>
        <w:rPr>
          <w:rFonts w:hint="eastAsia"/>
          <w:b/>
          <w:bCs/>
        </w:rPr>
        <w:t>推进城市更新和品质提升。</w:t>
      </w:r>
      <w:r>
        <w:rPr>
          <w:rFonts w:hint="eastAsia"/>
        </w:rPr>
        <w:t>针对老城区功能偏离需求、利用效率低下、环境品质不高、安全隐患较多的存量片区，综合采用全面改造、微改造、混合改造方式实施城市更新行动。全面推进城镇老旧小区改造，因地制宜按照基础类、完善类、提升类确定改造内容，重点改造市政配套基础设施以及小区内建筑物屋面、外墙、楼梯等公共部位，鼓励有条件的楼栋加装电梯，加快小区适老化改造、物业管理水平提升等工作。探索采用市场化方式推进老旧厂区改造，加强城市老旧厂房改造利用，通过转换建设用地用途、转变空间功能等方式，将老旧厂区等“工业锈带”改造成“生活秀带”、双创空间、新型产业空间和文化旅游场所。推动有条件的老旧街区发展街区经济，打造特色街景，促进街区品质高端化、业态多元化，发展成为新兴文旅商业消费集聚区。开展城中村、城郊村改造，鼓励成片连片改造方式，探索政府引导下的工商资本与农民集体合作模式。</w:t>
      </w:r>
    </w:p>
    <w:p>
      <w:pPr>
        <w:ind w:firstLine="643"/>
      </w:pPr>
      <w:r>
        <w:rPr>
          <w:rFonts w:hint="eastAsia"/>
          <w:b/>
          <w:bCs/>
        </w:rPr>
        <w:t>健全完善住房保障体系。</w:t>
      </w:r>
      <w:r>
        <w:rPr>
          <w:rFonts w:hint="eastAsia"/>
        </w:rPr>
        <w:t>坚持“房住不炒”，加快建立多主体供给、多渠道保障、租购并举的住房制度。定期公开土地储备和已出让土地建设进展，建立住宅用地市场检测指标体系，引导社会合理预期。单列租赁住房用地计划，探索利用集体建设用地和企事业单位自有闲置土地建设租赁住房，支持将非住宅房屋改建保障性租赁住房。坚持实物保障与租赁补贴并举，加强公租房准入使用、退出与运营管理，积极发展公租房租赁补贴，满足困难群众多样化居住需求。因地制宜发展共有产权住房，稳步推进城镇棚户区改造。改革完善住房公积金制度，健全缴存、使用、管理和运行机制。</w:t>
      </w:r>
    </w:p>
    <w:p>
      <w:pPr>
        <w:pStyle w:val="3"/>
        <w:spacing w:before="217" w:after="217"/>
      </w:pPr>
      <w:bookmarkStart w:id="29" w:name="_Toc92197950"/>
      <w:bookmarkStart w:id="30" w:name="_Toc116065997"/>
      <w:r>
        <w:rPr>
          <w:rFonts w:hint="eastAsia"/>
        </w:rPr>
        <w:t>第二节 建设协同创新活力城市</w:t>
      </w:r>
      <w:bookmarkEnd w:id="29"/>
      <w:bookmarkEnd w:id="30"/>
    </w:p>
    <w:p>
      <w:pPr>
        <w:ind w:firstLine="640"/>
      </w:pPr>
      <w:r>
        <w:rPr>
          <w:rFonts w:hint="eastAsia"/>
        </w:rPr>
        <w:t>坚持把创新作为引领发展的第一动力，强化创新创业载体建设，积极营造良好创新创业生态，着力提升城市科技创新能力，激发全社会创新创业创造活力，实现依靠创新驱动的内涵型增长。</w:t>
      </w:r>
    </w:p>
    <w:p>
      <w:pPr>
        <w:ind w:firstLine="643"/>
      </w:pPr>
      <w:r>
        <w:rPr>
          <w:rFonts w:hint="eastAsia"/>
          <w:b/>
          <w:bCs/>
        </w:rPr>
        <w:t>打造协同的创新创业平台。</w:t>
      </w:r>
      <w:r>
        <w:rPr>
          <w:rFonts w:hint="eastAsia"/>
        </w:rPr>
        <w:t>着力推进汕尾高新技术产业开发区提质升级并申报国家级高新区，打造区域创新重要节点。主动承接粤港澳大湾区国际科技创新中心的辐射带动，支持先进能源科学与技术广东省实验室汕尾分中心、深汕中心医院医疗研究中心和博士后流动站、汕尾市农业科学研究院示范基地等创新平台加强与广深港、广珠澳科技创新走廊的联系。重点推进汕尾创新岛（深圳）建设，形成“研发设计在深圳，成果转化、生产制造在汕尾”的创新合作模式。重点围绕科研机构、大型创新企业等创新主体，建设“创新功能+社区、街区、校区”多功能融合的“创新城区”，推进功能混合布局和复合开发，发展嵌入式创新空间，形成产城融合的城市创新圈。完善科技成果孵化育成平台，鼓励政府和社会资本合作投资建设和运营孵化育成平台，对新认定的国家级、省级和市级孵化器和众创空间给予资助。</w:t>
      </w:r>
    </w:p>
    <w:p>
      <w:pPr>
        <w:ind w:firstLine="643"/>
      </w:pPr>
      <w:r>
        <w:rPr>
          <w:rFonts w:hint="eastAsia"/>
          <w:b/>
          <w:bCs/>
        </w:rPr>
        <w:t>营造良好的创新创业环境。</w:t>
      </w:r>
      <w:r>
        <w:rPr>
          <w:rFonts w:hint="eastAsia"/>
        </w:rPr>
        <w:t>全面优化城市营商环境，放宽政府管制、精简审批事项、降低交易成本，加强对创新创业的一站式便捷化服务。发挥企业创新主体地位，强化对企业研发环节的政策支持，鼓励支持龙头企业和科研平台申报省科技战略任务。鼓励支持企业联合高校、科研院所，建设市级科技成果中试基地，健全科技成果转化体系，加速科技成果产业化进程。强化人才对城市创新的核心支撑作用，围绕重点产业需要深入实施“红海扬帆人才计划”，根据产业发展对人才需求的预测制定紧缺人才引进规划，依托汕尾高校、科研机构以及国家、省、市重大科技项目等培育本土创新型人才。持续实施“展翅计划”，引导港澳青年到汕尾创新创业，完善港澳青年就业创业居留教育服务。健全创新激励和保障机制，加快形成充分体现知识、技术等创新要素价值的收益分配机制。持续举办汕尾市“红海杯”创新创业大赛、科技活动周、科技进步月等活动，弘扬创新文化、厚植创业沃土，营造敢为人先、宽容失败的城市创新创业氛围。</w:t>
      </w:r>
    </w:p>
    <w:p>
      <w:pPr>
        <w:pStyle w:val="3"/>
        <w:spacing w:before="217" w:after="217"/>
      </w:pPr>
      <w:bookmarkStart w:id="31" w:name="_Toc92197951"/>
      <w:bookmarkStart w:id="32" w:name="_Toc116065998"/>
      <w:r>
        <w:rPr>
          <w:rFonts w:hint="eastAsia"/>
        </w:rPr>
        <w:t>第三节 建设新型高效智慧城市</w:t>
      </w:r>
      <w:bookmarkEnd w:id="31"/>
      <w:bookmarkEnd w:id="32"/>
    </w:p>
    <w:p>
      <w:pPr>
        <w:ind w:firstLine="640"/>
      </w:pPr>
      <w:r>
        <w:rPr>
          <w:rFonts w:hint="eastAsia"/>
        </w:rPr>
        <w:t>以新型基础设施建设为支撑，以公共数据开放共享为突破口，推进政务服务和社会治理智慧化，丰富智慧城市应用场景，让市民享受信息时代文明成果。</w:t>
      </w:r>
    </w:p>
    <w:p>
      <w:pPr>
        <w:ind w:firstLine="643"/>
      </w:pPr>
      <w:r>
        <w:rPr>
          <w:rFonts w:hint="eastAsia"/>
          <w:b/>
          <w:bCs/>
        </w:rPr>
        <w:t>加快布局数字新基建。</w:t>
      </w:r>
      <w:r>
        <w:rPr>
          <w:rFonts w:hint="eastAsia"/>
        </w:rPr>
        <w:t>持续扩大5</w:t>
      </w:r>
      <w:r>
        <w:t>G</w:t>
      </w:r>
      <w:r>
        <w:rPr>
          <w:rFonts w:hint="eastAsia"/>
        </w:rPr>
        <w:t>网络建设规模，重点推进人口密集的主城区、工业园区、旅游景区、重点商圈、校园、医院等重要公共服务场所的网络覆盖，逐步实现5</w:t>
      </w:r>
      <w:r>
        <w:t>G</w:t>
      </w:r>
      <w:r>
        <w:rPr>
          <w:rFonts w:hint="eastAsia"/>
        </w:rPr>
        <w:t>网络城乡全覆盖。加快广东省政务大数据中心汕尾节点项目建设，推动市县一体化大数据平台建设，提升大数据中心存储能力和数据服务能力。加快推进IPv6布局，加强窄带物联网（NB-IoT）、环境传感器、智能识别摄像头等功能性基础设施建设。推进交通、教育、医疗、文化、社保、水利、能源等市政公用设施、公共服务设施、环境基础设施智能化数字化改造，提升城市运行保障能力。</w:t>
      </w:r>
    </w:p>
    <w:p>
      <w:pPr>
        <w:ind w:firstLine="643"/>
      </w:pPr>
      <w:r>
        <w:rPr>
          <w:rFonts w:hint="eastAsia"/>
          <w:b/>
          <w:bCs/>
        </w:rPr>
        <w:t>搭建智慧城市运行管理平台。</w:t>
      </w:r>
      <w:r>
        <w:rPr>
          <w:rFonts w:hint="eastAsia"/>
        </w:rPr>
        <w:t>建设城市信息模型（C</w:t>
      </w:r>
      <w:r>
        <w:t>IM</w:t>
      </w:r>
      <w:r>
        <w:rPr>
          <w:rFonts w:hint="eastAsia"/>
        </w:rPr>
        <w:t>）平台，构建“地上地下全空间、人地房全要素、规建管全链条”多维数据库，增强智慧城市基础支撑。统筹顶层设计和总体架构，结合汕尾城市治理实际，探索建立汕尾“城市大脑”，推进区块链、人工智能等前沿技术的在城市大脑中枢系统的应用，全力打造基于“一朵云、一张图、一个数字底座、一个运营中心、多种业务应用”架构的城市综合智能体，实现对城市整体运行状态的即时感知和联动治理。落实首席数据官制度，健全数据采集机制，打破各领域“信息孤岛”，建立统一的数据标准、系统结构、管理规范，推动社会综治、应急指挥、生态环境、城市管理、国土空间等各部门数据整合共享。</w:t>
      </w:r>
    </w:p>
    <w:p>
      <w:pPr>
        <w:ind w:firstLine="643"/>
        <w:rPr>
          <w:rFonts w:hint="eastAsia"/>
        </w:rPr>
      </w:pPr>
      <w:r>
        <w:rPr>
          <w:rFonts w:hint="eastAsia"/>
          <w:b/>
          <w:bCs/>
        </w:rPr>
        <w:t>丰富面向未来的数字应用场景。</w:t>
      </w:r>
      <w:r>
        <w:rPr>
          <w:rFonts w:hint="eastAsia"/>
        </w:rPr>
        <w:t>强化“粤系列”“善美系列”应用，推进社保、民政、工商、税务等公共服务智慧化，加快实现政务服务“一网通办”，增强全流程一体化服务能力。推动数字技术全面融入社会交往和日常生活，开发公共服务领域“智慧+”多场景应用。推广智慧交通，积极开展无人驾驶、无人物流配送试点。深入推进“互联网+医疗健康”，探索开展远程会诊、远程手术。构建“互联网+教育”大资源服务体系，探索发展人工智能、大数据、VR/AR 等信息技术融合的新型教学模式。积极打造新型智慧社区，逐步提升既有小区特别是老旧小区的数字化和智慧化水平，构建未来邻里数字化创新应用场景，提高生活智慧化服务能力和水平。</w:t>
      </w:r>
    </w:p>
    <w:p>
      <w:pPr>
        <w:pStyle w:val="3"/>
        <w:spacing w:before="217" w:after="217"/>
      </w:pPr>
      <w:bookmarkStart w:id="33" w:name="_Toc92197952"/>
      <w:bookmarkStart w:id="34" w:name="_Toc116065999"/>
      <w:r>
        <w:rPr>
          <w:rFonts w:hint="eastAsia"/>
        </w:rPr>
        <w:t>第四节 建设绿色低碳生态城市</w:t>
      </w:r>
      <w:bookmarkEnd w:id="33"/>
      <w:bookmarkEnd w:id="34"/>
    </w:p>
    <w:p>
      <w:pPr>
        <w:ind w:firstLine="640"/>
      </w:pPr>
      <w:r>
        <w:rPr>
          <w:rFonts w:hint="eastAsia"/>
        </w:rPr>
        <w:t>坚持生态优先、绿色发展，着力改善城市生态环境质量，推进城市生产生活方式和建设运营模式向绿色低碳循环转型，探索建立生态产品价值实现机制，打造人与自然和谐共生的绿色城市。</w:t>
      </w:r>
    </w:p>
    <w:p>
      <w:pPr>
        <w:ind w:firstLine="643"/>
      </w:pPr>
      <w:r>
        <w:rPr>
          <w:rFonts w:hint="eastAsia"/>
          <w:b/>
          <w:bCs/>
        </w:rPr>
        <w:t>优化城市生态空间品质。</w:t>
      </w:r>
      <w:r>
        <w:rPr>
          <w:rFonts w:hint="eastAsia"/>
        </w:rPr>
        <w:t>严格实施生态红线区分类管控、岸线分区管控，强化“三线一单”刚性约束，严禁任何不符合主体功能定位的开发活动，建设生态保护红线监管平台，筑牢粤东生态屏障。探索“公园城市”理念与城市建设实际相结合的路径，推进城市微空间更新改造，充分利用边角插花夹心地块、闲置地块、市容市貌脏乱地块，因地制宜建设社区公园、口袋公园、小花园，提高城市绿化覆盖率和人均绿地面积。落实万里碧道建设任务，高标准规划建设展螺河片区-螺河山海生态碧道、黄江河片区-黄江红色文化碧道、乌坎片区-乌坎福佬古香碧道、滨海带-滨海蓝色港湾碧道等重点碧道，重点营造亲水近绿体验空间。以陆丰硫铁矿、碣石湾、品清湖、</w:t>
      </w:r>
      <w:r>
        <w:rPr>
          <w:rFonts w:hint="eastAsia" w:ascii="仿宋_GB2312" w:cs="仿宋_GB2312"/>
          <w:color w:val="auto"/>
          <w:kern w:val="0"/>
        </w:rPr>
        <w:t>龟龄岛</w:t>
      </w:r>
      <w:r>
        <w:rPr>
          <w:rFonts w:hint="eastAsia"/>
        </w:rPr>
        <w:t>等生态修复为重点，持续推进山水林田湖草生态保护修复工程，推进海岸带生态修复，实施海滩清洁行动，建设美丽海湾。</w:t>
      </w:r>
    </w:p>
    <w:p>
      <w:pPr>
        <w:ind w:firstLine="643"/>
      </w:pPr>
      <w:r>
        <w:rPr>
          <w:rFonts w:hint="eastAsia"/>
          <w:b/>
          <w:bCs/>
        </w:rPr>
        <w:t>加强生态环境综合治理。</w:t>
      </w:r>
      <w:r>
        <w:rPr>
          <w:rFonts w:hint="eastAsia"/>
        </w:rPr>
        <w:t>深入打好蓝天保卫战，加大遥感监测、黑烟车抓拍、车载诊断系统远程在线等科技运用，深化大气污染综合防治精细化管控，做好工业源、移动源、城乡面源大气污染综合防治，推动细颗粒物（PM</w:t>
      </w:r>
      <w:r>
        <w:rPr>
          <w:rFonts w:hint="eastAsia"/>
          <w:vertAlign w:val="subscript"/>
        </w:rPr>
        <w:t>2.5</w:t>
      </w:r>
      <w:r>
        <w:rPr>
          <w:rFonts w:hint="eastAsia"/>
        </w:rPr>
        <w:t>）与臭氧（O</w:t>
      </w:r>
      <w:r>
        <w:rPr>
          <w:rFonts w:hint="eastAsia"/>
          <w:vertAlign w:val="subscript"/>
        </w:rPr>
        <w:t>3</w:t>
      </w:r>
      <w:r>
        <w:rPr>
          <w:rFonts w:hint="eastAsia"/>
        </w:rPr>
        <w:t>）协同控制，持续提升“汕尾蓝”品质。全面落实河湖长制，全域推动黑臭水体治理，推动黄江河、东溪河、螺河、乌坎河等重点流域实现长治久清。开展城乡生活污水处理提质增效行动，加快生活污水处理设施及配套管网建设，加强农村生活污水治理，持续改善水环境质量。实施陆海污染统筹治理，加强入海排污口分类管控，加大力度清查非法和设置不合理的入海排污口，建立健全入海排污口动态管理的长效机制。深化土壤污染防治，开展饮用水源地和农用地土壤质量调查、质量修复与跟踪监测。</w:t>
      </w:r>
    </w:p>
    <w:p>
      <w:pPr>
        <w:ind w:firstLine="643"/>
        <w:rPr>
          <w:rFonts w:hint="eastAsia"/>
        </w:rPr>
      </w:pPr>
      <w:r>
        <w:rPr>
          <w:rFonts w:hint="eastAsia"/>
          <w:b/>
          <w:bCs/>
        </w:rPr>
        <w:t>推动生产生活方式绿色转型。</w:t>
      </w:r>
      <w:r>
        <w:rPr>
          <w:rFonts w:hint="eastAsia"/>
        </w:rPr>
        <w:t>按照广东省温室气体排放控制、碳达峰、碳中和的总体部署，制定实施碳排放达峰行动方案，加大能源、高耗能工业等重点领域的碳排放总量控制力度。加强资源节约集约利用，落实能源消耗总量和强度“双控”制度，大力发展核能、太阳能、风能等清洁能源，积极推动分布式能源发展，探索开展整县（市、区）屋顶分布式光伏开发试点工作，推动能源结构实现“清洁能源为主、化石能源为辅”的转变。落实最严格水资源管理制度，严守用水总量、用水效率、水功能区限制纳污“三条红线”，统筹推广农业节水节能技术与节水器具，加快老旧管网改造，降低供水管网漏损率，全面推进节水型单位和居民小区建设，加强生产生活节水改造，推进节水型城市建设。大力发展绿色建筑，推广使用绿色建材和智能建造等绿色施工技术，稳步推动装配式建筑发展，推进既有建筑绿色化改造，争取实现新建建筑全部符合超低能耗、近零能耗标准。倡导绿色出行，推广应用新能源汽车和清洁能源车辆，加强新能源汽车充换电、加氢等配套基础设施建设，鼓励公众选择公共交通、自行车和步行等出行方式。全面推进生活垃圾分类投放、分类收集、分类运输和分类无害化资源化处理。加强生态文明宣传教育，广泛开展节约型机关、绿色学校、绿色医院、绿色社区、绿色家庭等创建活动。</w:t>
      </w:r>
    </w:p>
    <w:p>
      <w:pPr>
        <w:pStyle w:val="3"/>
        <w:spacing w:before="217" w:after="217"/>
      </w:pPr>
      <w:bookmarkStart w:id="35" w:name="_Toc92197953"/>
      <w:bookmarkStart w:id="36" w:name="_Toc116066000"/>
      <w:r>
        <w:rPr>
          <w:rFonts w:hint="eastAsia"/>
        </w:rPr>
        <w:t>第五节 建设魅力多彩人文城市</w:t>
      </w:r>
      <w:bookmarkEnd w:id="35"/>
      <w:bookmarkEnd w:id="36"/>
    </w:p>
    <w:p>
      <w:pPr>
        <w:ind w:firstLine="640"/>
      </w:pPr>
      <w:r>
        <w:rPr>
          <w:rFonts w:hint="eastAsia"/>
        </w:rPr>
        <w:t>深入挖掘保护传承弘扬优秀传统文化，推动汕尾优秀传统文化焕发新时代光彩，把汕尾特色文化资源打造成为城市发展新名片。大力推进文化强市建设工作，鼓励文化创新发展，把文化引领作为魅力汕尾建设的最强推手。</w:t>
      </w:r>
    </w:p>
    <w:p>
      <w:pPr>
        <w:ind w:firstLine="643"/>
      </w:pPr>
      <w:r>
        <w:rPr>
          <w:rFonts w:hint="eastAsia"/>
          <w:b/>
          <w:bCs/>
        </w:rPr>
        <w:t>传承城市历史文脉。</w:t>
      </w:r>
      <w:r>
        <w:rPr>
          <w:rFonts w:hint="eastAsia"/>
        </w:rPr>
        <w:t>深入挖掘和保护红色文化，有序实施革命遗址保护修复开发工作，重点推动海丰红宫红场旧址（含赤山约农会旧址）、彭湃烈士故居（含得趣书室）、共青团海陆丰地方委员会旧址、丘东平故居、东征军黄埔军校政治部旧址（海丰工农革命军团队部旧址）、陆丰县总农会旧址</w:t>
      </w:r>
      <w:r>
        <w:rPr>
          <w:rFonts w:hint="eastAsia" w:ascii="仿宋_GB2312" w:hAnsi="仿宋_GB2312" w:cs="仿宋_GB2312"/>
        </w:rPr>
        <w:t>等革命文物调查保护。</w:t>
      </w:r>
      <w:r>
        <w:rPr>
          <w:rFonts w:hint="eastAsia"/>
        </w:rPr>
        <w:t>推进红色资源、文艺创作、主题教育等深度融合，规划开发“红色圣地研学游”等文旅产品，打造全国红色教育研学基地、全国青少年爱国主义教育基地，扩大海陆丰红色文化的知名度和影响力，打响汕尾红色文化品牌。传承弘扬创新发展妈祖文化、</w:t>
      </w:r>
      <w:r>
        <w:rPr>
          <w:rFonts w:hint="eastAsia" w:ascii="微软雅黑" w:hAnsi="微软雅黑" w:eastAsia="微软雅黑" w:cs="微软雅黑"/>
        </w:rPr>
        <w:t>疍</w:t>
      </w:r>
      <w:r>
        <w:rPr>
          <w:rFonts w:hint="eastAsia" w:ascii="仿宋_GB2312" w:hAnsi="仿宋_GB2312" w:cs="仿宋_GB2312"/>
        </w:rPr>
        <w:t>家文化、海丝文化等</w:t>
      </w:r>
      <w:r>
        <w:rPr>
          <w:rFonts w:hint="eastAsia"/>
        </w:rPr>
        <w:t>特色海洋文化与地方文化，依托开渔节、妈祖文化旅游节等文化节日，积极开展海洋民俗、海丝文化、海防文化等主题展览，提高汕尾特色文化吸引力影响力。利用好“中国民间文化艺术之乡”和“广东省戏剧之乡”的独特资源优势，加大力度保护传承白字戏、正字戏、西秦戏、皮影戏、汕尾渔歌等优秀非物质文化遗产，支持鼓励非物质文化遗产代表性项目代表性传承人开展传承传播活动，推动优秀非物质文化遗产创造性转化和创新性发展。深入发掘华侨名人故居和名人故事，弘扬彭湃、陈其尤、黄鼎臣、杨成志等先辈学人的感人故事，宣传汕尾人海外谋生、异地创业的艰苦奋斗故事，传承汕尾人开放的文化态度、勇敢的冒险意识、刻苦的创业精神。</w:t>
      </w:r>
    </w:p>
    <w:p>
      <w:pPr>
        <w:ind w:firstLine="643"/>
        <w:rPr>
          <w:rFonts w:hint="eastAsia"/>
        </w:rPr>
      </w:pPr>
      <w:r>
        <w:rPr>
          <w:rFonts w:hint="eastAsia"/>
          <w:b/>
          <w:bCs/>
        </w:rPr>
        <w:t>融入现代文化元素。</w:t>
      </w:r>
      <w:r>
        <w:rPr>
          <w:rFonts w:hint="eastAsia"/>
        </w:rPr>
        <w:t>以社会主义核心价值观为统领，结合汕尾文化历史传承、区域文化、时代脉搏，塑造和弘扬新时代城市精神。推动文化产业“上云用数赋智”，积极发展和应用文化创意、动漫、数字娱乐、移动新媒体、网络视听、虚拟现实</w:t>
      </w:r>
      <w:r>
        <w:t>/</w:t>
      </w:r>
      <w:r>
        <w:rPr>
          <w:rFonts w:hint="eastAsia"/>
        </w:rPr>
        <w:t>增强现实等新型文化产品，促进创意设计与实体经济、现代生活、消费需求对接，培育现代文化业态，打造一批具有自主品牌的龙头文化企业。推动文旅体融合发展，加快打造“冬养汕尾”“海上牧场”“乡愁集散地”三大文旅I</w:t>
      </w:r>
      <w:r>
        <w:t>P</w:t>
      </w:r>
      <w:r>
        <w:rPr>
          <w:rFonts w:hint="eastAsia"/>
        </w:rPr>
        <w:t>，依托旅游露营基地、山地自行车、马拉松等品牌赛事活动，积极承办和举办重要赛事、艺术节、文化节等活动，争取举办高规格国内国际文化会议、论坛等。</w:t>
      </w:r>
    </w:p>
    <w:p>
      <w:pPr>
        <w:ind w:firstLine="643"/>
      </w:pPr>
      <w:r>
        <w:rPr>
          <w:rFonts w:hint="eastAsia"/>
          <w:b/>
          <w:bCs/>
        </w:rPr>
        <w:t>推进文化设施建设。</w:t>
      </w:r>
      <w:r>
        <w:rPr>
          <w:rFonts w:hint="eastAsia"/>
        </w:rPr>
        <w:t>加快建设中国（汕尾）民间文化艺术馆，探索与社会力量合作共建一批市级、县（市、区）级文化馆、博物馆、图书馆、科技馆、青少年活动中心等文化场馆，完善公共文化场馆免费开放制度，补齐城乡公共文化基础设施短板。构建公共数字文化综合服务平台和区域性公共数字文化综合管理平台，推动公共文化服务数字化建设。探索建设新型公共文化空间，打造一批集互联网服务、艺术展览、文化沙龙、轻食餐饮等于一体的城市书房、清新书院、悦读驿站等新型文化场所。加快社区级文化设施的建设，配置社区文化活动中心，综合设立图书室、老年人活动室、青少年活动室等，打造“十分钟文化圈”。推动公共文化资源向乡村延伸，定期开展送戏下乡等文化惠民演出活动，丰富基层文化服务供给，增强汕尾市民文化认同感和向心力。</w:t>
      </w:r>
    </w:p>
    <w:p>
      <w:pPr>
        <w:pStyle w:val="3"/>
        <w:spacing w:before="217" w:after="217"/>
      </w:pPr>
      <w:bookmarkStart w:id="37" w:name="_Toc92197954"/>
      <w:bookmarkStart w:id="38" w:name="_Toc116066001"/>
      <w:r>
        <w:rPr>
          <w:rFonts w:hint="eastAsia"/>
        </w:rPr>
        <w:t>第六节 建设安全健康韧性城市</w:t>
      </w:r>
      <w:bookmarkEnd w:id="37"/>
      <w:bookmarkEnd w:id="38"/>
    </w:p>
    <w:p>
      <w:pPr>
        <w:ind w:firstLine="640"/>
      </w:pPr>
      <w:r>
        <w:rPr>
          <w:rFonts w:hint="eastAsia"/>
        </w:rPr>
        <w:t>以提升城市抵御冲击能力为导向，注重平战结合、平疫结合，聚焦重大风险防控薄弱环节，提高综合防灾减灾救灾能力、公共卫生防控救治能力，完善应急管理和救援体系，切实保障城市正常运转和人民生命健康。</w:t>
      </w:r>
    </w:p>
    <w:p>
      <w:pPr>
        <w:ind w:firstLine="643"/>
        <w:rPr>
          <w:rFonts w:hint="eastAsia"/>
        </w:rPr>
      </w:pPr>
      <w:r>
        <w:rPr>
          <w:rFonts w:hint="eastAsia"/>
          <w:b/>
          <w:bCs/>
        </w:rPr>
        <w:t>提高综合防灾减灾救灾能力。</w:t>
      </w:r>
      <w:r>
        <w:rPr>
          <w:rFonts w:hint="eastAsia"/>
        </w:rPr>
        <w:t>加强城市防洪、排涝、防风、消防、抗震等设施建设，提高既有建筑灾害设防标准，完善防御设施。强化城市灾害隐患排查，定期开展灾害风险调查和分级分类评估，全面提升气象、水文、地质、地震等多灾种和灾害链综合监测、风险识别、预警预报和精准治理水平。加快建设海绵城市，推进海绵型道路、广场、公园、绿地、建筑与小区建设，提升内涝治理能力和水平，整治城市易涝区域，消除城市严重易涝积水区段，基本解决城市内涝问题。将防灾减灾纳入国民教育计划，加强科普宣传教育基地建设，针对不同群体开展防灾减灾教育活动，强化防灾减灾演练。</w:t>
      </w:r>
    </w:p>
    <w:p>
      <w:pPr>
        <w:ind w:firstLine="643"/>
      </w:pPr>
      <w:r>
        <w:rPr>
          <w:rFonts w:hint="eastAsia"/>
          <w:b/>
          <w:bCs/>
        </w:rPr>
        <w:t>增强公共卫生防控救治能力。</w:t>
      </w:r>
      <w:r>
        <w:rPr>
          <w:rFonts w:hint="eastAsia"/>
        </w:rPr>
        <w:t>加快建设市、各县（市、区）公共卫生应急指挥中心，构建覆盖全市的传染病疫情及其他突发公共卫生事件综合监测预警和指挥决策系统，完善汕尾市分级分层分流的重大疫情救治机制。建立健全传染病救治体系，加快推进汕尾市人民医院、海丰县彭湃纪念医院、陆丰市人民医院、陆丰市中医院、陆河县人民医院规范化可转换传染病区、红海湾人民医院迁建工程建设。加强市、县疾控中心两级突发急性传染病防控队伍建设，重点提升队伍的快速响应能力和现场处置能力。制定体育、文化等大型公共设施平疫转换预案，预留应急空间，确保改建、新建大型公共设施具备短期内改造为方舱医院的条件，提升应对突发公共事件的能力。整治城市环境卫生死角，补齐公共卫生短板，深入开展公共卫生知识宣传教育，进一步提升汕尾环境卫生水平。</w:t>
      </w:r>
    </w:p>
    <w:p>
      <w:pPr>
        <w:ind w:firstLine="643"/>
        <w:rPr>
          <w:rFonts w:hint="eastAsia"/>
        </w:rPr>
      </w:pPr>
      <w:r>
        <w:rPr>
          <w:rFonts w:hint="eastAsia"/>
          <w:b/>
          <w:bCs/>
        </w:rPr>
        <w:t>完善应急管理和救援体系</w:t>
      </w:r>
      <w:r>
        <w:rPr>
          <w:rFonts w:hint="eastAsia"/>
        </w:rPr>
        <w:t>。全力推进“智慧大应急”平台和应急救援基地建设，强化数字技术在突发公共事件应对中的运用，打造集全域感知、动态监测、智能预警、扁平指挥、快速处置、精准监管于一体的智慧应急体系，提高重点领域和场所的安全保障能力。充分利用公园、广场、学校、体育场馆等公共空间，合理规划布局应急避难场所，强化公共建筑和公共设施的应急避难功能。强化应急队伍建设，健全应急救援联动机制，深化区域应急救援协作，鼓励和支持有条件的社会救援力量参与应急救援，打造专业化与社会化相结合的应急救灾队伍。优化基层应急救援，构建以应急志愿者为核心的社区应急救援网络。建设应急物资和装备保障体系，推动建立市、县（市、区）、镇（街）三级应急物资储备中心，健全粮食、水、能源、药品、防护品等重要物资收储、清查、调配机制，积极调动民间储备能力，构建企业代储、家庭储备相结合的多元救灾物资储备体系。</w:t>
      </w:r>
    </w:p>
    <w:p>
      <w:pPr>
        <w:ind w:firstLine="640"/>
      </w:pPr>
    </w:p>
    <w:p>
      <w:pPr>
        <w:pStyle w:val="2"/>
      </w:pPr>
      <w:bookmarkStart w:id="39" w:name="_Toc116066002"/>
      <w:bookmarkStart w:id="40" w:name="_Toc92197955"/>
      <w:r>
        <w:rPr>
          <w:rFonts w:hint="eastAsia"/>
        </w:rPr>
        <w:t>第六章 推动城市治理体系和治理能力现代化</w:t>
      </w:r>
      <w:bookmarkEnd w:id="39"/>
      <w:bookmarkEnd w:id="40"/>
    </w:p>
    <w:p>
      <w:pPr>
        <w:ind w:firstLine="640"/>
        <w:rPr>
          <w:lang w:val="zh-CN"/>
        </w:rPr>
      </w:pPr>
      <w:r>
        <w:rPr>
          <w:rFonts w:hint="eastAsia"/>
          <w:lang w:val="zh-CN"/>
        </w:rPr>
        <w:t>树立全周期管理意识，</w:t>
      </w:r>
      <w:r>
        <w:t>推动政府向服务型转变、治理方式向精细化转型、配套资源向街道社区下沉，不断提升城市治理科学化精细化智慧化水平，</w:t>
      </w:r>
      <w:r>
        <w:rPr>
          <w:rFonts w:hint="eastAsia"/>
          <w:lang w:val="zh-CN"/>
        </w:rPr>
        <w:t>推动城市治理体系和治理能力现代化。</w:t>
      </w:r>
    </w:p>
    <w:p>
      <w:pPr>
        <w:pStyle w:val="3"/>
        <w:spacing w:before="217" w:after="217"/>
      </w:pPr>
      <w:bookmarkStart w:id="41" w:name="_Toc116066003"/>
      <w:r>
        <w:rPr>
          <w:rFonts w:hint="eastAsia"/>
        </w:rPr>
        <w:t>第一节 优化城市空间治理</w:t>
      </w:r>
      <w:bookmarkEnd w:id="41"/>
    </w:p>
    <w:p>
      <w:pPr>
        <w:ind w:firstLine="640"/>
      </w:pPr>
      <w:r>
        <w:rPr>
          <w:rFonts w:hint="eastAsia"/>
        </w:rPr>
        <w:t>以精明增长和紧凑城市理念为指导，强化规划在城市空间治理中的引领约束作用，合理安排城市功能布局，加强空间秩序管控，推动城市发展由外延扩张式向内涵提升式转变。</w:t>
      </w:r>
    </w:p>
    <w:p>
      <w:pPr>
        <w:ind w:firstLine="643"/>
      </w:pPr>
      <w:r>
        <w:rPr>
          <w:rFonts w:hint="eastAsia"/>
          <w:b/>
          <w:bCs/>
        </w:rPr>
        <w:t>提升城市规划水平。</w:t>
      </w:r>
      <w:r>
        <w:rPr>
          <w:rFonts w:hint="eastAsia"/>
        </w:rPr>
        <w:t>引导县（市、区）级国土空间规划全面落实发展规划明确的空间战略格局、空间结构优化方向以及重大生产力布局安排，为城市重大基础设施建设、新兴产业发展提供空间保障。</w:t>
      </w:r>
      <w:bookmarkStart w:id="42" w:name="_Hlk114132019"/>
      <w:r>
        <w:rPr>
          <w:rFonts w:hint="eastAsia"/>
        </w:rPr>
        <w:t>创新国土空间规划理念，</w:t>
      </w:r>
      <w:bookmarkEnd w:id="42"/>
      <w:r>
        <w:rPr>
          <w:rFonts w:hint="eastAsia"/>
        </w:rPr>
        <w:t>把以人为本、产城融合、绿色低碳、安全健康、人文传承等理念融入城市规划全过程。根据</w:t>
      </w:r>
      <w:bookmarkStart w:id="43" w:name="_Hlk114132031"/>
      <w:r>
        <w:rPr>
          <w:rFonts w:hint="eastAsia"/>
        </w:rPr>
        <w:t>资源环境承载能力和国土空间开发适宜性评价</w:t>
      </w:r>
      <w:bookmarkEnd w:id="43"/>
      <w:r>
        <w:rPr>
          <w:rFonts w:hint="eastAsia"/>
        </w:rPr>
        <w:t>，统筹划定“三区三线”，综合考虑人口变动和产业发展趋势，合理确定城市目标定位、规模体量、产业结构和功能板块，前瞻布局未来生产生活生态空间。建立国土空间规划定期体检评估制度。</w:t>
      </w:r>
      <w:bookmarkStart w:id="44" w:name="_Hlk114132051"/>
      <w:r>
        <w:rPr>
          <w:rFonts w:hint="eastAsia"/>
        </w:rPr>
        <w:t>合理增加规划弹性，科学合理划定城市战略“留白”用地</w:t>
      </w:r>
      <w:bookmarkEnd w:id="44"/>
      <w:r>
        <w:rPr>
          <w:rFonts w:hint="eastAsia"/>
        </w:rPr>
        <w:t>，强化城乡建设用地范围内的重点功能区及周边拓展地区、城市发展重要节点等区域用地储备，为重大项目、城市公共服务设施预留未来发展空间。</w:t>
      </w:r>
    </w:p>
    <w:p>
      <w:pPr>
        <w:ind w:firstLine="643"/>
      </w:pPr>
      <w:r>
        <w:rPr>
          <w:rFonts w:hint="eastAsia"/>
          <w:b/>
          <w:bCs/>
        </w:rPr>
        <w:t>优化城市功能布局和空间结构。</w:t>
      </w:r>
      <w:bookmarkStart w:id="45" w:name="_Hlk114132073"/>
      <w:r>
        <w:rPr>
          <w:rFonts w:hint="eastAsia"/>
        </w:rPr>
        <w:t>加强城市空间开发保护的底线管控，</w:t>
      </w:r>
      <w:bookmarkEnd w:id="45"/>
      <w:r>
        <w:rPr>
          <w:rFonts w:hint="eastAsia"/>
        </w:rPr>
        <w:t>统筹划定并严格落实生态保护红线、永久基本农田、城镇开发边界，</w:t>
      </w:r>
      <w:bookmarkStart w:id="46" w:name="_Hlk114132078"/>
      <w:r>
        <w:rPr>
          <w:rFonts w:hint="eastAsia"/>
        </w:rPr>
        <w:t>防止“摊大饼”式扩张</w:t>
      </w:r>
      <w:bookmarkEnd w:id="46"/>
      <w:r>
        <w:rPr>
          <w:rFonts w:hint="eastAsia"/>
        </w:rPr>
        <w:t>。</w:t>
      </w:r>
      <w:bookmarkStart w:id="47" w:name="_Hlk114132099"/>
      <w:r>
        <w:rPr>
          <w:rFonts w:hint="eastAsia"/>
        </w:rPr>
        <w:t>统筹老城新城、生产生活生态、地上地下等空间开发利用，优化各类功能布局与城市用地结构</w:t>
      </w:r>
      <w:bookmarkEnd w:id="47"/>
      <w:r>
        <w:rPr>
          <w:rFonts w:hint="eastAsia"/>
        </w:rPr>
        <w:t>。强化存量空间更新指引，合理控制老城开发强度，增加口袋公园、街心绿地、慢行系统等公共空间。推动新城新区、各类产业园区与城市服务功能衔接嵌套，加快产、城、人、交通一体化发展，促进产城融合和职住平衡。建立健全城市地下空间开发利用协调机制，推动中央商务区、红海湾滨海新城、城区商业中心等片区空间分层、立体开发，</w:t>
      </w:r>
      <w:bookmarkStart w:id="48" w:name="_Hlk114132165"/>
      <w:r>
        <w:rPr>
          <w:rFonts w:hint="eastAsia"/>
        </w:rPr>
        <w:t>鼓励实行以公共交通为导向的开发（TOD）等模式</w:t>
      </w:r>
      <w:bookmarkEnd w:id="48"/>
      <w:r>
        <w:rPr>
          <w:rFonts w:hint="eastAsia"/>
        </w:rPr>
        <w:t>，加强轨道交通站点地上地下空间统筹规划、复合利用，适度提高轨道交通站点与周边土地开发强度。</w:t>
      </w:r>
    </w:p>
    <w:p>
      <w:pPr>
        <w:ind w:firstLine="643"/>
      </w:pPr>
      <w:r>
        <w:rPr>
          <w:rFonts w:hint="eastAsia"/>
          <w:b/>
          <w:bCs/>
        </w:rPr>
        <w:t>促进城镇建设用地集约高效利用。</w:t>
      </w:r>
      <w:r>
        <w:rPr>
          <w:rFonts w:hint="eastAsia"/>
        </w:rPr>
        <w:t>坚持底线约束、内涵发展，</w:t>
      </w:r>
      <w:bookmarkStart w:id="49" w:name="_Hlk114132198"/>
      <w:r>
        <w:rPr>
          <w:rFonts w:hint="eastAsia"/>
        </w:rPr>
        <w:t>合理确定城市总体开发强度</w:t>
      </w:r>
      <w:bookmarkEnd w:id="49"/>
      <w:r>
        <w:rPr>
          <w:rFonts w:hint="eastAsia"/>
        </w:rPr>
        <w:t>。</w:t>
      </w:r>
      <w:bookmarkStart w:id="50" w:name="_Hlk114132204"/>
      <w:r>
        <w:rPr>
          <w:rFonts w:hint="eastAsia"/>
        </w:rPr>
        <w:t>推行用地总量和强度“双控”措施</w:t>
      </w:r>
      <w:bookmarkEnd w:id="50"/>
      <w:r>
        <w:rPr>
          <w:rFonts w:hint="eastAsia"/>
        </w:rPr>
        <w:t>，健全“人地挂钩”“增违挂钩”“增存挂钩”的新增建设用地指标分配机制。</w:t>
      </w:r>
      <w:bookmarkStart w:id="51" w:name="_Hlk114132217"/>
      <w:r>
        <w:rPr>
          <w:rFonts w:hint="eastAsia"/>
        </w:rPr>
        <w:t>推动城镇增量空间精准投放</w:t>
      </w:r>
      <w:bookmarkEnd w:id="51"/>
      <w:r>
        <w:rPr>
          <w:rFonts w:hint="eastAsia"/>
        </w:rPr>
        <w:t>，重点保障新型城镇化基础设施、产业和民生项目用地需求。</w:t>
      </w:r>
      <w:bookmarkStart w:id="52" w:name="_Hlk114132227"/>
      <w:r>
        <w:rPr>
          <w:rFonts w:hint="eastAsia"/>
        </w:rPr>
        <w:t>盘活利用存量建设用地</w:t>
      </w:r>
      <w:bookmarkEnd w:id="52"/>
      <w:r>
        <w:rPr>
          <w:rFonts w:hint="eastAsia"/>
        </w:rPr>
        <w:t>，健全城镇低效用地再开发激励约束机制，充分运用市场机制推动存量建设用地高效利用。</w:t>
      </w:r>
      <w:bookmarkStart w:id="53" w:name="_Hlk114132238"/>
      <w:r>
        <w:rPr>
          <w:rFonts w:hint="eastAsia"/>
        </w:rPr>
        <w:t>建立工业用地产出效率激励机制</w:t>
      </w:r>
      <w:bookmarkEnd w:id="53"/>
      <w:r>
        <w:rPr>
          <w:rFonts w:hint="eastAsia"/>
        </w:rPr>
        <w:t>，提升工业用地容积率，健全长期租赁、先租后让、弹性年期供应、作价出资（入股）等工业用地市场供应体系，加快推动建设用地使用权二级市场建设。积极推广节地型、紧凑型高效开发模式，推动土地复合开发利用、用途合理转换，探索与土地产出强度相挂钩的激励政策。</w:t>
      </w:r>
    </w:p>
    <w:p>
      <w:pPr>
        <w:ind w:firstLine="643"/>
      </w:pPr>
      <w:bookmarkStart w:id="54" w:name="_Hlk114132330"/>
      <w:r>
        <w:rPr>
          <w:rFonts w:hint="eastAsia"/>
          <w:b/>
          <w:bCs/>
        </w:rPr>
        <w:t>提升城市设计水平。</w:t>
      </w:r>
      <w:r>
        <w:rPr>
          <w:rFonts w:hint="eastAsia"/>
        </w:rPr>
        <w:t>建立城市设计与国土空间规划相衔接的管理机制，将城市设计要求贯穿到城市规划建设全过程。加强城市设计对城市开敞空间系统、重要廊道和节点、天际轮廓线等空间秩序的控制引导，增强城市的空间立体性、平面协调性、风貌整体性、文脉延续性。注重老城区更新中的历史保护与文化传承，多措并举促进历史文化遗产保护利用，鼓励城市更新项目延续传统格局和历史风貌，加强城市街景、开放空间、街头边角、景观小品、标识系统等精细化设计。增强对品清湖北岸等城市新建设区域中城市色彩、建筑形态等的引导管控，</w:t>
      </w:r>
      <w:bookmarkStart w:id="55" w:name="_Hlk114132309"/>
      <w:r>
        <w:rPr>
          <w:rFonts w:hint="eastAsia"/>
        </w:rPr>
        <w:t>提高标志性构筑物外观审美标准</w:t>
      </w:r>
      <w:bookmarkEnd w:id="55"/>
      <w:r>
        <w:rPr>
          <w:rFonts w:hint="eastAsia"/>
        </w:rPr>
        <w:t>，打造更多市容市貌的特点、亮点和精品，彰显汕尾文化特色和建筑风格。</w:t>
      </w:r>
      <w:bookmarkStart w:id="56" w:name="_Hlk114132324"/>
      <w:r>
        <w:rPr>
          <w:rFonts w:hint="eastAsia"/>
        </w:rPr>
        <w:t>系统推进“三山两湖两海湾”等重点片区城市设计，</w:t>
      </w:r>
      <w:bookmarkEnd w:id="56"/>
      <w:r>
        <w:rPr>
          <w:rFonts w:hint="eastAsia"/>
        </w:rPr>
        <w:t>严格控制高层建筑，重塑生活岸线空间，打造具有海洋特色的滨海沿岸景观风貌。</w:t>
      </w:r>
      <w:bookmarkEnd w:id="54"/>
    </w:p>
    <w:p>
      <w:pPr>
        <w:pStyle w:val="3"/>
        <w:spacing w:before="217" w:after="217"/>
      </w:pPr>
      <w:bookmarkStart w:id="57" w:name="_Toc116066004"/>
      <w:r>
        <w:rPr>
          <w:rFonts w:hint="eastAsia"/>
        </w:rPr>
        <w:t>第二节 创新完善社会治理体系</w:t>
      </w:r>
      <w:bookmarkEnd w:id="57"/>
    </w:p>
    <w:p>
      <w:pPr>
        <w:ind w:firstLine="640"/>
        <w:rPr>
          <w:rFonts w:hint="eastAsia"/>
        </w:rPr>
      </w:pPr>
      <w:bookmarkStart w:id="58" w:name="_Hlk116065013"/>
      <w:r>
        <w:rPr>
          <w:rFonts w:hint="eastAsia"/>
        </w:rPr>
        <w:t>坚持党建引领基层治理，持续推动城市治理服务重心和配套资源向基层下移，提高城市服务与社会治理水平，加强社会治安防控体系建设，维护城市社会稳定和安全</w:t>
      </w:r>
      <w:bookmarkEnd w:id="58"/>
      <w:r>
        <w:rPr>
          <w:rFonts w:hint="eastAsia"/>
        </w:rPr>
        <w:t>。</w:t>
      </w:r>
    </w:p>
    <w:p>
      <w:pPr>
        <w:ind w:firstLine="643"/>
      </w:pPr>
      <w:r>
        <w:rPr>
          <w:rFonts w:hint="eastAsia"/>
          <w:b/>
          <w:bCs/>
        </w:rPr>
        <w:t>健全基层社会治理机制。</w:t>
      </w:r>
      <w:r>
        <w:rPr>
          <w:rFonts w:hint="eastAsia"/>
        </w:rPr>
        <w:t>强化党建引领基层治理，持续深化基层党组织“头雁”工程，选优配强基层党组织书记。明确基层治理权责边界，制定县（市、区）职能部门、乡镇（街道）、基层群众性自治组织在村（社区）治理方面的权责清单，厘清各级政府及其部门与基层群众性自治组织履行职责时需要行使的具体行政职权、事前事中事后的管理责任。畅通居民参与社会治理渠道，依托村委会、居民委员会与居民“面对面”交流、“点对点”调研，建立基层立法联络站、村（社区）议事厅和议事团，科学设立居民意见征集信箱，广泛征求居民意见建议及诉求。鼓励社会组织参与社会治理，大力培育发展村（社区）社会组织，重点培育发展道德评议会、红白理事会、村民议事会、禁毒禁赌会等乡风文明和经济发展类社会组织，引导其在提供村（社区）服务、培育村（社区）文化、促进村（社区）和谐等方面发挥积极作用。推动“红色物业联盟”建设，凝聚社区党组织、物业企业、居民委员会、业主委员会与各类社会组织，强化红色引领，将党建优势转化为服务优势，赋能基层治理。</w:t>
      </w:r>
    </w:p>
    <w:p>
      <w:pPr>
        <w:ind w:firstLine="643"/>
        <w:rPr>
          <w:b/>
          <w:bCs/>
        </w:rPr>
      </w:pPr>
      <w:r>
        <w:rPr>
          <w:rFonts w:hint="eastAsia"/>
          <w:b/>
          <w:bCs/>
        </w:rPr>
        <w:t>强化社区服务供给效能。</w:t>
      </w:r>
      <w:r>
        <w:rPr>
          <w:rFonts w:hint="eastAsia"/>
        </w:rPr>
        <w:t>培育壮大社区专业人才队伍，探索配备社区律师、社区心理咨询师、社区矛盾调解师等，推行大学生社工计划，引导汕尾高校毕业生到社区就业创业，建立汕尾社区工作者职业体系。大力鼓励支持在汕尾居留工作的高层次人才，行业、协会、企业代表，学者及海外侨胞等积极参与社区治理，为汕尾社会治理提供智力支持。建设完善社区党群服务中心、综治工作站等社区综合服务设施，依托其强化就业、养老、医疗、托幼、娱乐等服务供给，重点做好对困难群体和特殊群体的关爱照护，并做好传染病、慢性病防控和儿童老人保健等工作，探索将其打造为集综合受理、居家养老、议事协商、文教娱乐等功能于一体的城乡社区服务综合体，满足居民多样化生活需求。</w:t>
      </w:r>
    </w:p>
    <w:p>
      <w:pPr>
        <w:ind w:firstLine="643"/>
      </w:pPr>
      <w:r>
        <w:rPr>
          <w:rFonts w:hint="eastAsia"/>
          <w:b/>
          <w:bCs/>
        </w:rPr>
        <w:t>健全社会矛盾综合治理机制。</w:t>
      </w:r>
      <w:r>
        <w:rPr>
          <w:rFonts w:hint="eastAsia"/>
        </w:rPr>
        <w:t>坚持创新发展新时代“枫桥经验”，建立健全源头防控、排查梳理、纠纷化解、应急处置的社会矛盾综合治理机制，完善基层调委会、“两代表一委员”等参与的多元矛盾化解机制与纠纷调解机制，发动和依靠人民群众，争取做到“小事不出村、大事不出镇”。深化“阳光信访”“四门四访”等信访制度和联调联动工作机制，统筹推进市县镇村四级信访服务中心建设，提高相关人员信访工作能力，及时高效就地解决群众合理诉求，促进社会安全稳定和谐。健全社会心理服务体系和危机干预机制，推动构建市县镇村四级社会心理服务平台，加强对社会各类职业人群的心理疏导及青少年人群、留守儿童、空巢老人、社会流动人群、社会闲散人员等特殊弱势群体的心理服务，从源头预防和减少极端心理危机事件的发生，培育积极向上的社会心态。</w:t>
      </w:r>
    </w:p>
    <w:p>
      <w:pPr>
        <w:ind w:firstLine="643"/>
        <w:rPr>
          <w:b/>
          <w:bCs/>
        </w:rPr>
      </w:pPr>
      <w:r>
        <w:rPr>
          <w:rFonts w:hint="eastAsia"/>
          <w:b/>
          <w:bCs/>
        </w:rPr>
        <w:t>打造立体化社会治安防控体系。</w:t>
      </w:r>
      <w:r>
        <w:rPr>
          <w:rFonts w:hint="eastAsia"/>
        </w:rPr>
        <w:t>积极建设应用“粤平安”社会治理云平台等信息化系统，依托大数据、5</w:t>
      </w:r>
      <w:r>
        <w:t>G</w:t>
      </w:r>
      <w:r>
        <w:rPr>
          <w:rFonts w:hint="eastAsia"/>
        </w:rPr>
        <w:t>等技术建立跨区域、跨部门的一体化信息系统和综合指挥平台。大力推进“城市睿眼”工程建设，加强对人员密集重点场所、公共交通工具的公共安全视频监控系统智能应用，加大安全员和安保设施配备力度，织密织牢汕尾社会治安防控网络。持续推进智慧党建、智慧法院、智慧公安、智慧城管、智慧消防、智慧民政、智慧应急等社会治理平台建设，加强系统集成、数据融合和网络安全保障，提高全市应急管理能力和社会治安综合治理水平。积极创建“全国禁毒示范城市”，促进社会和谐稳定。</w:t>
      </w:r>
    </w:p>
    <w:p>
      <w:pPr>
        <w:pStyle w:val="3"/>
        <w:spacing w:before="217" w:after="217"/>
      </w:pPr>
      <w:bookmarkStart w:id="59" w:name="_Toc116066005"/>
      <w:r>
        <w:rPr>
          <w:rFonts w:hint="eastAsia"/>
        </w:rPr>
        <w:t>第三节</w:t>
      </w:r>
      <w:r>
        <w:t xml:space="preserve"> </w:t>
      </w:r>
      <w:r>
        <w:rPr>
          <w:rFonts w:hint="eastAsia"/>
        </w:rPr>
        <w:t>提升行政管理效能</w:t>
      </w:r>
      <w:bookmarkEnd w:id="59"/>
    </w:p>
    <w:p>
      <w:pPr>
        <w:ind w:firstLine="640"/>
      </w:pPr>
      <w:r>
        <w:rPr>
          <w:rFonts w:hint="eastAsia"/>
        </w:rPr>
        <w:t>有序推进行政管理体制改革，提升数字政府建设水平，提高城市政府行政管理效能和空间治理效率。</w:t>
      </w:r>
    </w:p>
    <w:p>
      <w:pPr>
        <w:ind w:firstLine="643"/>
        <w:rPr>
          <w:b/>
          <w:bCs/>
        </w:rPr>
      </w:pPr>
      <w:r>
        <w:rPr>
          <w:rFonts w:hint="eastAsia"/>
          <w:b/>
          <w:bCs/>
        </w:rPr>
        <w:t>优化行政资源配置优化。</w:t>
      </w:r>
      <w:r>
        <w:rPr>
          <w:rFonts w:hint="eastAsia"/>
        </w:rPr>
        <w:t>科学配备、动态调整人员编制，优先满足贴近群众生产生活的社会管理、公共服务等领域用编需求，提高编制资源使用效益。</w:t>
      </w:r>
      <w:bookmarkStart w:id="60" w:name="_Hlk114132371"/>
      <w:r>
        <w:rPr>
          <w:rFonts w:hint="eastAsia"/>
        </w:rPr>
        <w:t>健全城市管理综合执法机制</w:t>
      </w:r>
      <w:bookmarkEnd w:id="60"/>
      <w:r>
        <w:rPr>
          <w:rFonts w:hint="eastAsia"/>
        </w:rPr>
        <w:t>，强化城市管理、自然资源、生态环境、交通管理、市场监管等部门协同，明确执法权责和行为规范，提升执法人员素质和文明执法、规范执法水平。</w:t>
      </w:r>
      <w:bookmarkStart w:id="61" w:name="_Hlk114132395"/>
      <w:r>
        <w:rPr>
          <w:rFonts w:hint="eastAsia"/>
        </w:rPr>
        <w:t>深化经济发达镇、中心镇行政管理体制改革</w:t>
      </w:r>
      <w:bookmarkEnd w:id="61"/>
      <w:r>
        <w:rPr>
          <w:rFonts w:hint="eastAsia"/>
        </w:rPr>
        <w:t>，依法将点多面广、基层管理迫切需要且能有效承接的县级经济社会管理权限下放或委托镇一级行使。依法赋予街道综合管理权，因地制宜依法赋予街道行政执法权。</w:t>
      </w:r>
    </w:p>
    <w:p>
      <w:pPr>
        <w:ind w:firstLine="643"/>
      </w:pPr>
      <w:r>
        <w:rPr>
          <w:rFonts w:hint="eastAsia"/>
          <w:b/>
          <w:bCs/>
        </w:rPr>
        <w:t>加快数字政府建设</w:t>
      </w:r>
      <w:bookmarkStart w:id="62" w:name="_Hlk114132412"/>
      <w:r>
        <w:rPr>
          <w:rFonts w:hint="eastAsia"/>
          <w:b/>
          <w:bCs/>
        </w:rPr>
        <w:t>。</w:t>
      </w:r>
      <w:r>
        <w:rPr>
          <w:rFonts w:hint="eastAsia"/>
        </w:rPr>
        <w:t>将数字技术广泛应用于城市政府管理服务，完</w:t>
      </w:r>
      <w:bookmarkEnd w:id="62"/>
      <w:r>
        <w:rPr>
          <w:rFonts w:hint="eastAsia"/>
        </w:rPr>
        <w:t>善市政务云平台建设，强化电子政务网络，健全政务信息化项目清单</w:t>
      </w:r>
      <w:bookmarkStart w:id="63" w:name="_Hlk114132426"/>
      <w:r>
        <w:rPr>
          <w:rFonts w:hint="eastAsia"/>
        </w:rPr>
        <w:t>，推进政务信息系统统一信任体系建设。</w:t>
      </w:r>
      <w:bookmarkEnd w:id="63"/>
      <w:bookmarkStart w:id="64" w:name="_Hlk114132472"/>
      <w:r>
        <w:rPr>
          <w:rFonts w:hint="eastAsia"/>
        </w:rPr>
        <w:t>深入开展“互联网+政务服务”，</w:t>
      </w:r>
      <w:bookmarkEnd w:id="64"/>
      <w:r>
        <w:rPr>
          <w:rFonts w:hint="eastAsia"/>
        </w:rPr>
        <w:t>依托广东政务服务网、“粤省事”“粤政易”“粤商通”等政务服务平台，全面推进“高效办成一件事”服务模式，打造线上线下融合互通、便捷高效的</w:t>
      </w:r>
      <w:bookmarkStart w:id="65" w:name="_Hlk114132528"/>
      <w:r>
        <w:rPr>
          <w:rFonts w:hint="eastAsia"/>
        </w:rPr>
        <w:t>一体化政务服务体系</w:t>
      </w:r>
      <w:bookmarkEnd w:id="65"/>
      <w:r>
        <w:rPr>
          <w:rFonts w:hint="eastAsia"/>
        </w:rPr>
        <w:t>，实现审批更简、监管更强、服务更优。推进本地高频政务服务事项持续上线“善美村居”，加快“善美村居”与“粤省事</w:t>
      </w:r>
      <w:r>
        <w:t>·</w:t>
      </w:r>
      <w:r>
        <w:rPr>
          <w:rFonts w:hint="eastAsia"/>
        </w:rPr>
        <w:t>汕尾版”衔接融合，</w:t>
      </w:r>
      <w:bookmarkStart w:id="66" w:name="_Hlk114132489"/>
      <w:r>
        <w:rPr>
          <w:rFonts w:hint="eastAsia"/>
        </w:rPr>
        <w:t>做好“粤系列”产品本地化工作</w:t>
      </w:r>
      <w:bookmarkEnd w:id="66"/>
      <w:r>
        <w:rPr>
          <w:rFonts w:hint="eastAsia"/>
        </w:rPr>
        <w:t>。依托数字政府大平台、大系统，</w:t>
      </w:r>
      <w:bookmarkStart w:id="67" w:name="_Hlk114132560"/>
      <w:r>
        <w:rPr>
          <w:rFonts w:hint="eastAsia"/>
        </w:rPr>
        <w:t>构筑政务服务、民生服务、社会治理、市场治理、生态治理、行政协同等业务应用体系</w:t>
      </w:r>
      <w:bookmarkEnd w:id="67"/>
      <w:r>
        <w:rPr>
          <w:rFonts w:hint="eastAsia"/>
        </w:rPr>
        <w:t>，全面增强政府数字化、智能化、智慧化履职能力。建立以大数据为支撑的政府决策机制，</w:t>
      </w:r>
      <w:bookmarkStart w:id="68" w:name="_Hlk114132575"/>
      <w:r>
        <w:rPr>
          <w:rFonts w:hint="eastAsia"/>
        </w:rPr>
        <w:t>提高基于高频大数据精准动态监测预测预警水平</w:t>
      </w:r>
      <w:bookmarkEnd w:id="68"/>
      <w:r>
        <w:rPr>
          <w:rFonts w:hint="eastAsia"/>
        </w:rPr>
        <w:t>。</w:t>
      </w:r>
      <w:bookmarkStart w:id="69" w:name="_Hlk114132584"/>
      <w:r>
        <w:rPr>
          <w:rFonts w:hint="eastAsia"/>
        </w:rPr>
        <w:t>强化数字技术在突发公共事件应对中的运用，</w:t>
      </w:r>
      <w:bookmarkEnd w:id="69"/>
      <w:r>
        <w:rPr>
          <w:rFonts w:hint="eastAsia"/>
        </w:rPr>
        <w:t>全面提升预警和应急处置能力。</w:t>
      </w:r>
    </w:p>
    <w:p>
      <w:pPr>
        <w:pStyle w:val="3"/>
        <w:spacing w:before="217" w:after="217"/>
      </w:pPr>
      <w:bookmarkStart w:id="70" w:name="_Toc92197959"/>
      <w:bookmarkStart w:id="71" w:name="_Toc116066006"/>
      <w:r>
        <w:rPr>
          <w:rFonts w:hint="eastAsia"/>
        </w:rPr>
        <w:t>第四节</w:t>
      </w:r>
      <w:r>
        <w:t xml:space="preserve"> </w:t>
      </w:r>
      <w:r>
        <w:rPr>
          <w:rFonts w:hint="eastAsia"/>
        </w:rPr>
        <w:t>创新城市发展资金保障机制</w:t>
      </w:r>
      <w:bookmarkEnd w:id="70"/>
      <w:bookmarkEnd w:id="71"/>
    </w:p>
    <w:p>
      <w:pPr>
        <w:ind w:firstLine="640"/>
      </w:pPr>
      <w:r>
        <w:rPr>
          <w:rFonts w:hint="eastAsia"/>
        </w:rPr>
        <w:t>加快财税和投融资体制改革，建立与城市建设运营周期相匹配、稳健可持续的城市财务平衡体制机制，防范化解政府债务风险，增强城市可持续发展的资金保障能力。</w:t>
      </w:r>
    </w:p>
    <w:p>
      <w:pPr>
        <w:ind w:firstLine="643"/>
        <w:rPr>
          <w:b/>
          <w:bCs/>
        </w:rPr>
      </w:pPr>
      <w:r>
        <w:rPr>
          <w:rFonts w:hint="eastAsia"/>
          <w:b/>
          <w:bCs/>
        </w:rPr>
        <w:t>深化财税体制改革。</w:t>
      </w:r>
      <w:r>
        <w:rPr>
          <w:rFonts w:hint="eastAsia"/>
        </w:rPr>
        <w:t>优化汕尾市与下辖各县（市、区）财政事权和支出责任划分，建立权责清晰、财力协调、区域均衡的市县财政关系。充分发挥各县（市、区）积极性，增强基层公共服务保障能力。争取国家和省财政加大对汕尾市的转移支付力度，增强市辖区财政保障能力，推动城市品质提升和城区人口集聚。按照国家统一部署，健全地方税体系，调整完善地方税税制，落实各阶段减税降费政策，积极培育壮大地方税税源。健全税费征管体系，加强对重点税源、重点行业、重点企业的管理。</w:t>
      </w:r>
    </w:p>
    <w:p>
      <w:pPr>
        <w:ind w:firstLine="643"/>
        <w:rPr>
          <w:b/>
          <w:bCs/>
        </w:rPr>
      </w:pPr>
      <w:r>
        <w:rPr>
          <w:rFonts w:hint="eastAsia"/>
          <w:b/>
          <w:bCs/>
        </w:rPr>
        <w:t>构建多元可持续的城市建设投融资机制。</w:t>
      </w:r>
      <w:r>
        <w:rPr>
          <w:rFonts w:hint="eastAsia"/>
        </w:rPr>
        <w:t>统筹考虑项目属性和投资周期，科学组合公益性、准公益性、经营性项目，利用财政、金融、土地等政策工具，</w:t>
      </w:r>
      <w:bookmarkStart w:id="72" w:name="_Hlk114132666"/>
      <w:r>
        <w:rPr>
          <w:rFonts w:hint="eastAsia"/>
        </w:rPr>
        <w:t>探索项目综合收益平衡机制</w:t>
      </w:r>
      <w:bookmarkEnd w:id="72"/>
      <w:r>
        <w:rPr>
          <w:rFonts w:hint="eastAsia"/>
        </w:rPr>
        <w:t>。建立政银企对接长效机制，鼓励开发性、政策性和商业性金融机构在风险可控前提下增加中长期贷款投放规模，引导保险资金、社保基金等长期资金增加配置，支持符合条件的城市项目按程序申报地方政府新增债券需求，支持符合条件的企业通过发行债券、上市等多渠道筹资用于新型城镇化建设项目。做精做细农商行、村镇银行等县域小法人银行，壮大服务城镇化的金融组织体系。积极引导社会资本加大对城市基础设施建设的投资，推广政府和社会资本合作（P</w:t>
      </w:r>
      <w:r>
        <w:t>PP</w:t>
      </w:r>
      <w:r>
        <w:rPr>
          <w:rFonts w:hint="eastAsia"/>
        </w:rPr>
        <w:t>）模式，探索发行基础设施领域不动产投资信托基金（R</w:t>
      </w:r>
      <w:r>
        <w:t>EIT</w:t>
      </w:r>
      <w:r>
        <w:rPr>
          <w:rFonts w:hint="eastAsia"/>
        </w:rPr>
        <w:t>s）。做强做优做大市级国资集团公司，推动国有资本更多投向符合全市发展战略的基础设施、重点产业、公共服务等领域。</w:t>
      </w:r>
      <w:bookmarkStart w:id="73" w:name="_Hlk114132685"/>
      <w:r>
        <w:rPr>
          <w:rFonts w:hint="eastAsia"/>
        </w:rPr>
        <w:t>完善市政公用设施定价机制</w:t>
      </w:r>
      <w:bookmarkEnd w:id="73"/>
      <w:r>
        <w:rPr>
          <w:rFonts w:hint="eastAsia"/>
        </w:rPr>
        <w:t>，合理确定公用事业收费水平，鼓励实行阶梯式定价模式。</w:t>
      </w:r>
    </w:p>
    <w:p>
      <w:pPr>
        <w:ind w:firstLine="643"/>
        <w:rPr>
          <w:b/>
          <w:bCs/>
        </w:rPr>
      </w:pPr>
      <w:r>
        <w:rPr>
          <w:rFonts w:hint="eastAsia"/>
          <w:b/>
          <w:bCs/>
        </w:rPr>
        <w:t>强化政府财政预算和债务管理。</w:t>
      </w:r>
      <w:r>
        <w:rPr>
          <w:rFonts w:hint="eastAsia"/>
        </w:rPr>
        <w:t>深入推进预算管理制度改革，加强对预算编制的宏观指导和审查监督。全面实施政府预算约束和绩效管理，完善全覆盖的预算绩效管理体系，做好绩效目标管理和事前评审，充分发挥财政资金撬动作用，优化财政支出结构，提高财政资金使用效益。完善权责发生制政府综合财务报告制度，健全跨年度预算平衡机制，加强中期财政规划管理。规范完善政府举债融资机制，严格实施政府债务限额管理，强化财政承受能力论证，坚决防止因新型城镇化建设而新增隐性债务。建立健全债务常态化监控机制，将政府举债融资全面纳入预算管理。加大审计监督力度与追责问责力度，推动政府债务信息公开透明，建立合理规范的政府债务风险评估和预警机制。</w:t>
      </w:r>
    </w:p>
    <w:p>
      <w:pPr>
        <w:ind w:firstLine="640"/>
        <w:rPr>
          <w:lang w:val="zh-CN"/>
        </w:rPr>
      </w:pPr>
    </w:p>
    <w:p>
      <w:pPr>
        <w:pStyle w:val="2"/>
      </w:pPr>
      <w:bookmarkStart w:id="74" w:name="_Toc116066007"/>
      <w:bookmarkStart w:id="75" w:name="_Toc92197960"/>
      <w:r>
        <w:rPr>
          <w:rFonts w:hint="eastAsia"/>
        </w:rPr>
        <w:t>第七章 加快推进城乡融合发展</w:t>
      </w:r>
      <w:bookmarkEnd w:id="74"/>
    </w:p>
    <w:p>
      <w:pPr>
        <w:ind w:firstLine="640"/>
      </w:pPr>
      <w:r>
        <w:rPr>
          <w:rFonts w:hint="eastAsia"/>
        </w:rPr>
        <w:t>坚持农业农村优先发展，以协调推进乡村振兴战略和新型城镇化战略为抓手，坚持以工补农、以城带乡，促进城乡要素双向自由流动和公共资源合理配置，缩小城乡发展差距和居民生活水平差距，形成工农互促、城乡互补、协调发展、共同繁荣的新型工农城乡关系。</w:t>
      </w:r>
    </w:p>
    <w:p>
      <w:pPr>
        <w:pStyle w:val="3"/>
        <w:spacing w:before="217" w:after="217"/>
      </w:pPr>
      <w:bookmarkStart w:id="76" w:name="_Toc116066008"/>
      <w:r>
        <w:rPr>
          <w:rFonts w:hint="eastAsia"/>
        </w:rPr>
        <w:t>第一节</w:t>
      </w:r>
      <w:r>
        <w:t xml:space="preserve"> </w:t>
      </w:r>
      <w:r>
        <w:rPr>
          <w:rFonts w:hint="eastAsia"/>
        </w:rPr>
        <w:t>加快促进城乡要素双向融合</w:t>
      </w:r>
      <w:bookmarkEnd w:id="76"/>
    </w:p>
    <w:p>
      <w:pPr>
        <w:ind w:firstLine="640"/>
      </w:pPr>
      <w:r>
        <w:rPr>
          <w:rFonts w:hint="eastAsia"/>
        </w:rPr>
        <w:t>顺应城乡融合发展趋势，破除城乡二元格局，打通城乡要素自由流动的制度性通道，重塑城乡关系，推动人才、土地、资本等要素双向流动，形成良性循环，提高要素利用效率和经济社会运行效率。</w:t>
      </w:r>
    </w:p>
    <w:p>
      <w:pPr>
        <w:ind w:firstLine="643"/>
      </w:pPr>
      <w:r>
        <w:rPr>
          <w:rFonts w:hint="eastAsia"/>
          <w:b/>
          <w:bCs/>
        </w:rPr>
        <w:t>引导人才向乡村流动。</w:t>
      </w:r>
      <w:r>
        <w:rPr>
          <w:rFonts w:hint="eastAsia"/>
        </w:rPr>
        <w:t>制定财政、金融、社会保障、住房等支持政策，吸引各类人才返乡入乡创业兴业。鼓励企业家、专家学者、专业人才和机关事业单位离退休人员等参与乡村振兴，支持原籍普通高校和职业院校毕业生、外出农民工及经商人员回乡创业，鼓励各地制定人才加入乡村制度细则。加强农村专业人才队伍建设，探索通过岗编适度分离、挂职、兼职和在岗、离岗创新创业等多种方式，推动城市教科文卫体等人才定期服务乡村，推进职称评定、工资待遇、社会保障等政策向乡村教师、医生等基层一线倾斜，培养更多高素质乡土人才。推动科技人才下乡，深入推行科技特派员制度，鼓励科技特派员组团开展跨专业、跨领域、跨区域的全方位创业和技术服务，支持科技特派员以技术、资金、信息入股等形式，与农民合作社、家庭农场、农业企业等开展科技精准帮扶结对，引导科技成果向贫困乡村地区转移转化。引导和鼓励高校毕业生到农村基层工作，统筹实施大学生村官、“三支一扶”、山区计划等基层服务项目。</w:t>
      </w:r>
    </w:p>
    <w:p>
      <w:pPr>
        <w:ind w:firstLine="643"/>
        <w:rPr>
          <w:b/>
          <w:bCs/>
        </w:rPr>
      </w:pPr>
      <w:r>
        <w:rPr>
          <w:rFonts w:hint="eastAsia"/>
          <w:b/>
          <w:bCs/>
        </w:rPr>
        <w:t>推进农村土地制度改革。</w:t>
      </w:r>
      <w:r>
        <w:rPr>
          <w:rFonts w:hint="eastAsia"/>
        </w:rPr>
        <w:t>坚持农村土地集体所有，落实第二轮土地承包到期后再延长三十年政策。完善农村承包地“三权分置”制度，在依法保护集体所有权和农户承包权前提下，平等保护并进一步放活土地经营权。建立健全农村承包地经营权流转管理制度和服务体系，加大财政奖补力度，鼓励支持承包地向家庭农场、农民专业合作社、农业龙头企业等新型经营主体流转，建成一批产业特色、规模适度、管理规范、运作高效的农村承包土地经营权流转示范片，全面推动农村承包土地经营权规范有序流转。稳慎推进农村宅基地制度改革，推进房地一体宅基地使用权确权登记颁证，探索宅基地所有权、资格权、使用权分置实现形式。按照国家和省统一部署，推进农村集体经营性建设用地入市，允许农村集体在农民自愿前提下，依法将有偿收回的闲置宅基地、废弃的集体公益性建设用地转变为集体经营性建设用地入市。</w:t>
      </w:r>
    </w:p>
    <w:p>
      <w:pPr>
        <w:ind w:firstLine="643"/>
        <w:rPr>
          <w:b/>
          <w:bCs/>
        </w:rPr>
      </w:pPr>
      <w:r>
        <w:rPr>
          <w:rFonts w:hint="eastAsia"/>
          <w:b/>
          <w:bCs/>
        </w:rPr>
        <w:t>健全财政金融保障机制。</w:t>
      </w:r>
      <w:r>
        <w:rPr>
          <w:rFonts w:hint="eastAsia"/>
        </w:rPr>
        <w:t>加大财政资金投入，大力支持城乡融合发展平台及载体建设。落实中央调整完善土地出让收入使用管理规定，确保土地出让收益用于农业农村比例不低于50%。在债务风险可控前提下，统筹用好政府新增债券支持农村人居环境、城乡基础设施等重点领域和薄弱环节，重点扶持符合条件的成长性好、带动力强的城乡融合公益性项目。拓宽农村抵押物范围，依法合规开展农村集体经营性建设用地使用权、农民房屋财产权、集体林权、承包地经营权、土地收益保护等抵质押贷款业务，创新开展动产等抵押融资业务。健全农村金融风险缓释机制，加快完善“三农”融资担保体系。充分发挥好银行、农村信用社涉及农资金担保作用，强化担保融资增信功能。搭建政银企对接服务平台，推进农业信贷担保机构向县镇延伸，发展农业保险。</w:t>
      </w:r>
    </w:p>
    <w:p>
      <w:pPr>
        <w:ind w:firstLine="643"/>
      </w:pPr>
      <w:r>
        <w:rPr>
          <w:rFonts w:hint="eastAsia"/>
          <w:b/>
          <w:bCs/>
        </w:rPr>
        <w:t>促进工商资本入乡。</w:t>
      </w:r>
      <w:r>
        <w:rPr>
          <w:rFonts w:hint="eastAsia"/>
        </w:rPr>
        <w:t>打造法制化便利化的基层营商环境，探索工商资本与村集体合作共赢模式，支持引导工商资本投资适合产业化规模化集约化经营的农业领域，鼓励通过就业带动、股份合作等全产业链增值收益模式，发展壮大村级集体经济。实施工商资本租赁农户承包地分级备案制度，建立租赁农地风险保障金制度。支持社会资本通过现代农业产业园、农旅综合体、森林公园等载体，进入特色农产品开发，以及设施蔬菜、畜牧养殖等大宗农产品生产经营领域，通过政府购买服务等方式支持各类社会资本进入养老、卫生等乡村生活性服务业等领域。推动汕尾“百企帮百村”下乡行动向纵深发展，充分发挥各类企业市场主体优势，通过村企结对、村企共建等形式，开展乡村特色产业开发、消费帮扶协作等具有长期稳定的帮扶举措。</w:t>
      </w:r>
    </w:p>
    <w:p>
      <w:pPr>
        <w:pStyle w:val="3"/>
        <w:spacing w:before="217" w:after="217"/>
      </w:pPr>
      <w:bookmarkStart w:id="77" w:name="_Toc116066009"/>
      <w:r>
        <w:rPr>
          <w:rFonts w:hint="eastAsia"/>
        </w:rPr>
        <w:t>第二节</w:t>
      </w:r>
      <w:r>
        <w:t xml:space="preserve"> </w:t>
      </w:r>
      <w:r>
        <w:rPr>
          <w:rFonts w:hint="eastAsia"/>
        </w:rPr>
        <w:t>统筹城乡基本公共服务均衡配置</w:t>
      </w:r>
      <w:bookmarkEnd w:id="77"/>
    </w:p>
    <w:p>
      <w:pPr>
        <w:ind w:firstLine="640"/>
      </w:pPr>
      <w:r>
        <w:rPr>
          <w:rFonts w:hint="eastAsia"/>
        </w:rPr>
        <w:t>持续加强对乡村基本公共服务资源的供给投入，促进公共服务向农村延伸、社会事业及基础设施向农村覆盖，完善全民覆盖、普惠共享、城乡一体的基本公共服务体系。</w:t>
      </w:r>
    </w:p>
    <w:p>
      <w:pPr>
        <w:ind w:firstLine="643"/>
        <w:rPr>
          <w:b/>
          <w:bCs/>
        </w:rPr>
      </w:pPr>
      <w:r>
        <w:rPr>
          <w:rFonts w:hint="eastAsia"/>
          <w:b/>
          <w:bCs/>
        </w:rPr>
        <w:t>促进城乡教育资源均衡配置。</w:t>
      </w:r>
      <w:r>
        <w:rPr>
          <w:rFonts w:hint="eastAsia"/>
        </w:rPr>
        <w:t>建立以城带乡、整体推进、城乡一体、均衡发展的义务教育发展机制。加大城乡师资科学配置力度，推动教师资源向乡村学校、城镇薄弱学校倾斜，全面深化中小学教师“县管校聘”管理改革，探索义务教育阶段教师校内-学区-县域“三级竞聘”制度，实行各县（市、区）内及跨县（市、区）名校长名师交流轮岗，全面提升乡村师资水平。加快发展城乡教育联合体，鼓励城乡学校开展“学校联盟”，通过组团式教育结对帮扶、定期交流等方式，推进跨层级、跨县域的优质教育资源流动共享。推动教育信息化发展，用好“粤教翔云”等教育公共资源服务平台，通过开设同步课堂、远程专递课堂、教师网络研修、名师网络课堂等，实现优质数字教育资源城乡共享。优化市域城乡学校空间布局，改善农村薄弱学校基本办学条件，加快推进乡村小规模学校和乡镇寄宿制学校建设。</w:t>
      </w:r>
    </w:p>
    <w:p>
      <w:pPr>
        <w:ind w:firstLine="643"/>
        <w:rPr>
          <w:b/>
          <w:bCs/>
        </w:rPr>
      </w:pPr>
      <w:r>
        <w:rPr>
          <w:rFonts w:hint="eastAsia"/>
          <w:b/>
          <w:bCs/>
        </w:rPr>
        <w:t>统筹城乡医疗卫生服务体系建设。</w:t>
      </w:r>
      <w:r>
        <w:rPr>
          <w:rFonts w:hint="eastAsia"/>
        </w:rPr>
        <w:t>按照“一街道一中心、一镇一院、一村一站”的原则优化基层医疗卫生机构合理布局，实行医疗资源梯度配置，对人口密集、服务半径较大的地区可适当增设基层医疗卫生机构。支持市域三甲医院与县级医院建立对口帮扶、巡回医疗和远程医疗机制，引导远程医疗服务向乡镇卫生院和村卫生站延伸。推进县级医院与乡镇卫生院、</w:t>
      </w:r>
      <w:bookmarkStart w:id="78" w:name="_Hlk114218717"/>
      <w:r>
        <w:rPr>
          <w:rFonts w:hint="eastAsia"/>
        </w:rPr>
        <w:t>村卫生站</w:t>
      </w:r>
      <w:bookmarkEnd w:id="78"/>
      <w:r>
        <w:rPr>
          <w:rFonts w:hint="eastAsia"/>
        </w:rPr>
        <w:t>等组建紧密型县域医共体，形成以中心村卫生站为主体、一般村卫生站和村卫生站服务点为补充的村级医疗卫生服务体系，落实提供县域医共体牵头机构（总医院）专家下沉基层的配备设施保障。加强镇村两级医疗卫生机构服务能力建设，推动基层医疗卫生机构提质增效和规范化，争取至2</w:t>
      </w:r>
      <w:r>
        <w:t>025</w:t>
      </w:r>
      <w:r>
        <w:rPr>
          <w:rFonts w:hint="eastAsia"/>
        </w:rPr>
        <w:t>年基层医疗卫生机构标准化1</w:t>
      </w:r>
      <w:r>
        <w:t>00%</w:t>
      </w:r>
      <w:r>
        <w:rPr>
          <w:rFonts w:hint="eastAsia"/>
        </w:rPr>
        <w:t>达标。筑牢基层公共卫生“网底”，强化疾病预防控制职能，加强基层预检分诊、发热门诊等场所标准化建设和应急防护物资储备、社区康复及健康管理等功能区域的建设。配齐配强基层医务人员队伍，积极推行“县招镇管村用”，完善医共体模式下人才引进留用机制，增加基层医务人员岗位吸引力，促进优质医疗卫生资源和医疗卫生人才下沉到基层。</w:t>
      </w:r>
    </w:p>
    <w:p>
      <w:pPr>
        <w:ind w:firstLine="643"/>
        <w:rPr>
          <w:b/>
          <w:bCs/>
        </w:rPr>
      </w:pPr>
      <w:r>
        <w:rPr>
          <w:rFonts w:hint="eastAsia"/>
          <w:b/>
          <w:bCs/>
        </w:rPr>
        <w:t>提升城乡公共文化服务供给能力。</w:t>
      </w:r>
      <w:r>
        <w:rPr>
          <w:rFonts w:hint="eastAsia"/>
        </w:rPr>
        <w:t>推进公共文化基础设施及城乡公共文化服务体系一体建设，推动市文化馆分馆、县级图书馆、乡镇综合文化站、农家书屋等公共文化设施建设及服务提升，鼓励社会力量参与公共文化服务体系建设，加快建成市县镇村四级公共文化设施网络。依托农村文化礼堂等定期举办公益性讲座、电影放映、文化展览、图书销售等公益性文化活动，开展为村民送戏曲等文艺演出。坚持城乡居民需求导向，推进“互联网+公共文化”服务，弥补公共文化设施时空局限，提高公共文化产品和服务的适用性、便捷性，提高基层公共文化服务效能，丰富居民文化体验形式，提升城乡居民文化获得感。</w:t>
      </w:r>
    </w:p>
    <w:p>
      <w:pPr>
        <w:ind w:firstLine="643"/>
        <w:rPr>
          <w:b/>
          <w:bCs/>
        </w:rPr>
      </w:pPr>
      <w:r>
        <w:rPr>
          <w:rFonts w:hint="eastAsia"/>
          <w:b/>
          <w:bCs/>
        </w:rPr>
        <w:t>完善城乡统一的社会保障体系。</w:t>
      </w:r>
      <w:r>
        <w:rPr>
          <w:rFonts w:hint="eastAsia"/>
        </w:rPr>
        <w:t>健全城乡统一的居民基本医疗保险制度、大病保险制度和基本养老保险制度。逐步提高居民基本医保和大病保险筹资标准，落实推进城乡居民基本养老保险待遇确定机制、基础养老金正常调整机制和统筹机制，增强市级财政对城乡居民基本养老保险支持力度。拓宽社会保险覆盖面，推行全民参保计划，推动中小微企业从业人员和广大农民工、灵活就业人员、新就业形态人员、未参保居民等群体，在就业地或户籍地参加职工基本养老保险和基本医疗保险。推进社会救助制度城乡统筹，完善最低生活保障、特殊困难群体救助供养制度，逐步提高特殊困难群体供养服务质量。加快推动乡村社会救助服务网络建设，健全农村留守儿童和妇女、老年人、残疾人关爱服务体系。加快居家社区养老服务发展，力争有条件的乡镇至少建有一所居家社区养老服务机构，探索“党建+颐养之家”等养老服务新模式，扩大养老服务供给。</w:t>
      </w:r>
    </w:p>
    <w:p>
      <w:pPr>
        <w:pStyle w:val="3"/>
        <w:spacing w:before="217" w:after="217"/>
      </w:pPr>
      <w:bookmarkStart w:id="79" w:name="_Toc116066010"/>
      <w:r>
        <w:rPr>
          <w:rFonts w:hint="eastAsia"/>
        </w:rPr>
        <w:t>第三节</w:t>
      </w:r>
      <w:r>
        <w:t xml:space="preserve"> </w:t>
      </w:r>
      <w:r>
        <w:rPr>
          <w:rFonts w:hint="eastAsia"/>
        </w:rPr>
        <w:t>推进城乡基础设施一体化发展</w:t>
      </w:r>
      <w:bookmarkEnd w:id="79"/>
    </w:p>
    <w:p>
      <w:pPr>
        <w:ind w:firstLine="656"/>
      </w:pPr>
      <w:r>
        <w:rPr>
          <w:rFonts w:hint="eastAsia"/>
          <w:spacing w:val="4"/>
        </w:rPr>
        <w:t>把公共基础设施建设重点放在乡村，坚持先建机制、后建工程，加快推动乡村基础设施建设提档升级，实现城乡基础设施统一规划、统一建设、统一管护。</w:t>
      </w:r>
    </w:p>
    <w:p>
      <w:pPr>
        <w:ind w:firstLine="643"/>
        <w:rPr>
          <w:b/>
          <w:bCs/>
        </w:rPr>
      </w:pPr>
      <w:r>
        <w:rPr>
          <w:rFonts w:hint="eastAsia"/>
          <w:b/>
          <w:bCs/>
        </w:rPr>
        <w:t>推进城乡基础设施一体化规划建设。</w:t>
      </w:r>
      <w:r>
        <w:rPr>
          <w:rFonts w:hint="eastAsia"/>
        </w:rPr>
        <w:t>衔接各类专项规划，合理确定城乡基础设施和重要市政公用设施用地位置、规模和建设标准，建立城乡统一的规划体系。明确乡村基础设施的公共产品定位，构建事权清晰、权责一致、市级统筹、县级负责的城乡基础设施一体化建设机制。以县（市、区）域为整体，统筹规划布局城乡道路、供水、污水和垃圾处理、电力、通讯、防灾、广播电视等设施，推动重要市政公用设施布局向城乡郊区乡村和规模较大中心镇延伸。畅通城乡交通运输连接，推动城区基本公共交通服务网络向周边地区延伸，推动实现城乡客运基本公共服务均等化。推动城乡路网一体化规划设计，深入推进“四好农村路”建设，加大农村资源路、产业路、旅游路建设力度，到2</w:t>
      </w:r>
      <w:r>
        <w:t>025</w:t>
      </w:r>
      <w:r>
        <w:rPr>
          <w:rFonts w:hint="eastAsia"/>
        </w:rPr>
        <w:t>年衔接高速公路、乡镇的农村公路达三级及以上的比例达到1</w:t>
      </w:r>
      <w:r>
        <w:t>00%</w:t>
      </w:r>
      <w:r>
        <w:rPr>
          <w:rFonts w:hint="eastAsia"/>
        </w:rPr>
        <w:t>。加快农村供水等乡村基础设施产权制度改革，逐步推进城乡供水一体化管理模式。实施新一轮农村电网升级改造，推动供气设施向农村延伸。扩大农村邮站覆盖面，健全城乡配送网络，完善县、镇、村物流网络节点体系和寄递物流体系。全面加强数字乡村建设，推动新型数字基础设施向乡村延伸，实现全市自然村主要出入口、重点公共区域安防监控全覆盖。</w:t>
      </w:r>
    </w:p>
    <w:p>
      <w:pPr>
        <w:ind w:firstLine="643"/>
      </w:pPr>
      <w:r>
        <w:rPr>
          <w:rFonts w:hint="eastAsia"/>
          <w:b/>
          <w:bCs/>
        </w:rPr>
        <w:t>推进城乡基础设施一体化管护。</w:t>
      </w:r>
      <w:r>
        <w:rPr>
          <w:rFonts w:hint="eastAsia"/>
        </w:rPr>
        <w:t>建立健全农村基础设施长效管护机制，推行项目建设与工程管护机制同步设计、同步建设、同步落实。通过统一管护机构、统一经费保障、统一标准制定等方式，将城市公共基础设施管护资源、模式和手段逐步向农村延伸。按照分级负责、分类施策的原则，明确管护主体、落实管护责任、保障管护经费。城乡道路等公益性农村基础设施的管护主体由各级政府组织，管护经费由各级财政予以保障，收益部门不足以弥补运行的准公益性农村基础设施，管护主体由各级主体明确，管护经费通过财政补贴、使用者付费、社会筹资等多渠道落实。积极推进以政府购买服务等方式引入专业化企业，</w:t>
      </w:r>
      <w:r>
        <w:rPr>
          <w:rFonts w:hint="eastAsia"/>
          <w:spacing w:val="4"/>
        </w:rPr>
        <w:t>采用市场化方式开展经营性设施建后管护，完善供电、通信、广播电视等使用者付费和产品定价机制，</w:t>
      </w:r>
      <w:r>
        <w:rPr>
          <w:rFonts w:hint="eastAsia"/>
        </w:rPr>
        <w:t>提高管护市场化程度。落实农村基础设施产权制度改革，全面开展乡村基础设施产权普查登记，由产权所有者建立管护制度和落实管护责任。</w:t>
      </w:r>
    </w:p>
    <w:p>
      <w:pPr>
        <w:pStyle w:val="3"/>
        <w:spacing w:before="217" w:after="217"/>
      </w:pPr>
      <w:bookmarkStart w:id="80" w:name="_Toc116066011"/>
      <w:r>
        <w:rPr>
          <w:rFonts w:hint="eastAsia"/>
        </w:rPr>
        <w:t>第四节 推进城乡产业协同发展</w:t>
      </w:r>
      <w:bookmarkEnd w:id="80"/>
    </w:p>
    <w:p>
      <w:pPr>
        <w:ind w:firstLine="640"/>
      </w:pPr>
      <w:r>
        <w:rPr>
          <w:rFonts w:hint="eastAsia"/>
        </w:rPr>
        <w:t>大力发展现代农业，积极培育发展乡村文化旅游等新业态新经济，搭建城乡产业协同发展平台，探索生态产品价值实现机制，实现乡村经济多元化和农业全产业链发展。</w:t>
      </w:r>
    </w:p>
    <w:p>
      <w:pPr>
        <w:ind w:firstLine="643"/>
      </w:pPr>
      <w:r>
        <w:rPr>
          <w:rFonts w:hint="eastAsia"/>
          <w:b/>
          <w:bCs/>
        </w:rPr>
        <w:t>构建城乡产业融合发展体系。</w:t>
      </w:r>
      <w:r>
        <w:rPr>
          <w:rFonts w:hint="eastAsia"/>
        </w:rPr>
        <w:t>培育乡村新产业新业态，促进农业产业链拓展延伸，采用“旅游+”、“生态+”等模式，推进农业与教育文化、康养旅游等产业的广度融合，发展观光休闲农业、科技示范农业、节庆会展农业、乡村旅游、民宿经济、健康养老等新业态，扶持建设共享农庄、田园综合体、高端休闲观光采摘园、高端民宿集聚区等城乡融合典型项目，促进农业与文化旅游业深度融合。积极探索农产品个性化定制服务、会展农业和农业众筹等新模式，鼓励发展农业生产租赁业务，促进农业增效、农民增收和农村繁荣。实施新型农业经营主体高质量发展行动，支持新型农业经营主体参与现代农业产业园、“一村一品、一镇一业”建设。改造提升县城电商公共服务中心和农村电商服务站点，推动农村经济与电子商务等现代信息产业融合发展。立足新型工业化、信息化、城镇化和农业现代化协同发展，促进城乡产业发展联动融合，推动工农、城乡之间的互促、互惠、互补、协调发展的新型工农城乡关系。</w:t>
      </w:r>
    </w:p>
    <w:p>
      <w:pPr>
        <w:ind w:firstLine="643"/>
        <w:rPr>
          <w:b/>
          <w:bCs/>
        </w:rPr>
      </w:pPr>
      <w:r>
        <w:rPr>
          <w:rFonts w:hint="eastAsia"/>
          <w:b/>
          <w:bCs/>
        </w:rPr>
        <w:t>搭建城乡产业协同发展平台。</w:t>
      </w:r>
      <w:r>
        <w:rPr>
          <w:rFonts w:hint="eastAsia"/>
        </w:rPr>
        <w:t>推进城乡要素跨界配置和产业有机融合，优化各类城乡协同发展平台，创建一批城乡融合典型项目。大力推进广东丝苗米跨县集群产业园（汕尾市）、城区晨洲蚝业产业园、海丰县莲花山茶产业园、陆丰市黄牛产业园等省级现代农业产业园建设，支持有条件的现代农业产业园申报国家级现代农业产业园，积极谋划新一轮省级现代农业产业园建设，申报虎</w:t>
      </w:r>
      <w:r>
        <w:rPr>
          <w:rFonts w:hint="eastAsia" w:ascii="微软雅黑" w:hAnsi="微软雅黑" w:eastAsia="微软雅黑" w:cs="微软雅黑"/>
        </w:rPr>
        <w:t>噉</w:t>
      </w:r>
      <w:r>
        <w:rPr>
          <w:rFonts w:hint="eastAsia" w:ascii="仿宋_GB2312" w:hAnsi="仿宋_GB2312" w:cs="仿宋_GB2312"/>
        </w:rPr>
        <w:t>金针菜等特色产业园</w:t>
      </w:r>
      <w:r>
        <w:rPr>
          <w:rFonts w:hint="eastAsia"/>
        </w:rPr>
        <w:t>。打造农产品加工园、商贸物流园等新型园区，鼓励工业园区发展农产品精深加工等产业，带动农村一二三产业融合发展。发展壮大家庭农场、农民专业合作社、农业龙头企业等新型农业经营主体，培育壮大农业的专业化市场化服务组织，开展以生产托管为主的农业生产社会化服务，促进小农户和现代农业发展有效衔接。完善小城镇联结城乡的功能，建设一批产业特色鲜明、产城人文融合、宜业宜居宜游的特色小城镇。</w:t>
      </w:r>
    </w:p>
    <w:p>
      <w:pPr>
        <w:ind w:firstLine="643"/>
        <w:rPr>
          <w:b/>
          <w:bCs/>
        </w:rPr>
      </w:pPr>
      <w:r>
        <w:rPr>
          <w:rFonts w:hint="eastAsia"/>
          <w:b/>
          <w:bCs/>
        </w:rPr>
        <w:t>建立乡村文化保护利用机制。</w:t>
      </w:r>
      <w:r>
        <w:rPr>
          <w:rFonts w:hint="eastAsia"/>
        </w:rPr>
        <w:t>实施乡村历史文化遗产保护传承工程，加强正字戏、西秦戏、白字戏、皮影戏和汕尾渔歌等非物质文化遗产活态传承。推动乡村优秀传统文化创造性转化、创新性发展，发扬光大农耕文化，发掘乡村传统节庆、赛事和农事节气，结合开渔节等因地制宜培育地方农业文化特色的节庆会展活动，激发汕尾农业文化活力。维护发展乡村文化生态，鼓励各县（市、区）深入挖掘当地乡村特色文化符号，盘活地方和民族特色文化资源，走乡村文化特殊化、差异化发展之路。引进培养并举壮大乡村文化人才队伍，重点挖掘本土非遗民俗文化传人、乡村文化能人、文艺爱好者等多方面人才，为乡村文化事业发展提供保障。鼓励乡村文化人才进行舞台艺术、美术、影视、文学等全领域创作，推出更多彰显海陆丰文化特色魅力的文艺精品。建立文物安全巡查制度，落实文物保护责任，积极争取上级资金加强历史文化建筑的保护和修复，展示汕尾地域文化风貌。</w:t>
      </w:r>
    </w:p>
    <w:p>
      <w:pPr>
        <w:pStyle w:val="3"/>
        <w:spacing w:before="217" w:after="217"/>
      </w:pPr>
      <w:bookmarkStart w:id="81" w:name="_Toc116066012"/>
      <w:r>
        <w:rPr>
          <w:rFonts w:hint="eastAsia"/>
        </w:rPr>
        <w:t>第五节</w:t>
      </w:r>
      <w:r>
        <w:t xml:space="preserve"> </w:t>
      </w:r>
      <w:r>
        <w:rPr>
          <w:rFonts w:hint="eastAsia"/>
        </w:rPr>
        <w:t>缩小城乡居民收入差距</w:t>
      </w:r>
      <w:bookmarkEnd w:id="81"/>
    </w:p>
    <w:p>
      <w:pPr>
        <w:ind w:firstLine="640"/>
      </w:pPr>
      <w:r>
        <w:rPr>
          <w:rFonts w:hint="eastAsia"/>
        </w:rPr>
        <w:t>在推进农业转移人口市民化、提高劳动生产率的同时，统筹拓展农民工资性收入、经营性收入、财产性收入、转移性收入渠道，促进农民收入持续稳定增长，巩固拓展脱贫攻坚成果与乡村振兴有效衔接，缩小城乡居民生活水平差距。</w:t>
      </w:r>
    </w:p>
    <w:p>
      <w:pPr>
        <w:ind w:firstLine="643"/>
        <w:rPr>
          <w:b/>
          <w:bCs/>
        </w:rPr>
      </w:pPr>
      <w:r>
        <w:rPr>
          <w:rFonts w:hint="eastAsia"/>
          <w:b/>
          <w:bCs/>
        </w:rPr>
        <w:t>拓宽农民增收渠道。</w:t>
      </w:r>
      <w:r>
        <w:rPr>
          <w:rFonts w:hint="eastAsia"/>
        </w:rPr>
        <w:t>加快完善城乡平等的就业制度，推动形成平等竞争、规范有序、城乡统一的劳动力市场，统筹推进农村劳动力转移就业和就地创业就业，促进农民工资性收入增长。促进小农户和现代农业发展有机衔接，推动农业提质增效转型升级，建立农产品优质优价正向激励机制，提高农民经营性收入。拓宽农民经营性收入渠道，培育家庭农场、专业合作社等新型农业经营主体与社会化服务组织，通过“订单收购+分红”“入股+保底收益+按股分红”等多种形式与农民构建利益联结机制，引导农户自愿以土地经营权等入股，通过利润返现、保底分红、股份合作等多种形式增加农户收入。构建农民财产性收入增长机制，深化农村集体产权制度改革，积极引导农村土地经营权流转，盘活农村闲置宅基地和农房资源，提升农民土地租金收入和宅基地房屋资产性收入。强化农民转移性收入保障，完善对农民直接补贴政策，健全生产者补贴制度，逐步扩大覆盖范围。</w:t>
      </w:r>
    </w:p>
    <w:p>
      <w:pPr>
        <w:ind w:firstLine="643"/>
        <w:rPr>
          <w:b/>
          <w:bCs/>
        </w:rPr>
      </w:pPr>
      <w:r>
        <w:rPr>
          <w:rFonts w:hint="eastAsia"/>
          <w:b/>
          <w:bCs/>
        </w:rPr>
        <w:t>持续巩固提升脱贫攻坚成果。</w:t>
      </w:r>
      <w:r>
        <w:rPr>
          <w:rFonts w:hint="eastAsia"/>
        </w:rPr>
        <w:t>落实“四个不摘”要求，维持现行帮扶政策、资金支持、帮扶力量总体稳定，健全巩固拓展脱贫攻坚成果同乡村振兴有效衔接的体制机制，确保共同富裕取得更为明显的实质性进展。推动预防性措施和事后精准帮扶相结合，完善防止返贫动态监测机制，加强对易返贫致贫人口的常态化监测预警；完善精准帮扶机制和兜底机制，巩固“两不愁三保障”成果，加强对脱贫所选择的各类嵌入式产业的关键环节项目的后续支持，增强巩固脱贫成果与内生发展能力。加强农村低收入人口监测，加大低收入人口就业扶持力度，拓展低收入群体稳定增收渠道，完善以最低生活保障为核心的社会救助政策。</w:t>
      </w:r>
    </w:p>
    <w:p>
      <w:pPr>
        <w:ind w:firstLine="640"/>
      </w:pPr>
    </w:p>
    <w:bookmarkEnd w:id="75"/>
    <w:p>
      <w:pPr>
        <w:pStyle w:val="2"/>
      </w:pPr>
      <w:bookmarkStart w:id="82" w:name="_Toc116066013"/>
      <w:r>
        <w:rPr>
          <w:rFonts w:hint="eastAsia"/>
        </w:rPr>
        <w:t>第八章 规划实施保障</w:t>
      </w:r>
      <w:bookmarkEnd w:id="82"/>
    </w:p>
    <w:p>
      <w:pPr>
        <w:ind w:firstLine="640"/>
        <w:rPr>
          <w:lang w:val="zh-CN"/>
        </w:rPr>
      </w:pPr>
      <w:r>
        <w:rPr>
          <w:rFonts w:hint="eastAsia"/>
          <w:lang w:val="zh-CN"/>
        </w:rPr>
        <w:t>坚持党的领导，建立并完善规划实施的组织协调机制，推进规划统筹衔接与政策协同，加强试点示范经验的总结和推广，完善监测评估机制，提高规划的管理水平和实施效率，为规划的有效实施提供坚实保障。</w:t>
      </w:r>
    </w:p>
    <w:p>
      <w:pPr>
        <w:pStyle w:val="3"/>
        <w:spacing w:before="217" w:after="217"/>
      </w:pPr>
      <w:bookmarkStart w:id="83" w:name="_Toc116066014"/>
      <w:r>
        <w:rPr>
          <w:rFonts w:hint="eastAsia"/>
        </w:rPr>
        <w:t>第一节 加强组织协调</w:t>
      </w:r>
      <w:bookmarkEnd w:id="83"/>
    </w:p>
    <w:p>
      <w:pPr>
        <w:ind w:firstLine="640"/>
      </w:pPr>
      <w:r>
        <w:rPr>
          <w:rFonts w:hint="eastAsia"/>
        </w:rPr>
        <w:t>全面贯彻落实习近平新时代中国特色社会主义思想，坚决贯彻党的基本理论、基本路线、基本方略，增强“四个意识”、坚定“四个自信”、做到“两个维护”，把党的领导贯穿新型城镇化发展各领域全过程。进一步完善汕尾市推进新型城镇化工作领导机制，研究制定全市新型城镇化和城乡融合发展政策以及年度重点工作安排，压实各级各部门责任，推进重点任务落实。各地各部门提高政治站位，对有关重点规划、重大政策，棘手问题和关键事项定期开展专题研究部署，动态指导，严格监督，高效协调。市发展和改革局牵头推进规划实施和相关政策落实，监督检查工作进展情况，市各有关部门按照职能分工，研究制定具体实施方案和配套政策。各县（市、区）建立健全工作机制，研究制定符合本地实际的新型城镇化规划或重点任务，合力解决规划实施过程中跨区域的重大事项。</w:t>
      </w:r>
    </w:p>
    <w:p>
      <w:pPr>
        <w:pStyle w:val="3"/>
        <w:spacing w:before="217" w:after="217"/>
      </w:pPr>
      <w:bookmarkStart w:id="84" w:name="_Toc116066015"/>
      <w:r>
        <w:rPr>
          <w:rFonts w:hint="eastAsia"/>
        </w:rPr>
        <w:t>第二节 注重政策引导</w:t>
      </w:r>
      <w:bookmarkEnd w:id="84"/>
    </w:p>
    <w:p>
      <w:pPr>
        <w:ind w:firstLine="640"/>
      </w:pPr>
      <w:r>
        <w:rPr>
          <w:rFonts w:hint="eastAsia"/>
        </w:rPr>
        <w:t>完善统一规划体系，加强部门间政策制定和实施的协调配合，建立健全农业转移人口市民化、城镇住房保障、土地管理制度改革、社会治理能力建设、城乡统筹建设、生态环境保护等领域的新政策，形成相互衔接的有利于新型城镇化健康发展的政策环境。推动新型城镇化纳入全市高质量发展考核体系，细化分解年度工作任务、具体举措、节点安排和责任分工，实行重点工作清单化管理、体系化推进，确保新型城镇化各项工作落实到位。市级相关专项规划、区域规划要加强与本规划的衔接协调，县级规划要落实本规划要求，加强市直部门与区（市）政府对接，针对不同地区发展情况，因地制宜制定配套政策。加大对新型城镇化重大平台、重大工程、重大项目的倾斜保障，建立健全改革容错机制，激励各地更好落实推进相关工作。</w:t>
      </w:r>
    </w:p>
    <w:p>
      <w:pPr>
        <w:pStyle w:val="3"/>
        <w:spacing w:before="217" w:after="217"/>
      </w:pPr>
      <w:bookmarkStart w:id="85" w:name="_Toc116066016"/>
      <w:r>
        <w:rPr>
          <w:rFonts w:hint="eastAsia"/>
        </w:rPr>
        <w:t>第三节 推进试点示范</w:t>
      </w:r>
      <w:bookmarkEnd w:id="85"/>
    </w:p>
    <w:p>
      <w:pPr>
        <w:ind w:firstLine="640"/>
        <w:rPr>
          <w:rFonts w:hint="eastAsia"/>
        </w:rPr>
      </w:pPr>
      <w:r>
        <w:rPr>
          <w:rFonts w:hint="eastAsia"/>
        </w:rPr>
        <w:t>积极争取国家、省的工作指导、协调和支持，大力推进陆丰市碣石镇、陆河县河口镇等省级城乡融合发展试点和海丰县国家县城新型城镇化建设示范县建设，力争形成一批典型经验和改革创新成果。支持相关县（市、区）申报国家新型城镇化各类试点示范和省级试点示范。推进基层层面创新实践，进一步调动各县（市、区）干部群众改革创新的积极性、主动性，为全市更富有成效地推进新型城镇化和城乡融合发展积累生动具体、切实可行的实践经验。</w:t>
      </w:r>
    </w:p>
    <w:p>
      <w:pPr>
        <w:pStyle w:val="3"/>
        <w:spacing w:before="217" w:after="217"/>
      </w:pPr>
      <w:bookmarkStart w:id="86" w:name="_Toc116066017"/>
      <w:r>
        <w:rPr>
          <w:rFonts w:hint="eastAsia"/>
        </w:rPr>
        <w:t>第四节 健全监测评估</w:t>
      </w:r>
      <w:bookmarkEnd w:id="86"/>
    </w:p>
    <w:p>
      <w:pPr>
        <w:ind w:firstLine="640"/>
      </w:pPr>
      <w:r>
        <w:rPr>
          <w:rFonts w:hint="eastAsia"/>
        </w:rPr>
        <w:t>建立健全新型城镇化的统计监测指标体系，规范统计口径、统计标准和统计方法，依法统计新型城镇化的相关数据，准确反映新型城镇化发展进程，为科学决策提供可靠的统计保障。强化监督考核，加强规划执行监督，自觉接受人大、政协、审计和社会监督，建立考核结果与奖惩挂钩机制，保障规划严格落实。坚持政府自我评估和社会第三方评估相结合，完善规划动态评估、跟踪、预警机制，健全动态监测—中期评估—总结评估的全过程规划评估体系，确保主要目标和重点任务顺利实施。充分运用信息技术和大数据，提高规划评估的客观性、科学性和准确性。严格规划动态调整和修订机制，规划内容确有需要调整的，按程序修订调整规划，以推动规划顺利实施。</w:t>
      </w:r>
    </w:p>
    <w:sectPr>
      <w:headerReference r:id="rId13" w:type="first"/>
      <w:footerReference r:id="rId15" w:type="first"/>
      <w:headerReference r:id="rId12" w:type="even"/>
      <w:footerReference r:id="rId14" w:type="even"/>
      <w:pgSz w:w="11906" w:h="16838"/>
      <w:pgMar w:top="2098" w:right="1474" w:bottom="1985" w:left="1588" w:header="851" w:footer="1701"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9343642"/>
    </w:sdtPr>
    <w:sdtEndPr>
      <w:rPr>
        <w:sz w:val="28"/>
        <w:szCs w:val="28"/>
      </w:rPr>
    </w:sdtEndPr>
    <w:sdtContent>
      <w:p>
        <w:pPr>
          <w:pStyle w:val="16"/>
          <w:ind w:firstLine="360"/>
          <w:jc w:val="right"/>
          <w:rPr>
            <w:sz w:val="28"/>
            <w:szCs w:val="28"/>
          </w:rPr>
        </w:pPr>
        <w:r>
          <w:rPr>
            <w:rFonts w:hint="eastAsia"/>
            <w:color w:val="auto"/>
            <w:sz w:val="28"/>
            <w:szCs w:val="28"/>
          </w:rPr>
          <w:t xml:space="preserve">— </w:t>
        </w:r>
        <w:r>
          <w:rPr>
            <w:color w:val="auto"/>
            <w:sz w:val="28"/>
            <w:szCs w:val="28"/>
          </w:rPr>
          <w:fldChar w:fldCharType="begin"/>
        </w:r>
        <w:r>
          <w:rPr>
            <w:color w:val="auto"/>
            <w:sz w:val="28"/>
            <w:szCs w:val="28"/>
          </w:rPr>
          <w:instrText xml:space="preserve">PAGE   \* MERGEFORMAT</w:instrText>
        </w:r>
        <w:r>
          <w:rPr>
            <w:color w:val="auto"/>
            <w:sz w:val="28"/>
            <w:szCs w:val="28"/>
          </w:rPr>
          <w:fldChar w:fldCharType="separate"/>
        </w:r>
        <w:r>
          <w:rPr>
            <w:color w:val="auto"/>
            <w:sz w:val="28"/>
            <w:szCs w:val="28"/>
            <w:lang w:val="zh-CN"/>
          </w:rPr>
          <w:t>2</w:t>
        </w:r>
        <w:r>
          <w:rPr>
            <w:color w:val="auto"/>
            <w:sz w:val="28"/>
            <w:szCs w:val="28"/>
          </w:rPr>
          <w:fldChar w:fldCharType="end"/>
        </w:r>
        <w:r>
          <w:rPr>
            <w:color w:val="auto"/>
            <w:sz w:val="28"/>
            <w:szCs w:val="28"/>
          </w:rPr>
          <w:t xml:space="preserve"> </w:t>
        </w:r>
        <w:r>
          <w:rPr>
            <w:rFonts w:hint="eastAsia"/>
            <w:color w:val="auto"/>
            <w:sz w:val="28"/>
            <w:szCs w:val="28"/>
          </w:rPr>
          <w:t>—</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jc w:val="center"/>
    </w:pPr>
    <w:sdt>
      <w:sdtPr>
        <w:id w:val="-1190144732"/>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3493998"/>
    </w:sdtPr>
    <w:sdtEndPr>
      <w:rPr>
        <w:sz w:val="28"/>
        <w:szCs w:val="28"/>
      </w:rPr>
    </w:sdtEndPr>
    <w:sdtContent>
      <w:p>
        <w:pPr>
          <w:pStyle w:val="16"/>
          <w:ind w:firstLine="0" w:firstLineChars="0"/>
          <w:jc w:val="center"/>
          <w:rPr>
            <w:sz w:val="28"/>
            <w:szCs w:val="28"/>
          </w:rPr>
        </w:pPr>
        <w:r>
          <w:rPr>
            <w:color w:val="auto"/>
            <w:sz w:val="28"/>
            <w:szCs w:val="28"/>
          </w:rPr>
          <w:fldChar w:fldCharType="begin"/>
        </w:r>
        <w:r>
          <w:rPr>
            <w:color w:val="auto"/>
            <w:sz w:val="28"/>
            <w:szCs w:val="28"/>
          </w:rPr>
          <w:instrText xml:space="preserve">PAGE   \* MERGEFORMAT</w:instrText>
        </w:r>
        <w:r>
          <w:rPr>
            <w:color w:val="auto"/>
            <w:sz w:val="28"/>
            <w:szCs w:val="28"/>
          </w:rPr>
          <w:fldChar w:fldCharType="separate"/>
        </w:r>
        <w:r>
          <w:rPr>
            <w:color w:val="auto"/>
            <w:sz w:val="28"/>
            <w:szCs w:val="28"/>
            <w:lang w:val="zh-CN"/>
          </w:rPr>
          <w:t>2</w:t>
        </w:r>
        <w:r>
          <w:rPr>
            <w:color w:val="auto"/>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jc w:val="center"/>
    </w:pPr>
    <w:sdt>
      <w:sdtPr>
        <w:id w:val="1190494816"/>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09"/>
    <w:rsid w:val="00000594"/>
    <w:rsid w:val="000007D6"/>
    <w:rsid w:val="0000103E"/>
    <w:rsid w:val="00001106"/>
    <w:rsid w:val="0000199F"/>
    <w:rsid w:val="00001D70"/>
    <w:rsid w:val="0000208B"/>
    <w:rsid w:val="0000213E"/>
    <w:rsid w:val="000024E4"/>
    <w:rsid w:val="000026AE"/>
    <w:rsid w:val="0000325F"/>
    <w:rsid w:val="000033B8"/>
    <w:rsid w:val="000040D3"/>
    <w:rsid w:val="00004134"/>
    <w:rsid w:val="00004928"/>
    <w:rsid w:val="00004AA4"/>
    <w:rsid w:val="00004EE2"/>
    <w:rsid w:val="00005094"/>
    <w:rsid w:val="000060E8"/>
    <w:rsid w:val="00006631"/>
    <w:rsid w:val="00006733"/>
    <w:rsid w:val="00007AFA"/>
    <w:rsid w:val="000100F6"/>
    <w:rsid w:val="0001025E"/>
    <w:rsid w:val="00010407"/>
    <w:rsid w:val="0001049A"/>
    <w:rsid w:val="0001083D"/>
    <w:rsid w:val="00010A42"/>
    <w:rsid w:val="00010B82"/>
    <w:rsid w:val="00010ED1"/>
    <w:rsid w:val="000117B5"/>
    <w:rsid w:val="0001184F"/>
    <w:rsid w:val="00011A8E"/>
    <w:rsid w:val="00011BF5"/>
    <w:rsid w:val="00011CD2"/>
    <w:rsid w:val="00011E83"/>
    <w:rsid w:val="00011F27"/>
    <w:rsid w:val="000120B7"/>
    <w:rsid w:val="000122C1"/>
    <w:rsid w:val="00012505"/>
    <w:rsid w:val="00012D51"/>
    <w:rsid w:val="00012DBA"/>
    <w:rsid w:val="00013005"/>
    <w:rsid w:val="0001304D"/>
    <w:rsid w:val="00013167"/>
    <w:rsid w:val="000141DF"/>
    <w:rsid w:val="0001429D"/>
    <w:rsid w:val="0001469F"/>
    <w:rsid w:val="00014DF8"/>
    <w:rsid w:val="00015256"/>
    <w:rsid w:val="000156A2"/>
    <w:rsid w:val="000159F1"/>
    <w:rsid w:val="00017763"/>
    <w:rsid w:val="00017B81"/>
    <w:rsid w:val="00017F42"/>
    <w:rsid w:val="0002025A"/>
    <w:rsid w:val="00020710"/>
    <w:rsid w:val="0002098D"/>
    <w:rsid w:val="00021097"/>
    <w:rsid w:val="0002153A"/>
    <w:rsid w:val="00021AF2"/>
    <w:rsid w:val="00021B10"/>
    <w:rsid w:val="00021E7F"/>
    <w:rsid w:val="00021E9F"/>
    <w:rsid w:val="000225A2"/>
    <w:rsid w:val="000228B9"/>
    <w:rsid w:val="00023E19"/>
    <w:rsid w:val="00024A89"/>
    <w:rsid w:val="00024C9E"/>
    <w:rsid w:val="00025338"/>
    <w:rsid w:val="00025957"/>
    <w:rsid w:val="00025E13"/>
    <w:rsid w:val="00025EE2"/>
    <w:rsid w:val="000267D1"/>
    <w:rsid w:val="00026967"/>
    <w:rsid w:val="00026984"/>
    <w:rsid w:val="00026E21"/>
    <w:rsid w:val="00026FB9"/>
    <w:rsid w:val="000271C9"/>
    <w:rsid w:val="0002762A"/>
    <w:rsid w:val="00027918"/>
    <w:rsid w:val="00030009"/>
    <w:rsid w:val="000303B9"/>
    <w:rsid w:val="00030480"/>
    <w:rsid w:val="0003054F"/>
    <w:rsid w:val="00030C51"/>
    <w:rsid w:val="000311BB"/>
    <w:rsid w:val="00031EB9"/>
    <w:rsid w:val="00032B6B"/>
    <w:rsid w:val="00032F65"/>
    <w:rsid w:val="000334DB"/>
    <w:rsid w:val="000339EF"/>
    <w:rsid w:val="000345E0"/>
    <w:rsid w:val="000347D1"/>
    <w:rsid w:val="00034B2D"/>
    <w:rsid w:val="00034D97"/>
    <w:rsid w:val="0003530C"/>
    <w:rsid w:val="00035393"/>
    <w:rsid w:val="00035505"/>
    <w:rsid w:val="00035638"/>
    <w:rsid w:val="00035E8C"/>
    <w:rsid w:val="00035FA4"/>
    <w:rsid w:val="00036081"/>
    <w:rsid w:val="00036415"/>
    <w:rsid w:val="000364A4"/>
    <w:rsid w:val="0003682C"/>
    <w:rsid w:val="000368CD"/>
    <w:rsid w:val="000369F7"/>
    <w:rsid w:val="00036A17"/>
    <w:rsid w:val="00036D59"/>
    <w:rsid w:val="00037685"/>
    <w:rsid w:val="000377A1"/>
    <w:rsid w:val="000379A9"/>
    <w:rsid w:val="00037AE4"/>
    <w:rsid w:val="000400AE"/>
    <w:rsid w:val="000400DD"/>
    <w:rsid w:val="00040A57"/>
    <w:rsid w:val="00040C65"/>
    <w:rsid w:val="00041418"/>
    <w:rsid w:val="00041F11"/>
    <w:rsid w:val="00041F9E"/>
    <w:rsid w:val="000420C7"/>
    <w:rsid w:val="000423B6"/>
    <w:rsid w:val="000425E9"/>
    <w:rsid w:val="00042672"/>
    <w:rsid w:val="00043447"/>
    <w:rsid w:val="00043581"/>
    <w:rsid w:val="00044DCF"/>
    <w:rsid w:val="00044E15"/>
    <w:rsid w:val="00045029"/>
    <w:rsid w:val="000452C1"/>
    <w:rsid w:val="0004539A"/>
    <w:rsid w:val="00045501"/>
    <w:rsid w:val="00045545"/>
    <w:rsid w:val="00045639"/>
    <w:rsid w:val="00045F81"/>
    <w:rsid w:val="00046083"/>
    <w:rsid w:val="0004647E"/>
    <w:rsid w:val="0004664A"/>
    <w:rsid w:val="00046A11"/>
    <w:rsid w:val="000471C6"/>
    <w:rsid w:val="000472B0"/>
    <w:rsid w:val="00050D13"/>
    <w:rsid w:val="00050DE1"/>
    <w:rsid w:val="00051BAB"/>
    <w:rsid w:val="00051DB0"/>
    <w:rsid w:val="00052E15"/>
    <w:rsid w:val="00052F0F"/>
    <w:rsid w:val="0005302E"/>
    <w:rsid w:val="0005305B"/>
    <w:rsid w:val="00053A1F"/>
    <w:rsid w:val="00054C9D"/>
    <w:rsid w:val="00054D27"/>
    <w:rsid w:val="00054E83"/>
    <w:rsid w:val="00055DCC"/>
    <w:rsid w:val="00056AB7"/>
    <w:rsid w:val="00056C1A"/>
    <w:rsid w:val="00056EB7"/>
    <w:rsid w:val="00056FA8"/>
    <w:rsid w:val="00057197"/>
    <w:rsid w:val="00057622"/>
    <w:rsid w:val="00057701"/>
    <w:rsid w:val="000578B1"/>
    <w:rsid w:val="000602DC"/>
    <w:rsid w:val="000607A1"/>
    <w:rsid w:val="0006087D"/>
    <w:rsid w:val="00061140"/>
    <w:rsid w:val="0006148D"/>
    <w:rsid w:val="0006149B"/>
    <w:rsid w:val="00061D5C"/>
    <w:rsid w:val="00061DE4"/>
    <w:rsid w:val="00061EF8"/>
    <w:rsid w:val="000627AD"/>
    <w:rsid w:val="00062A20"/>
    <w:rsid w:val="00063226"/>
    <w:rsid w:val="00063E2F"/>
    <w:rsid w:val="00063F11"/>
    <w:rsid w:val="00064176"/>
    <w:rsid w:val="000643F3"/>
    <w:rsid w:val="000643FC"/>
    <w:rsid w:val="0006456D"/>
    <w:rsid w:val="00064B31"/>
    <w:rsid w:val="0006509C"/>
    <w:rsid w:val="00065821"/>
    <w:rsid w:val="000659BE"/>
    <w:rsid w:val="00065F3A"/>
    <w:rsid w:val="00066C8C"/>
    <w:rsid w:val="00066E53"/>
    <w:rsid w:val="00066EDC"/>
    <w:rsid w:val="00067005"/>
    <w:rsid w:val="000673EE"/>
    <w:rsid w:val="00067592"/>
    <w:rsid w:val="00067876"/>
    <w:rsid w:val="0006795F"/>
    <w:rsid w:val="00067F0B"/>
    <w:rsid w:val="000701BD"/>
    <w:rsid w:val="0007093B"/>
    <w:rsid w:val="00070F88"/>
    <w:rsid w:val="00071E21"/>
    <w:rsid w:val="00071FB6"/>
    <w:rsid w:val="00072CAE"/>
    <w:rsid w:val="00072CDE"/>
    <w:rsid w:val="00073A87"/>
    <w:rsid w:val="000740B6"/>
    <w:rsid w:val="0007436A"/>
    <w:rsid w:val="0007504A"/>
    <w:rsid w:val="00075367"/>
    <w:rsid w:val="00075CE3"/>
    <w:rsid w:val="00075F11"/>
    <w:rsid w:val="000770E0"/>
    <w:rsid w:val="00077C77"/>
    <w:rsid w:val="00080694"/>
    <w:rsid w:val="00080BA4"/>
    <w:rsid w:val="00080D1F"/>
    <w:rsid w:val="00080F63"/>
    <w:rsid w:val="000827BE"/>
    <w:rsid w:val="0008300E"/>
    <w:rsid w:val="00083478"/>
    <w:rsid w:val="000837F0"/>
    <w:rsid w:val="00083E3E"/>
    <w:rsid w:val="000848AD"/>
    <w:rsid w:val="00084F00"/>
    <w:rsid w:val="0008573C"/>
    <w:rsid w:val="00086012"/>
    <w:rsid w:val="000867E8"/>
    <w:rsid w:val="00087120"/>
    <w:rsid w:val="0008732D"/>
    <w:rsid w:val="00090045"/>
    <w:rsid w:val="00090219"/>
    <w:rsid w:val="00090A65"/>
    <w:rsid w:val="00091912"/>
    <w:rsid w:val="00091E2F"/>
    <w:rsid w:val="00092360"/>
    <w:rsid w:val="000923DD"/>
    <w:rsid w:val="000927FD"/>
    <w:rsid w:val="00092FF6"/>
    <w:rsid w:val="0009381B"/>
    <w:rsid w:val="00093BC4"/>
    <w:rsid w:val="00093FE5"/>
    <w:rsid w:val="0009410C"/>
    <w:rsid w:val="00095193"/>
    <w:rsid w:val="000951AA"/>
    <w:rsid w:val="000956F6"/>
    <w:rsid w:val="0009580C"/>
    <w:rsid w:val="0009582F"/>
    <w:rsid w:val="00095878"/>
    <w:rsid w:val="000959B0"/>
    <w:rsid w:val="00096112"/>
    <w:rsid w:val="00096317"/>
    <w:rsid w:val="00096C10"/>
    <w:rsid w:val="00096DD4"/>
    <w:rsid w:val="000972F0"/>
    <w:rsid w:val="00097BC9"/>
    <w:rsid w:val="00097D47"/>
    <w:rsid w:val="000A03F0"/>
    <w:rsid w:val="000A048A"/>
    <w:rsid w:val="000A0561"/>
    <w:rsid w:val="000A1121"/>
    <w:rsid w:val="000A115F"/>
    <w:rsid w:val="000A1698"/>
    <w:rsid w:val="000A1E80"/>
    <w:rsid w:val="000A227D"/>
    <w:rsid w:val="000A23E7"/>
    <w:rsid w:val="000A23F9"/>
    <w:rsid w:val="000A366C"/>
    <w:rsid w:val="000A409A"/>
    <w:rsid w:val="000A51F1"/>
    <w:rsid w:val="000A5449"/>
    <w:rsid w:val="000A55B7"/>
    <w:rsid w:val="000A55DC"/>
    <w:rsid w:val="000A5C38"/>
    <w:rsid w:val="000A62EC"/>
    <w:rsid w:val="000A6DC0"/>
    <w:rsid w:val="000A7A86"/>
    <w:rsid w:val="000A7B7D"/>
    <w:rsid w:val="000A7F66"/>
    <w:rsid w:val="000A7F74"/>
    <w:rsid w:val="000B075D"/>
    <w:rsid w:val="000B0BBC"/>
    <w:rsid w:val="000B0D8A"/>
    <w:rsid w:val="000B11F7"/>
    <w:rsid w:val="000B1E70"/>
    <w:rsid w:val="000B1F90"/>
    <w:rsid w:val="000B25B7"/>
    <w:rsid w:val="000B2B40"/>
    <w:rsid w:val="000B2BDB"/>
    <w:rsid w:val="000B324A"/>
    <w:rsid w:val="000B34B7"/>
    <w:rsid w:val="000B37ED"/>
    <w:rsid w:val="000B3C20"/>
    <w:rsid w:val="000B413C"/>
    <w:rsid w:val="000B454D"/>
    <w:rsid w:val="000B46C5"/>
    <w:rsid w:val="000B5540"/>
    <w:rsid w:val="000B5D25"/>
    <w:rsid w:val="000B6D36"/>
    <w:rsid w:val="000B71E3"/>
    <w:rsid w:val="000C00C1"/>
    <w:rsid w:val="000C17C4"/>
    <w:rsid w:val="000C1F01"/>
    <w:rsid w:val="000C24C8"/>
    <w:rsid w:val="000C28F0"/>
    <w:rsid w:val="000C2B7C"/>
    <w:rsid w:val="000C2EFE"/>
    <w:rsid w:val="000C31DE"/>
    <w:rsid w:val="000C337E"/>
    <w:rsid w:val="000C39E2"/>
    <w:rsid w:val="000C4043"/>
    <w:rsid w:val="000C426A"/>
    <w:rsid w:val="000C4642"/>
    <w:rsid w:val="000C4740"/>
    <w:rsid w:val="000C4DDE"/>
    <w:rsid w:val="000C52B6"/>
    <w:rsid w:val="000C58BA"/>
    <w:rsid w:val="000C6984"/>
    <w:rsid w:val="000C6A0F"/>
    <w:rsid w:val="000C7501"/>
    <w:rsid w:val="000C7ECE"/>
    <w:rsid w:val="000C7F16"/>
    <w:rsid w:val="000D0183"/>
    <w:rsid w:val="000D092C"/>
    <w:rsid w:val="000D1A61"/>
    <w:rsid w:val="000D1F1A"/>
    <w:rsid w:val="000D207A"/>
    <w:rsid w:val="000D2287"/>
    <w:rsid w:val="000D24F0"/>
    <w:rsid w:val="000D2710"/>
    <w:rsid w:val="000D28FD"/>
    <w:rsid w:val="000D411C"/>
    <w:rsid w:val="000D481C"/>
    <w:rsid w:val="000D4843"/>
    <w:rsid w:val="000D4953"/>
    <w:rsid w:val="000D4AA8"/>
    <w:rsid w:val="000D4FC6"/>
    <w:rsid w:val="000D546E"/>
    <w:rsid w:val="000D5703"/>
    <w:rsid w:val="000D570F"/>
    <w:rsid w:val="000D5A31"/>
    <w:rsid w:val="000D68F4"/>
    <w:rsid w:val="000D6A48"/>
    <w:rsid w:val="000D74CB"/>
    <w:rsid w:val="000D74D1"/>
    <w:rsid w:val="000D7E9D"/>
    <w:rsid w:val="000E0033"/>
    <w:rsid w:val="000E03D6"/>
    <w:rsid w:val="000E04E8"/>
    <w:rsid w:val="000E1240"/>
    <w:rsid w:val="000E36B7"/>
    <w:rsid w:val="000E3B6E"/>
    <w:rsid w:val="000E3C38"/>
    <w:rsid w:val="000E3F01"/>
    <w:rsid w:val="000E47E8"/>
    <w:rsid w:val="000E499F"/>
    <w:rsid w:val="000E5462"/>
    <w:rsid w:val="000E5F8C"/>
    <w:rsid w:val="000E612A"/>
    <w:rsid w:val="000E6929"/>
    <w:rsid w:val="000E6A32"/>
    <w:rsid w:val="000E6D4B"/>
    <w:rsid w:val="000F03AA"/>
    <w:rsid w:val="000F07A5"/>
    <w:rsid w:val="000F0FBB"/>
    <w:rsid w:val="000F1323"/>
    <w:rsid w:val="000F17C5"/>
    <w:rsid w:val="000F280B"/>
    <w:rsid w:val="000F4187"/>
    <w:rsid w:val="000F4210"/>
    <w:rsid w:val="000F4709"/>
    <w:rsid w:val="000F4FE0"/>
    <w:rsid w:val="000F50CB"/>
    <w:rsid w:val="000F5A2A"/>
    <w:rsid w:val="000F60D0"/>
    <w:rsid w:val="000F63B4"/>
    <w:rsid w:val="000F6A06"/>
    <w:rsid w:val="000F6D14"/>
    <w:rsid w:val="000F715C"/>
    <w:rsid w:val="000F7B02"/>
    <w:rsid w:val="000F7B6D"/>
    <w:rsid w:val="00100837"/>
    <w:rsid w:val="00100B28"/>
    <w:rsid w:val="00101528"/>
    <w:rsid w:val="00101E16"/>
    <w:rsid w:val="0010257B"/>
    <w:rsid w:val="00102C1B"/>
    <w:rsid w:val="00102D24"/>
    <w:rsid w:val="001032CC"/>
    <w:rsid w:val="00103614"/>
    <w:rsid w:val="0010378F"/>
    <w:rsid w:val="001037DB"/>
    <w:rsid w:val="0010456F"/>
    <w:rsid w:val="001047B2"/>
    <w:rsid w:val="0010494D"/>
    <w:rsid w:val="00104A9F"/>
    <w:rsid w:val="00105DF7"/>
    <w:rsid w:val="00105FEB"/>
    <w:rsid w:val="0010614F"/>
    <w:rsid w:val="001064F8"/>
    <w:rsid w:val="00106520"/>
    <w:rsid w:val="001073CA"/>
    <w:rsid w:val="00107DA8"/>
    <w:rsid w:val="00107FB9"/>
    <w:rsid w:val="0011066D"/>
    <w:rsid w:val="00111132"/>
    <w:rsid w:val="001116A2"/>
    <w:rsid w:val="001124DB"/>
    <w:rsid w:val="00112507"/>
    <w:rsid w:val="00113146"/>
    <w:rsid w:val="00113B7F"/>
    <w:rsid w:val="00113CAC"/>
    <w:rsid w:val="00113D0F"/>
    <w:rsid w:val="00114460"/>
    <w:rsid w:val="00114B33"/>
    <w:rsid w:val="00114EA5"/>
    <w:rsid w:val="0011553E"/>
    <w:rsid w:val="00115B51"/>
    <w:rsid w:val="00115DC6"/>
    <w:rsid w:val="00115EF8"/>
    <w:rsid w:val="0011676F"/>
    <w:rsid w:val="0011690D"/>
    <w:rsid w:val="00116BC3"/>
    <w:rsid w:val="00117611"/>
    <w:rsid w:val="00117779"/>
    <w:rsid w:val="0011781E"/>
    <w:rsid w:val="001178CC"/>
    <w:rsid w:val="00117E43"/>
    <w:rsid w:val="00120A5D"/>
    <w:rsid w:val="00120CBC"/>
    <w:rsid w:val="00121298"/>
    <w:rsid w:val="001213D1"/>
    <w:rsid w:val="0012149E"/>
    <w:rsid w:val="0012201A"/>
    <w:rsid w:val="00122142"/>
    <w:rsid w:val="00122310"/>
    <w:rsid w:val="001242BF"/>
    <w:rsid w:val="00124C8B"/>
    <w:rsid w:val="00124D72"/>
    <w:rsid w:val="0012578D"/>
    <w:rsid w:val="00126133"/>
    <w:rsid w:val="001262C7"/>
    <w:rsid w:val="001262FA"/>
    <w:rsid w:val="0012647B"/>
    <w:rsid w:val="001267D3"/>
    <w:rsid w:val="00126D37"/>
    <w:rsid w:val="00127992"/>
    <w:rsid w:val="00127AB3"/>
    <w:rsid w:val="00127E49"/>
    <w:rsid w:val="00130216"/>
    <w:rsid w:val="0013072E"/>
    <w:rsid w:val="0013089D"/>
    <w:rsid w:val="00130E3B"/>
    <w:rsid w:val="00130F41"/>
    <w:rsid w:val="00131962"/>
    <w:rsid w:val="00131B95"/>
    <w:rsid w:val="001326BD"/>
    <w:rsid w:val="001326DE"/>
    <w:rsid w:val="00132A9E"/>
    <w:rsid w:val="00132B02"/>
    <w:rsid w:val="00132EE0"/>
    <w:rsid w:val="0013346B"/>
    <w:rsid w:val="00133840"/>
    <w:rsid w:val="00133B33"/>
    <w:rsid w:val="00134649"/>
    <w:rsid w:val="00134691"/>
    <w:rsid w:val="001354AC"/>
    <w:rsid w:val="00135AE4"/>
    <w:rsid w:val="0013610C"/>
    <w:rsid w:val="0013656E"/>
    <w:rsid w:val="001367C2"/>
    <w:rsid w:val="001367D1"/>
    <w:rsid w:val="00136AFD"/>
    <w:rsid w:val="00136CF0"/>
    <w:rsid w:val="00136DBC"/>
    <w:rsid w:val="0013721E"/>
    <w:rsid w:val="001374AF"/>
    <w:rsid w:val="0013751B"/>
    <w:rsid w:val="00137B64"/>
    <w:rsid w:val="00137CA3"/>
    <w:rsid w:val="00137DFA"/>
    <w:rsid w:val="001401C6"/>
    <w:rsid w:val="001407B4"/>
    <w:rsid w:val="00140846"/>
    <w:rsid w:val="00140982"/>
    <w:rsid w:val="00140C7F"/>
    <w:rsid w:val="00141004"/>
    <w:rsid w:val="0014106B"/>
    <w:rsid w:val="0014137A"/>
    <w:rsid w:val="001413C0"/>
    <w:rsid w:val="001413F2"/>
    <w:rsid w:val="001421B4"/>
    <w:rsid w:val="00142250"/>
    <w:rsid w:val="00142294"/>
    <w:rsid w:val="001428E0"/>
    <w:rsid w:val="001429A9"/>
    <w:rsid w:val="00142B9D"/>
    <w:rsid w:val="00142C26"/>
    <w:rsid w:val="00143298"/>
    <w:rsid w:val="00143818"/>
    <w:rsid w:val="001438BC"/>
    <w:rsid w:val="00143DF3"/>
    <w:rsid w:val="001445DB"/>
    <w:rsid w:val="00144A9B"/>
    <w:rsid w:val="00145003"/>
    <w:rsid w:val="00146637"/>
    <w:rsid w:val="00146695"/>
    <w:rsid w:val="00146A40"/>
    <w:rsid w:val="00146C02"/>
    <w:rsid w:val="00146E09"/>
    <w:rsid w:val="00146E45"/>
    <w:rsid w:val="00147BD5"/>
    <w:rsid w:val="00147C4E"/>
    <w:rsid w:val="00147FEF"/>
    <w:rsid w:val="001509B6"/>
    <w:rsid w:val="00151876"/>
    <w:rsid w:val="0015194A"/>
    <w:rsid w:val="00151993"/>
    <w:rsid w:val="00151D60"/>
    <w:rsid w:val="00151E16"/>
    <w:rsid w:val="0015208B"/>
    <w:rsid w:val="001528D7"/>
    <w:rsid w:val="00152C17"/>
    <w:rsid w:val="001530A9"/>
    <w:rsid w:val="00153676"/>
    <w:rsid w:val="00153C29"/>
    <w:rsid w:val="00153C60"/>
    <w:rsid w:val="0015408A"/>
    <w:rsid w:val="0015485D"/>
    <w:rsid w:val="00154B93"/>
    <w:rsid w:val="00155043"/>
    <w:rsid w:val="001551E5"/>
    <w:rsid w:val="00155292"/>
    <w:rsid w:val="00155842"/>
    <w:rsid w:val="001559EA"/>
    <w:rsid w:val="00155A0A"/>
    <w:rsid w:val="0015603A"/>
    <w:rsid w:val="00156636"/>
    <w:rsid w:val="00156786"/>
    <w:rsid w:val="00156FEC"/>
    <w:rsid w:val="00157208"/>
    <w:rsid w:val="00157267"/>
    <w:rsid w:val="001576CA"/>
    <w:rsid w:val="00157A07"/>
    <w:rsid w:val="001600A9"/>
    <w:rsid w:val="001602B8"/>
    <w:rsid w:val="00160370"/>
    <w:rsid w:val="00160B85"/>
    <w:rsid w:val="00161187"/>
    <w:rsid w:val="001615AC"/>
    <w:rsid w:val="001620E1"/>
    <w:rsid w:val="0016218A"/>
    <w:rsid w:val="001621CE"/>
    <w:rsid w:val="00162425"/>
    <w:rsid w:val="00162749"/>
    <w:rsid w:val="0016280C"/>
    <w:rsid w:val="00162881"/>
    <w:rsid w:val="001628EB"/>
    <w:rsid w:val="001632B1"/>
    <w:rsid w:val="00163398"/>
    <w:rsid w:val="0016341B"/>
    <w:rsid w:val="00163547"/>
    <w:rsid w:val="001639C6"/>
    <w:rsid w:val="00163BB3"/>
    <w:rsid w:val="00163BDA"/>
    <w:rsid w:val="00164774"/>
    <w:rsid w:val="00164C57"/>
    <w:rsid w:val="0016548A"/>
    <w:rsid w:val="001654EC"/>
    <w:rsid w:val="001659DA"/>
    <w:rsid w:val="00165F16"/>
    <w:rsid w:val="0016635D"/>
    <w:rsid w:val="00167EA2"/>
    <w:rsid w:val="00167F51"/>
    <w:rsid w:val="00167F89"/>
    <w:rsid w:val="00170464"/>
    <w:rsid w:val="00170BF3"/>
    <w:rsid w:val="00170F95"/>
    <w:rsid w:val="0017134A"/>
    <w:rsid w:val="00171E29"/>
    <w:rsid w:val="0017222C"/>
    <w:rsid w:val="00172A27"/>
    <w:rsid w:val="00172C39"/>
    <w:rsid w:val="001733DB"/>
    <w:rsid w:val="00173463"/>
    <w:rsid w:val="0017385E"/>
    <w:rsid w:val="0017386D"/>
    <w:rsid w:val="001741BB"/>
    <w:rsid w:val="00174212"/>
    <w:rsid w:val="00174221"/>
    <w:rsid w:val="001742EC"/>
    <w:rsid w:val="0017653F"/>
    <w:rsid w:val="0017775F"/>
    <w:rsid w:val="0017793C"/>
    <w:rsid w:val="00177C2F"/>
    <w:rsid w:val="00180092"/>
    <w:rsid w:val="0018021E"/>
    <w:rsid w:val="00180979"/>
    <w:rsid w:val="00180B62"/>
    <w:rsid w:val="00181274"/>
    <w:rsid w:val="00181577"/>
    <w:rsid w:val="001816F0"/>
    <w:rsid w:val="00181C03"/>
    <w:rsid w:val="00181D1E"/>
    <w:rsid w:val="00181F84"/>
    <w:rsid w:val="00181FFA"/>
    <w:rsid w:val="00182C69"/>
    <w:rsid w:val="00182CB6"/>
    <w:rsid w:val="00183241"/>
    <w:rsid w:val="00183419"/>
    <w:rsid w:val="0018347F"/>
    <w:rsid w:val="00183BC4"/>
    <w:rsid w:val="00183C93"/>
    <w:rsid w:val="001841ED"/>
    <w:rsid w:val="00184209"/>
    <w:rsid w:val="00184370"/>
    <w:rsid w:val="0018466A"/>
    <w:rsid w:val="001848D1"/>
    <w:rsid w:val="00184A75"/>
    <w:rsid w:val="00184AF7"/>
    <w:rsid w:val="00185636"/>
    <w:rsid w:val="001857B2"/>
    <w:rsid w:val="0018591C"/>
    <w:rsid w:val="001862BA"/>
    <w:rsid w:val="001863C5"/>
    <w:rsid w:val="001864A5"/>
    <w:rsid w:val="001864B4"/>
    <w:rsid w:val="0018651D"/>
    <w:rsid w:val="001865E2"/>
    <w:rsid w:val="001865F2"/>
    <w:rsid w:val="0018692A"/>
    <w:rsid w:val="00186F06"/>
    <w:rsid w:val="0018720F"/>
    <w:rsid w:val="0018749C"/>
    <w:rsid w:val="00190E63"/>
    <w:rsid w:val="00190FFF"/>
    <w:rsid w:val="001916DE"/>
    <w:rsid w:val="001926EF"/>
    <w:rsid w:val="00192FA4"/>
    <w:rsid w:val="00192FDC"/>
    <w:rsid w:val="00193195"/>
    <w:rsid w:val="00193D39"/>
    <w:rsid w:val="001941A4"/>
    <w:rsid w:val="001947EF"/>
    <w:rsid w:val="00194884"/>
    <w:rsid w:val="0019506A"/>
    <w:rsid w:val="00195076"/>
    <w:rsid w:val="0019523E"/>
    <w:rsid w:val="001955ED"/>
    <w:rsid w:val="00195AF1"/>
    <w:rsid w:val="00195FAE"/>
    <w:rsid w:val="0019684C"/>
    <w:rsid w:val="00196FB4"/>
    <w:rsid w:val="0019788D"/>
    <w:rsid w:val="001A0245"/>
    <w:rsid w:val="001A12A6"/>
    <w:rsid w:val="001A13C1"/>
    <w:rsid w:val="001A1CC3"/>
    <w:rsid w:val="001A1DD1"/>
    <w:rsid w:val="001A246B"/>
    <w:rsid w:val="001A2511"/>
    <w:rsid w:val="001A2870"/>
    <w:rsid w:val="001A2878"/>
    <w:rsid w:val="001A30FF"/>
    <w:rsid w:val="001A3868"/>
    <w:rsid w:val="001A3CBF"/>
    <w:rsid w:val="001A4538"/>
    <w:rsid w:val="001A467E"/>
    <w:rsid w:val="001A5414"/>
    <w:rsid w:val="001A5F73"/>
    <w:rsid w:val="001A63E2"/>
    <w:rsid w:val="001A7147"/>
    <w:rsid w:val="001A77FF"/>
    <w:rsid w:val="001A7839"/>
    <w:rsid w:val="001B0C45"/>
    <w:rsid w:val="001B0D6E"/>
    <w:rsid w:val="001B0DA5"/>
    <w:rsid w:val="001B1355"/>
    <w:rsid w:val="001B14AC"/>
    <w:rsid w:val="001B1B4B"/>
    <w:rsid w:val="001B1C40"/>
    <w:rsid w:val="001B1E01"/>
    <w:rsid w:val="001B1E05"/>
    <w:rsid w:val="001B2535"/>
    <w:rsid w:val="001B27F2"/>
    <w:rsid w:val="001B29BC"/>
    <w:rsid w:val="001B29F6"/>
    <w:rsid w:val="001B2C82"/>
    <w:rsid w:val="001B2F55"/>
    <w:rsid w:val="001B3A3B"/>
    <w:rsid w:val="001B3E0E"/>
    <w:rsid w:val="001B3ED4"/>
    <w:rsid w:val="001B422F"/>
    <w:rsid w:val="001B4399"/>
    <w:rsid w:val="001B446E"/>
    <w:rsid w:val="001B66C6"/>
    <w:rsid w:val="001B6F59"/>
    <w:rsid w:val="001B7E3D"/>
    <w:rsid w:val="001C011A"/>
    <w:rsid w:val="001C0C89"/>
    <w:rsid w:val="001C0D4F"/>
    <w:rsid w:val="001C1145"/>
    <w:rsid w:val="001C1470"/>
    <w:rsid w:val="001C1683"/>
    <w:rsid w:val="001C235E"/>
    <w:rsid w:val="001C265B"/>
    <w:rsid w:val="001C28D8"/>
    <w:rsid w:val="001C2B9D"/>
    <w:rsid w:val="001C2F63"/>
    <w:rsid w:val="001C358B"/>
    <w:rsid w:val="001C3AAA"/>
    <w:rsid w:val="001C3AE2"/>
    <w:rsid w:val="001C40D8"/>
    <w:rsid w:val="001C430C"/>
    <w:rsid w:val="001C45CD"/>
    <w:rsid w:val="001C4C60"/>
    <w:rsid w:val="001C4CD5"/>
    <w:rsid w:val="001C4DA7"/>
    <w:rsid w:val="001C5B74"/>
    <w:rsid w:val="001C5E9B"/>
    <w:rsid w:val="001C6176"/>
    <w:rsid w:val="001C6323"/>
    <w:rsid w:val="001C6B54"/>
    <w:rsid w:val="001C762B"/>
    <w:rsid w:val="001C7CD2"/>
    <w:rsid w:val="001D05E5"/>
    <w:rsid w:val="001D0D22"/>
    <w:rsid w:val="001D17A3"/>
    <w:rsid w:val="001D1FFA"/>
    <w:rsid w:val="001D28BB"/>
    <w:rsid w:val="001D29DF"/>
    <w:rsid w:val="001D31B2"/>
    <w:rsid w:val="001D38A5"/>
    <w:rsid w:val="001D3D62"/>
    <w:rsid w:val="001D4318"/>
    <w:rsid w:val="001D47B6"/>
    <w:rsid w:val="001D5826"/>
    <w:rsid w:val="001D5933"/>
    <w:rsid w:val="001D6026"/>
    <w:rsid w:val="001D60E8"/>
    <w:rsid w:val="001D6F1D"/>
    <w:rsid w:val="001D6F9A"/>
    <w:rsid w:val="001D7064"/>
    <w:rsid w:val="001D7758"/>
    <w:rsid w:val="001E0083"/>
    <w:rsid w:val="001E0120"/>
    <w:rsid w:val="001E0CCF"/>
    <w:rsid w:val="001E104F"/>
    <w:rsid w:val="001E149C"/>
    <w:rsid w:val="001E1D70"/>
    <w:rsid w:val="001E27E1"/>
    <w:rsid w:val="001E2DEC"/>
    <w:rsid w:val="001E312E"/>
    <w:rsid w:val="001E37B7"/>
    <w:rsid w:val="001E3E6C"/>
    <w:rsid w:val="001E3F32"/>
    <w:rsid w:val="001E3F65"/>
    <w:rsid w:val="001E4101"/>
    <w:rsid w:val="001E4768"/>
    <w:rsid w:val="001E5128"/>
    <w:rsid w:val="001E52B0"/>
    <w:rsid w:val="001E5500"/>
    <w:rsid w:val="001E5617"/>
    <w:rsid w:val="001E56C4"/>
    <w:rsid w:val="001E5898"/>
    <w:rsid w:val="001E59D8"/>
    <w:rsid w:val="001E65EA"/>
    <w:rsid w:val="001E65FE"/>
    <w:rsid w:val="001E66AF"/>
    <w:rsid w:val="001E73F1"/>
    <w:rsid w:val="001E7FF7"/>
    <w:rsid w:val="001F0240"/>
    <w:rsid w:val="001F0E53"/>
    <w:rsid w:val="001F13D7"/>
    <w:rsid w:val="001F19E6"/>
    <w:rsid w:val="001F20A9"/>
    <w:rsid w:val="001F29E1"/>
    <w:rsid w:val="001F2D45"/>
    <w:rsid w:val="001F30DE"/>
    <w:rsid w:val="001F332F"/>
    <w:rsid w:val="001F3B36"/>
    <w:rsid w:val="001F3CAF"/>
    <w:rsid w:val="001F3D3B"/>
    <w:rsid w:val="001F3D3F"/>
    <w:rsid w:val="001F3FFF"/>
    <w:rsid w:val="001F47CF"/>
    <w:rsid w:val="001F4BF1"/>
    <w:rsid w:val="001F4F0D"/>
    <w:rsid w:val="001F581F"/>
    <w:rsid w:val="001F585B"/>
    <w:rsid w:val="001F5AC0"/>
    <w:rsid w:val="001F62C2"/>
    <w:rsid w:val="001F6434"/>
    <w:rsid w:val="001F6AE6"/>
    <w:rsid w:val="001F71E1"/>
    <w:rsid w:val="001F76CD"/>
    <w:rsid w:val="001F779B"/>
    <w:rsid w:val="0020012F"/>
    <w:rsid w:val="0020013C"/>
    <w:rsid w:val="00200166"/>
    <w:rsid w:val="00200955"/>
    <w:rsid w:val="00200D6F"/>
    <w:rsid w:val="00201022"/>
    <w:rsid w:val="00201555"/>
    <w:rsid w:val="002017E9"/>
    <w:rsid w:val="002019EB"/>
    <w:rsid w:val="00201A9F"/>
    <w:rsid w:val="00201E78"/>
    <w:rsid w:val="0020282F"/>
    <w:rsid w:val="002028EF"/>
    <w:rsid w:val="002033E4"/>
    <w:rsid w:val="00203DDD"/>
    <w:rsid w:val="002040E7"/>
    <w:rsid w:val="002043BD"/>
    <w:rsid w:val="0020478A"/>
    <w:rsid w:val="002050FC"/>
    <w:rsid w:val="00205E2A"/>
    <w:rsid w:val="002061F4"/>
    <w:rsid w:val="00206C59"/>
    <w:rsid w:val="00206DBC"/>
    <w:rsid w:val="00206EF6"/>
    <w:rsid w:val="00207607"/>
    <w:rsid w:val="00207AA1"/>
    <w:rsid w:val="00210326"/>
    <w:rsid w:val="002108A6"/>
    <w:rsid w:val="002110B7"/>
    <w:rsid w:val="00211824"/>
    <w:rsid w:val="00211FB9"/>
    <w:rsid w:val="0021274D"/>
    <w:rsid w:val="00212FC8"/>
    <w:rsid w:val="00213549"/>
    <w:rsid w:val="002138E0"/>
    <w:rsid w:val="00213BF2"/>
    <w:rsid w:val="00213F21"/>
    <w:rsid w:val="002143DB"/>
    <w:rsid w:val="00214B5A"/>
    <w:rsid w:val="00214C36"/>
    <w:rsid w:val="0021509A"/>
    <w:rsid w:val="002159FF"/>
    <w:rsid w:val="00216044"/>
    <w:rsid w:val="0021605B"/>
    <w:rsid w:val="0021608F"/>
    <w:rsid w:val="0021725F"/>
    <w:rsid w:val="002172FA"/>
    <w:rsid w:val="002174C9"/>
    <w:rsid w:val="00217655"/>
    <w:rsid w:val="00217EF0"/>
    <w:rsid w:val="00217F1D"/>
    <w:rsid w:val="002200C2"/>
    <w:rsid w:val="00220400"/>
    <w:rsid w:val="00220449"/>
    <w:rsid w:val="002208AE"/>
    <w:rsid w:val="00220E19"/>
    <w:rsid w:val="002213AF"/>
    <w:rsid w:val="002217AE"/>
    <w:rsid w:val="00221EC5"/>
    <w:rsid w:val="00221F18"/>
    <w:rsid w:val="00221FE6"/>
    <w:rsid w:val="002222F5"/>
    <w:rsid w:val="00222CF0"/>
    <w:rsid w:val="00223362"/>
    <w:rsid w:val="00223390"/>
    <w:rsid w:val="00223D9B"/>
    <w:rsid w:val="0022409E"/>
    <w:rsid w:val="0022430F"/>
    <w:rsid w:val="002247ED"/>
    <w:rsid w:val="00225127"/>
    <w:rsid w:val="002251B2"/>
    <w:rsid w:val="00226977"/>
    <w:rsid w:val="00226E8F"/>
    <w:rsid w:val="00227278"/>
    <w:rsid w:val="002272BA"/>
    <w:rsid w:val="0022790A"/>
    <w:rsid w:val="00230049"/>
    <w:rsid w:val="00230229"/>
    <w:rsid w:val="00230620"/>
    <w:rsid w:val="002309C4"/>
    <w:rsid w:val="00230B38"/>
    <w:rsid w:val="00230B39"/>
    <w:rsid w:val="00230C22"/>
    <w:rsid w:val="0023117A"/>
    <w:rsid w:val="0023134B"/>
    <w:rsid w:val="00231D7E"/>
    <w:rsid w:val="00231FDA"/>
    <w:rsid w:val="002320E8"/>
    <w:rsid w:val="00232885"/>
    <w:rsid w:val="00232B08"/>
    <w:rsid w:val="00232F6C"/>
    <w:rsid w:val="00233577"/>
    <w:rsid w:val="00233859"/>
    <w:rsid w:val="00233FCA"/>
    <w:rsid w:val="00235106"/>
    <w:rsid w:val="00235166"/>
    <w:rsid w:val="00235230"/>
    <w:rsid w:val="0023530F"/>
    <w:rsid w:val="002354FF"/>
    <w:rsid w:val="002357E6"/>
    <w:rsid w:val="00235B0D"/>
    <w:rsid w:val="00235B48"/>
    <w:rsid w:val="00235C74"/>
    <w:rsid w:val="00236DE2"/>
    <w:rsid w:val="002372A1"/>
    <w:rsid w:val="00237B91"/>
    <w:rsid w:val="00240182"/>
    <w:rsid w:val="00240233"/>
    <w:rsid w:val="00240306"/>
    <w:rsid w:val="00240EE0"/>
    <w:rsid w:val="002410BF"/>
    <w:rsid w:val="00241252"/>
    <w:rsid w:val="00241923"/>
    <w:rsid w:val="00241A34"/>
    <w:rsid w:val="00241B91"/>
    <w:rsid w:val="00242857"/>
    <w:rsid w:val="00243469"/>
    <w:rsid w:val="00243D07"/>
    <w:rsid w:val="00244B73"/>
    <w:rsid w:val="00244B88"/>
    <w:rsid w:val="00245474"/>
    <w:rsid w:val="00245E59"/>
    <w:rsid w:val="00247518"/>
    <w:rsid w:val="0025000B"/>
    <w:rsid w:val="00250941"/>
    <w:rsid w:val="00250C4E"/>
    <w:rsid w:val="00250D1C"/>
    <w:rsid w:val="00250DA5"/>
    <w:rsid w:val="0025135F"/>
    <w:rsid w:val="002519B0"/>
    <w:rsid w:val="0025221B"/>
    <w:rsid w:val="002524D7"/>
    <w:rsid w:val="002527F2"/>
    <w:rsid w:val="00252E11"/>
    <w:rsid w:val="0025420F"/>
    <w:rsid w:val="002542B4"/>
    <w:rsid w:val="00254350"/>
    <w:rsid w:val="00254AAF"/>
    <w:rsid w:val="00254DD9"/>
    <w:rsid w:val="00255C4D"/>
    <w:rsid w:val="00255F0B"/>
    <w:rsid w:val="00256273"/>
    <w:rsid w:val="00256C4A"/>
    <w:rsid w:val="00256D2B"/>
    <w:rsid w:val="00256D33"/>
    <w:rsid w:val="002570A5"/>
    <w:rsid w:val="00257271"/>
    <w:rsid w:val="002574E5"/>
    <w:rsid w:val="002605F7"/>
    <w:rsid w:val="0026109F"/>
    <w:rsid w:val="00261499"/>
    <w:rsid w:val="002617F3"/>
    <w:rsid w:val="00261819"/>
    <w:rsid w:val="00261956"/>
    <w:rsid w:val="00261DD4"/>
    <w:rsid w:val="00261E07"/>
    <w:rsid w:val="00262870"/>
    <w:rsid w:val="0026290F"/>
    <w:rsid w:val="00262E10"/>
    <w:rsid w:val="002630D4"/>
    <w:rsid w:val="0026335B"/>
    <w:rsid w:val="00263A48"/>
    <w:rsid w:val="0026435D"/>
    <w:rsid w:val="00264690"/>
    <w:rsid w:val="00264E69"/>
    <w:rsid w:val="002654DC"/>
    <w:rsid w:val="002665AF"/>
    <w:rsid w:val="00266685"/>
    <w:rsid w:val="00266C92"/>
    <w:rsid w:val="002700C9"/>
    <w:rsid w:val="00270922"/>
    <w:rsid w:val="0027272F"/>
    <w:rsid w:val="00272AE8"/>
    <w:rsid w:val="00272E1E"/>
    <w:rsid w:val="002735C6"/>
    <w:rsid w:val="00273CCF"/>
    <w:rsid w:val="0027471B"/>
    <w:rsid w:val="0027475D"/>
    <w:rsid w:val="00274A87"/>
    <w:rsid w:val="00274E0F"/>
    <w:rsid w:val="0027518C"/>
    <w:rsid w:val="00275A5D"/>
    <w:rsid w:val="00275B03"/>
    <w:rsid w:val="00275BCB"/>
    <w:rsid w:val="00275D45"/>
    <w:rsid w:val="002764A1"/>
    <w:rsid w:val="00276C39"/>
    <w:rsid w:val="00276DE6"/>
    <w:rsid w:val="0027732A"/>
    <w:rsid w:val="002774C2"/>
    <w:rsid w:val="00277817"/>
    <w:rsid w:val="00277B56"/>
    <w:rsid w:val="00280F81"/>
    <w:rsid w:val="00281337"/>
    <w:rsid w:val="00282F22"/>
    <w:rsid w:val="0028302B"/>
    <w:rsid w:val="002830B0"/>
    <w:rsid w:val="00283E93"/>
    <w:rsid w:val="002846B6"/>
    <w:rsid w:val="00284867"/>
    <w:rsid w:val="00284A3D"/>
    <w:rsid w:val="00284A4B"/>
    <w:rsid w:val="00284DBB"/>
    <w:rsid w:val="0028539D"/>
    <w:rsid w:val="002853F8"/>
    <w:rsid w:val="00285400"/>
    <w:rsid w:val="002856BF"/>
    <w:rsid w:val="00285760"/>
    <w:rsid w:val="002858CD"/>
    <w:rsid w:val="00285B6B"/>
    <w:rsid w:val="00285BE9"/>
    <w:rsid w:val="00286349"/>
    <w:rsid w:val="0028714D"/>
    <w:rsid w:val="00287931"/>
    <w:rsid w:val="002879E8"/>
    <w:rsid w:val="00287E15"/>
    <w:rsid w:val="002900F0"/>
    <w:rsid w:val="0029034B"/>
    <w:rsid w:val="0029097C"/>
    <w:rsid w:val="00290B07"/>
    <w:rsid w:val="00290F56"/>
    <w:rsid w:val="002910DC"/>
    <w:rsid w:val="002916D6"/>
    <w:rsid w:val="002920F9"/>
    <w:rsid w:val="002927D6"/>
    <w:rsid w:val="002929B2"/>
    <w:rsid w:val="0029356A"/>
    <w:rsid w:val="002936C7"/>
    <w:rsid w:val="0029430D"/>
    <w:rsid w:val="00294708"/>
    <w:rsid w:val="00294961"/>
    <w:rsid w:val="00294BB5"/>
    <w:rsid w:val="00295331"/>
    <w:rsid w:val="00296037"/>
    <w:rsid w:val="0029657F"/>
    <w:rsid w:val="00296627"/>
    <w:rsid w:val="00296D1A"/>
    <w:rsid w:val="00296F0B"/>
    <w:rsid w:val="00297F87"/>
    <w:rsid w:val="002A0421"/>
    <w:rsid w:val="002A07E6"/>
    <w:rsid w:val="002A0BB2"/>
    <w:rsid w:val="002A148E"/>
    <w:rsid w:val="002A157C"/>
    <w:rsid w:val="002A168F"/>
    <w:rsid w:val="002A1A6F"/>
    <w:rsid w:val="002A2015"/>
    <w:rsid w:val="002A2200"/>
    <w:rsid w:val="002A2885"/>
    <w:rsid w:val="002A3653"/>
    <w:rsid w:val="002A36B4"/>
    <w:rsid w:val="002A38C4"/>
    <w:rsid w:val="002A39B2"/>
    <w:rsid w:val="002A3FF4"/>
    <w:rsid w:val="002A488F"/>
    <w:rsid w:val="002A4F9C"/>
    <w:rsid w:val="002A5095"/>
    <w:rsid w:val="002A533F"/>
    <w:rsid w:val="002A5901"/>
    <w:rsid w:val="002A5BA6"/>
    <w:rsid w:val="002A69F4"/>
    <w:rsid w:val="002A6B7B"/>
    <w:rsid w:val="002A726F"/>
    <w:rsid w:val="002A7670"/>
    <w:rsid w:val="002A78B7"/>
    <w:rsid w:val="002B0256"/>
    <w:rsid w:val="002B0808"/>
    <w:rsid w:val="002B1217"/>
    <w:rsid w:val="002B1300"/>
    <w:rsid w:val="002B1FD4"/>
    <w:rsid w:val="002B2606"/>
    <w:rsid w:val="002B2CF7"/>
    <w:rsid w:val="002B2DBE"/>
    <w:rsid w:val="002B3170"/>
    <w:rsid w:val="002B3612"/>
    <w:rsid w:val="002B376C"/>
    <w:rsid w:val="002B37E2"/>
    <w:rsid w:val="002B4327"/>
    <w:rsid w:val="002B4DC1"/>
    <w:rsid w:val="002B52EE"/>
    <w:rsid w:val="002B56CD"/>
    <w:rsid w:val="002B6941"/>
    <w:rsid w:val="002B70AE"/>
    <w:rsid w:val="002B7A38"/>
    <w:rsid w:val="002B7B7A"/>
    <w:rsid w:val="002B7C2C"/>
    <w:rsid w:val="002C0361"/>
    <w:rsid w:val="002C0452"/>
    <w:rsid w:val="002C0691"/>
    <w:rsid w:val="002C0DA6"/>
    <w:rsid w:val="002C2474"/>
    <w:rsid w:val="002C2A0F"/>
    <w:rsid w:val="002C4021"/>
    <w:rsid w:val="002C41D9"/>
    <w:rsid w:val="002C4EE1"/>
    <w:rsid w:val="002C4F2C"/>
    <w:rsid w:val="002C5428"/>
    <w:rsid w:val="002C5A16"/>
    <w:rsid w:val="002C5E76"/>
    <w:rsid w:val="002C7171"/>
    <w:rsid w:val="002C7828"/>
    <w:rsid w:val="002C7F31"/>
    <w:rsid w:val="002D0444"/>
    <w:rsid w:val="002D0683"/>
    <w:rsid w:val="002D0889"/>
    <w:rsid w:val="002D095B"/>
    <w:rsid w:val="002D144D"/>
    <w:rsid w:val="002D160F"/>
    <w:rsid w:val="002D18CA"/>
    <w:rsid w:val="002D1AA6"/>
    <w:rsid w:val="002D25C1"/>
    <w:rsid w:val="002D30DD"/>
    <w:rsid w:val="002D3101"/>
    <w:rsid w:val="002D37DC"/>
    <w:rsid w:val="002D461D"/>
    <w:rsid w:val="002D467A"/>
    <w:rsid w:val="002D493B"/>
    <w:rsid w:val="002D4CC5"/>
    <w:rsid w:val="002D4F3A"/>
    <w:rsid w:val="002D5960"/>
    <w:rsid w:val="002D60F2"/>
    <w:rsid w:val="002D6224"/>
    <w:rsid w:val="002D647C"/>
    <w:rsid w:val="002D6F98"/>
    <w:rsid w:val="002D7003"/>
    <w:rsid w:val="002D7A5C"/>
    <w:rsid w:val="002E0218"/>
    <w:rsid w:val="002E0ADF"/>
    <w:rsid w:val="002E0FC0"/>
    <w:rsid w:val="002E1D4D"/>
    <w:rsid w:val="002E1E96"/>
    <w:rsid w:val="002E25CB"/>
    <w:rsid w:val="002E2DCC"/>
    <w:rsid w:val="002E2EC8"/>
    <w:rsid w:val="002E308D"/>
    <w:rsid w:val="002E30D3"/>
    <w:rsid w:val="002E3274"/>
    <w:rsid w:val="002E3755"/>
    <w:rsid w:val="002E387C"/>
    <w:rsid w:val="002E3A9C"/>
    <w:rsid w:val="002E3F92"/>
    <w:rsid w:val="002E40AA"/>
    <w:rsid w:val="002E49B4"/>
    <w:rsid w:val="002E4AFF"/>
    <w:rsid w:val="002E52E8"/>
    <w:rsid w:val="002E5427"/>
    <w:rsid w:val="002E5825"/>
    <w:rsid w:val="002E5858"/>
    <w:rsid w:val="002E5D23"/>
    <w:rsid w:val="002E7019"/>
    <w:rsid w:val="002F08A9"/>
    <w:rsid w:val="002F1224"/>
    <w:rsid w:val="002F1959"/>
    <w:rsid w:val="002F2801"/>
    <w:rsid w:val="002F288D"/>
    <w:rsid w:val="002F2944"/>
    <w:rsid w:val="002F2C25"/>
    <w:rsid w:val="002F3AE9"/>
    <w:rsid w:val="002F3C44"/>
    <w:rsid w:val="002F3F82"/>
    <w:rsid w:val="002F4AAB"/>
    <w:rsid w:val="002F4B3F"/>
    <w:rsid w:val="002F52D0"/>
    <w:rsid w:val="002F556B"/>
    <w:rsid w:val="002F5A3F"/>
    <w:rsid w:val="002F5D1A"/>
    <w:rsid w:val="002F5EEC"/>
    <w:rsid w:val="002F6275"/>
    <w:rsid w:val="002F69EB"/>
    <w:rsid w:val="002F6A63"/>
    <w:rsid w:val="002F7542"/>
    <w:rsid w:val="002F7F88"/>
    <w:rsid w:val="0030106D"/>
    <w:rsid w:val="003011C4"/>
    <w:rsid w:val="0030208D"/>
    <w:rsid w:val="0030250F"/>
    <w:rsid w:val="00302A30"/>
    <w:rsid w:val="00302B92"/>
    <w:rsid w:val="00302D43"/>
    <w:rsid w:val="00303704"/>
    <w:rsid w:val="0030388B"/>
    <w:rsid w:val="00303A9E"/>
    <w:rsid w:val="00303F6D"/>
    <w:rsid w:val="0030405A"/>
    <w:rsid w:val="00304105"/>
    <w:rsid w:val="003041D0"/>
    <w:rsid w:val="003043B6"/>
    <w:rsid w:val="00304BC7"/>
    <w:rsid w:val="0030516B"/>
    <w:rsid w:val="003051B7"/>
    <w:rsid w:val="00305588"/>
    <w:rsid w:val="003055F3"/>
    <w:rsid w:val="003057A7"/>
    <w:rsid w:val="0030592F"/>
    <w:rsid w:val="00305C09"/>
    <w:rsid w:val="00305F45"/>
    <w:rsid w:val="003065BF"/>
    <w:rsid w:val="003069F9"/>
    <w:rsid w:val="00306B7A"/>
    <w:rsid w:val="00306CB2"/>
    <w:rsid w:val="00306EBC"/>
    <w:rsid w:val="00307853"/>
    <w:rsid w:val="00307EC0"/>
    <w:rsid w:val="00310B7C"/>
    <w:rsid w:val="00310F8C"/>
    <w:rsid w:val="0031104A"/>
    <w:rsid w:val="00311079"/>
    <w:rsid w:val="003119FE"/>
    <w:rsid w:val="00311EE5"/>
    <w:rsid w:val="00313451"/>
    <w:rsid w:val="00313B64"/>
    <w:rsid w:val="00313E85"/>
    <w:rsid w:val="00313FED"/>
    <w:rsid w:val="0031438C"/>
    <w:rsid w:val="003144EF"/>
    <w:rsid w:val="00315535"/>
    <w:rsid w:val="00315760"/>
    <w:rsid w:val="00315B7B"/>
    <w:rsid w:val="00315CFE"/>
    <w:rsid w:val="00316194"/>
    <w:rsid w:val="00316444"/>
    <w:rsid w:val="003168E5"/>
    <w:rsid w:val="00316A4C"/>
    <w:rsid w:val="00316D8B"/>
    <w:rsid w:val="00317171"/>
    <w:rsid w:val="003171BF"/>
    <w:rsid w:val="00317324"/>
    <w:rsid w:val="00317518"/>
    <w:rsid w:val="00317B34"/>
    <w:rsid w:val="00320B91"/>
    <w:rsid w:val="00321282"/>
    <w:rsid w:val="00321677"/>
    <w:rsid w:val="0032273D"/>
    <w:rsid w:val="00322B14"/>
    <w:rsid w:val="0032375E"/>
    <w:rsid w:val="00323AEE"/>
    <w:rsid w:val="00323E63"/>
    <w:rsid w:val="00324023"/>
    <w:rsid w:val="00324150"/>
    <w:rsid w:val="003242CF"/>
    <w:rsid w:val="00325003"/>
    <w:rsid w:val="003250A5"/>
    <w:rsid w:val="00325973"/>
    <w:rsid w:val="00325B13"/>
    <w:rsid w:val="00325B14"/>
    <w:rsid w:val="00325D2A"/>
    <w:rsid w:val="00325E17"/>
    <w:rsid w:val="00326AFD"/>
    <w:rsid w:val="00326B56"/>
    <w:rsid w:val="0032785D"/>
    <w:rsid w:val="00327F72"/>
    <w:rsid w:val="003300A6"/>
    <w:rsid w:val="003305CE"/>
    <w:rsid w:val="00330614"/>
    <w:rsid w:val="00330C38"/>
    <w:rsid w:val="003311D4"/>
    <w:rsid w:val="00331D73"/>
    <w:rsid w:val="0033207E"/>
    <w:rsid w:val="00332132"/>
    <w:rsid w:val="00332161"/>
    <w:rsid w:val="003329C5"/>
    <w:rsid w:val="00332A37"/>
    <w:rsid w:val="0033316B"/>
    <w:rsid w:val="003332F8"/>
    <w:rsid w:val="00333786"/>
    <w:rsid w:val="00333B94"/>
    <w:rsid w:val="00333F02"/>
    <w:rsid w:val="003340ED"/>
    <w:rsid w:val="003347F1"/>
    <w:rsid w:val="003350D3"/>
    <w:rsid w:val="00335407"/>
    <w:rsid w:val="003358DA"/>
    <w:rsid w:val="00335979"/>
    <w:rsid w:val="0033598F"/>
    <w:rsid w:val="003361F7"/>
    <w:rsid w:val="0033685B"/>
    <w:rsid w:val="00336884"/>
    <w:rsid w:val="00337085"/>
    <w:rsid w:val="00337247"/>
    <w:rsid w:val="00337378"/>
    <w:rsid w:val="00337BD4"/>
    <w:rsid w:val="00340058"/>
    <w:rsid w:val="00340078"/>
    <w:rsid w:val="00340437"/>
    <w:rsid w:val="00340AD7"/>
    <w:rsid w:val="00340CC9"/>
    <w:rsid w:val="00340CE1"/>
    <w:rsid w:val="0034132A"/>
    <w:rsid w:val="0034172A"/>
    <w:rsid w:val="00341BC9"/>
    <w:rsid w:val="00341F50"/>
    <w:rsid w:val="003423AB"/>
    <w:rsid w:val="00342449"/>
    <w:rsid w:val="00342544"/>
    <w:rsid w:val="003429A1"/>
    <w:rsid w:val="00342B3F"/>
    <w:rsid w:val="003433E2"/>
    <w:rsid w:val="00343459"/>
    <w:rsid w:val="00343874"/>
    <w:rsid w:val="00343CFB"/>
    <w:rsid w:val="003440DC"/>
    <w:rsid w:val="00344B6E"/>
    <w:rsid w:val="003458F4"/>
    <w:rsid w:val="00345B3F"/>
    <w:rsid w:val="00345BA7"/>
    <w:rsid w:val="00347D03"/>
    <w:rsid w:val="00347FA5"/>
    <w:rsid w:val="003504DB"/>
    <w:rsid w:val="00350893"/>
    <w:rsid w:val="00350927"/>
    <w:rsid w:val="00350A15"/>
    <w:rsid w:val="00350E7A"/>
    <w:rsid w:val="00350F74"/>
    <w:rsid w:val="003514C6"/>
    <w:rsid w:val="003519DD"/>
    <w:rsid w:val="003527DC"/>
    <w:rsid w:val="003529AD"/>
    <w:rsid w:val="00352CE9"/>
    <w:rsid w:val="003537E5"/>
    <w:rsid w:val="00353868"/>
    <w:rsid w:val="003538C8"/>
    <w:rsid w:val="00353E6F"/>
    <w:rsid w:val="00353EB6"/>
    <w:rsid w:val="00354018"/>
    <w:rsid w:val="003540DD"/>
    <w:rsid w:val="00354C28"/>
    <w:rsid w:val="00355099"/>
    <w:rsid w:val="0035598E"/>
    <w:rsid w:val="003560E4"/>
    <w:rsid w:val="003567BD"/>
    <w:rsid w:val="00356FCA"/>
    <w:rsid w:val="00357083"/>
    <w:rsid w:val="00357262"/>
    <w:rsid w:val="003577DB"/>
    <w:rsid w:val="00357CEB"/>
    <w:rsid w:val="003600AE"/>
    <w:rsid w:val="003607E0"/>
    <w:rsid w:val="003607F9"/>
    <w:rsid w:val="0036090B"/>
    <w:rsid w:val="00360E6C"/>
    <w:rsid w:val="00361415"/>
    <w:rsid w:val="00361816"/>
    <w:rsid w:val="00361E6E"/>
    <w:rsid w:val="0036228A"/>
    <w:rsid w:val="0036257B"/>
    <w:rsid w:val="003638C5"/>
    <w:rsid w:val="00363B7F"/>
    <w:rsid w:val="00364333"/>
    <w:rsid w:val="00364C71"/>
    <w:rsid w:val="00365386"/>
    <w:rsid w:val="0036546D"/>
    <w:rsid w:val="003657A0"/>
    <w:rsid w:val="00365BA9"/>
    <w:rsid w:val="003663FE"/>
    <w:rsid w:val="003673D3"/>
    <w:rsid w:val="0036773D"/>
    <w:rsid w:val="0036788C"/>
    <w:rsid w:val="00367C72"/>
    <w:rsid w:val="00370537"/>
    <w:rsid w:val="00370AA4"/>
    <w:rsid w:val="00370F8E"/>
    <w:rsid w:val="00371428"/>
    <w:rsid w:val="003714A1"/>
    <w:rsid w:val="00371CA4"/>
    <w:rsid w:val="00371DEA"/>
    <w:rsid w:val="00371F22"/>
    <w:rsid w:val="00372D18"/>
    <w:rsid w:val="00373252"/>
    <w:rsid w:val="00373544"/>
    <w:rsid w:val="0037377E"/>
    <w:rsid w:val="0037439A"/>
    <w:rsid w:val="003745FD"/>
    <w:rsid w:val="003745FE"/>
    <w:rsid w:val="00374633"/>
    <w:rsid w:val="003746A7"/>
    <w:rsid w:val="003747C4"/>
    <w:rsid w:val="00374F69"/>
    <w:rsid w:val="003755FF"/>
    <w:rsid w:val="00375699"/>
    <w:rsid w:val="003756ED"/>
    <w:rsid w:val="003762BD"/>
    <w:rsid w:val="00376B54"/>
    <w:rsid w:val="00376DB2"/>
    <w:rsid w:val="00376ECE"/>
    <w:rsid w:val="003775F3"/>
    <w:rsid w:val="003810F1"/>
    <w:rsid w:val="00381262"/>
    <w:rsid w:val="00381C8B"/>
    <w:rsid w:val="00382753"/>
    <w:rsid w:val="003827A7"/>
    <w:rsid w:val="003827F5"/>
    <w:rsid w:val="00382931"/>
    <w:rsid w:val="00382B02"/>
    <w:rsid w:val="00382BDA"/>
    <w:rsid w:val="00382CA8"/>
    <w:rsid w:val="003833A7"/>
    <w:rsid w:val="003834BC"/>
    <w:rsid w:val="003835D0"/>
    <w:rsid w:val="00383792"/>
    <w:rsid w:val="0038449F"/>
    <w:rsid w:val="003844EE"/>
    <w:rsid w:val="003849C6"/>
    <w:rsid w:val="0038561A"/>
    <w:rsid w:val="00385CB1"/>
    <w:rsid w:val="0038664C"/>
    <w:rsid w:val="00386E9C"/>
    <w:rsid w:val="003873C9"/>
    <w:rsid w:val="00387537"/>
    <w:rsid w:val="00387594"/>
    <w:rsid w:val="0038785F"/>
    <w:rsid w:val="003879D9"/>
    <w:rsid w:val="00387ABD"/>
    <w:rsid w:val="00387BC7"/>
    <w:rsid w:val="003903AF"/>
    <w:rsid w:val="003905E3"/>
    <w:rsid w:val="00390D4B"/>
    <w:rsid w:val="00390F82"/>
    <w:rsid w:val="00391217"/>
    <w:rsid w:val="0039169F"/>
    <w:rsid w:val="003916DE"/>
    <w:rsid w:val="00391BAD"/>
    <w:rsid w:val="0039207E"/>
    <w:rsid w:val="0039264D"/>
    <w:rsid w:val="00392876"/>
    <w:rsid w:val="00392C4D"/>
    <w:rsid w:val="00392F12"/>
    <w:rsid w:val="003936BF"/>
    <w:rsid w:val="003938E3"/>
    <w:rsid w:val="00393BC9"/>
    <w:rsid w:val="00393EA5"/>
    <w:rsid w:val="003942C9"/>
    <w:rsid w:val="003944BE"/>
    <w:rsid w:val="00394D07"/>
    <w:rsid w:val="00394DED"/>
    <w:rsid w:val="003950BE"/>
    <w:rsid w:val="003956D9"/>
    <w:rsid w:val="003957D5"/>
    <w:rsid w:val="00395D2C"/>
    <w:rsid w:val="00396657"/>
    <w:rsid w:val="00397FB6"/>
    <w:rsid w:val="003A00C9"/>
    <w:rsid w:val="003A047E"/>
    <w:rsid w:val="003A0482"/>
    <w:rsid w:val="003A04EF"/>
    <w:rsid w:val="003A1378"/>
    <w:rsid w:val="003A145D"/>
    <w:rsid w:val="003A19C4"/>
    <w:rsid w:val="003A1CAD"/>
    <w:rsid w:val="003A20F3"/>
    <w:rsid w:val="003A2656"/>
    <w:rsid w:val="003A2731"/>
    <w:rsid w:val="003A286F"/>
    <w:rsid w:val="003A28C9"/>
    <w:rsid w:val="003A2C6D"/>
    <w:rsid w:val="003A2D39"/>
    <w:rsid w:val="003A3FAB"/>
    <w:rsid w:val="003A4CC1"/>
    <w:rsid w:val="003A521D"/>
    <w:rsid w:val="003A59E1"/>
    <w:rsid w:val="003A5AB9"/>
    <w:rsid w:val="003A5C6B"/>
    <w:rsid w:val="003A5DB5"/>
    <w:rsid w:val="003A64F7"/>
    <w:rsid w:val="003A6896"/>
    <w:rsid w:val="003A72B0"/>
    <w:rsid w:val="003A7AB4"/>
    <w:rsid w:val="003A7E52"/>
    <w:rsid w:val="003B076E"/>
    <w:rsid w:val="003B0B56"/>
    <w:rsid w:val="003B0C36"/>
    <w:rsid w:val="003B1305"/>
    <w:rsid w:val="003B27A3"/>
    <w:rsid w:val="003B27B4"/>
    <w:rsid w:val="003B29E4"/>
    <w:rsid w:val="003B2B5A"/>
    <w:rsid w:val="003B2DF1"/>
    <w:rsid w:val="003B3B14"/>
    <w:rsid w:val="003B3B9F"/>
    <w:rsid w:val="003B3FE9"/>
    <w:rsid w:val="003B43A6"/>
    <w:rsid w:val="003B5E27"/>
    <w:rsid w:val="003B5E36"/>
    <w:rsid w:val="003B5F19"/>
    <w:rsid w:val="003B5FAC"/>
    <w:rsid w:val="003B62EA"/>
    <w:rsid w:val="003B682A"/>
    <w:rsid w:val="003B687E"/>
    <w:rsid w:val="003B6BA1"/>
    <w:rsid w:val="003B6BCB"/>
    <w:rsid w:val="003B741F"/>
    <w:rsid w:val="003B7AAE"/>
    <w:rsid w:val="003C0271"/>
    <w:rsid w:val="003C0E1F"/>
    <w:rsid w:val="003C12A1"/>
    <w:rsid w:val="003C1C65"/>
    <w:rsid w:val="003C209C"/>
    <w:rsid w:val="003C24C7"/>
    <w:rsid w:val="003C2A70"/>
    <w:rsid w:val="003C2F76"/>
    <w:rsid w:val="003C30D7"/>
    <w:rsid w:val="003C35A5"/>
    <w:rsid w:val="003C3B6E"/>
    <w:rsid w:val="003C428B"/>
    <w:rsid w:val="003C459F"/>
    <w:rsid w:val="003C4BC1"/>
    <w:rsid w:val="003C4FC4"/>
    <w:rsid w:val="003C5073"/>
    <w:rsid w:val="003C57EF"/>
    <w:rsid w:val="003C5A1A"/>
    <w:rsid w:val="003C5A27"/>
    <w:rsid w:val="003C5E7E"/>
    <w:rsid w:val="003C5F88"/>
    <w:rsid w:val="003C646A"/>
    <w:rsid w:val="003C6B76"/>
    <w:rsid w:val="003C6D10"/>
    <w:rsid w:val="003C70AD"/>
    <w:rsid w:val="003C70B2"/>
    <w:rsid w:val="003C733A"/>
    <w:rsid w:val="003C7684"/>
    <w:rsid w:val="003C7731"/>
    <w:rsid w:val="003C7C46"/>
    <w:rsid w:val="003D0044"/>
    <w:rsid w:val="003D009D"/>
    <w:rsid w:val="003D016F"/>
    <w:rsid w:val="003D066C"/>
    <w:rsid w:val="003D0C33"/>
    <w:rsid w:val="003D0E55"/>
    <w:rsid w:val="003D0F9C"/>
    <w:rsid w:val="003D12AA"/>
    <w:rsid w:val="003D2141"/>
    <w:rsid w:val="003D282A"/>
    <w:rsid w:val="003D2F48"/>
    <w:rsid w:val="003D35AD"/>
    <w:rsid w:val="003D3684"/>
    <w:rsid w:val="003D3A77"/>
    <w:rsid w:val="003D41DF"/>
    <w:rsid w:val="003D48CC"/>
    <w:rsid w:val="003D4DEC"/>
    <w:rsid w:val="003D5184"/>
    <w:rsid w:val="003D51F9"/>
    <w:rsid w:val="003D5526"/>
    <w:rsid w:val="003D5674"/>
    <w:rsid w:val="003D5ABD"/>
    <w:rsid w:val="003D68F6"/>
    <w:rsid w:val="003D6D52"/>
    <w:rsid w:val="003D6DD7"/>
    <w:rsid w:val="003D6F40"/>
    <w:rsid w:val="003D6FAC"/>
    <w:rsid w:val="003D7643"/>
    <w:rsid w:val="003D79CA"/>
    <w:rsid w:val="003E0595"/>
    <w:rsid w:val="003E070C"/>
    <w:rsid w:val="003E0FE5"/>
    <w:rsid w:val="003E11EE"/>
    <w:rsid w:val="003E15BB"/>
    <w:rsid w:val="003E26DF"/>
    <w:rsid w:val="003E2B44"/>
    <w:rsid w:val="003E2D84"/>
    <w:rsid w:val="003E3057"/>
    <w:rsid w:val="003E3065"/>
    <w:rsid w:val="003E33DC"/>
    <w:rsid w:val="003E3C86"/>
    <w:rsid w:val="003E3FB1"/>
    <w:rsid w:val="003E418F"/>
    <w:rsid w:val="003E44F1"/>
    <w:rsid w:val="003E4B0C"/>
    <w:rsid w:val="003E5C53"/>
    <w:rsid w:val="003E5D04"/>
    <w:rsid w:val="003E5DB6"/>
    <w:rsid w:val="003E6623"/>
    <w:rsid w:val="003E68CB"/>
    <w:rsid w:val="003E752C"/>
    <w:rsid w:val="003E77CA"/>
    <w:rsid w:val="003E7AC9"/>
    <w:rsid w:val="003F0AF4"/>
    <w:rsid w:val="003F0C18"/>
    <w:rsid w:val="003F1A8D"/>
    <w:rsid w:val="003F1B4E"/>
    <w:rsid w:val="003F226C"/>
    <w:rsid w:val="003F2CA9"/>
    <w:rsid w:val="003F31EA"/>
    <w:rsid w:val="003F348B"/>
    <w:rsid w:val="003F35C7"/>
    <w:rsid w:val="003F363B"/>
    <w:rsid w:val="003F37FC"/>
    <w:rsid w:val="003F3C66"/>
    <w:rsid w:val="003F3E0A"/>
    <w:rsid w:val="003F4D0F"/>
    <w:rsid w:val="003F4F7E"/>
    <w:rsid w:val="003F52BA"/>
    <w:rsid w:val="003F5D97"/>
    <w:rsid w:val="003F670E"/>
    <w:rsid w:val="003F67AA"/>
    <w:rsid w:val="003F6971"/>
    <w:rsid w:val="003F6FF3"/>
    <w:rsid w:val="003F7755"/>
    <w:rsid w:val="003F7C37"/>
    <w:rsid w:val="00400326"/>
    <w:rsid w:val="00400AC1"/>
    <w:rsid w:val="00401B06"/>
    <w:rsid w:val="00401E4E"/>
    <w:rsid w:val="004026D0"/>
    <w:rsid w:val="00402938"/>
    <w:rsid w:val="00402A91"/>
    <w:rsid w:val="00402E60"/>
    <w:rsid w:val="0040301F"/>
    <w:rsid w:val="004032A4"/>
    <w:rsid w:val="00403690"/>
    <w:rsid w:val="00404D23"/>
    <w:rsid w:val="00405575"/>
    <w:rsid w:val="00405727"/>
    <w:rsid w:val="0040580B"/>
    <w:rsid w:val="004059E9"/>
    <w:rsid w:val="004060A4"/>
    <w:rsid w:val="00406BFF"/>
    <w:rsid w:val="00406EB5"/>
    <w:rsid w:val="004071D7"/>
    <w:rsid w:val="00407221"/>
    <w:rsid w:val="004073F3"/>
    <w:rsid w:val="004075DB"/>
    <w:rsid w:val="004079B7"/>
    <w:rsid w:val="0041059C"/>
    <w:rsid w:val="004105F9"/>
    <w:rsid w:val="00410D3B"/>
    <w:rsid w:val="00410EFD"/>
    <w:rsid w:val="004118A9"/>
    <w:rsid w:val="0041281A"/>
    <w:rsid w:val="00413BC8"/>
    <w:rsid w:val="00413E0C"/>
    <w:rsid w:val="00413FD6"/>
    <w:rsid w:val="0041415D"/>
    <w:rsid w:val="004151D3"/>
    <w:rsid w:val="0041556B"/>
    <w:rsid w:val="004163A7"/>
    <w:rsid w:val="00416628"/>
    <w:rsid w:val="0041666E"/>
    <w:rsid w:val="00416AB1"/>
    <w:rsid w:val="00416AB4"/>
    <w:rsid w:val="0041772B"/>
    <w:rsid w:val="004205DC"/>
    <w:rsid w:val="004207F9"/>
    <w:rsid w:val="004211A0"/>
    <w:rsid w:val="004211AB"/>
    <w:rsid w:val="00421265"/>
    <w:rsid w:val="0042177C"/>
    <w:rsid w:val="00421DB9"/>
    <w:rsid w:val="00422DA4"/>
    <w:rsid w:val="004230A3"/>
    <w:rsid w:val="0042353A"/>
    <w:rsid w:val="00424AF2"/>
    <w:rsid w:val="004250E7"/>
    <w:rsid w:val="004251F1"/>
    <w:rsid w:val="00425E25"/>
    <w:rsid w:val="0042693D"/>
    <w:rsid w:val="00427A25"/>
    <w:rsid w:val="00427A54"/>
    <w:rsid w:val="00427E5D"/>
    <w:rsid w:val="004309C1"/>
    <w:rsid w:val="00430B72"/>
    <w:rsid w:val="00430DA7"/>
    <w:rsid w:val="004311EF"/>
    <w:rsid w:val="004314DE"/>
    <w:rsid w:val="004314E3"/>
    <w:rsid w:val="0043182A"/>
    <w:rsid w:val="0043203D"/>
    <w:rsid w:val="004328DB"/>
    <w:rsid w:val="00432C39"/>
    <w:rsid w:val="0043350F"/>
    <w:rsid w:val="00433AD7"/>
    <w:rsid w:val="00433BB1"/>
    <w:rsid w:val="00433E17"/>
    <w:rsid w:val="00433E9D"/>
    <w:rsid w:val="0043421C"/>
    <w:rsid w:val="00434F0E"/>
    <w:rsid w:val="00435008"/>
    <w:rsid w:val="004350CF"/>
    <w:rsid w:val="0043554D"/>
    <w:rsid w:val="004357FD"/>
    <w:rsid w:val="00435C6E"/>
    <w:rsid w:val="00435F11"/>
    <w:rsid w:val="00436009"/>
    <w:rsid w:val="0043628D"/>
    <w:rsid w:val="00436B45"/>
    <w:rsid w:val="00437054"/>
    <w:rsid w:val="00437075"/>
    <w:rsid w:val="00437426"/>
    <w:rsid w:val="0043765F"/>
    <w:rsid w:val="00437B64"/>
    <w:rsid w:val="00437C65"/>
    <w:rsid w:val="00440396"/>
    <w:rsid w:val="004403D3"/>
    <w:rsid w:val="00440586"/>
    <w:rsid w:val="004405D2"/>
    <w:rsid w:val="00440737"/>
    <w:rsid w:val="00441AF8"/>
    <w:rsid w:val="00441D0A"/>
    <w:rsid w:val="00441D44"/>
    <w:rsid w:val="00441E28"/>
    <w:rsid w:val="00441F1D"/>
    <w:rsid w:val="00441FBD"/>
    <w:rsid w:val="004423B2"/>
    <w:rsid w:val="004428D4"/>
    <w:rsid w:val="004429A7"/>
    <w:rsid w:val="00442D70"/>
    <w:rsid w:val="0044466A"/>
    <w:rsid w:val="00444AF5"/>
    <w:rsid w:val="00445121"/>
    <w:rsid w:val="00445355"/>
    <w:rsid w:val="004455C1"/>
    <w:rsid w:val="00445980"/>
    <w:rsid w:val="00446333"/>
    <w:rsid w:val="00446827"/>
    <w:rsid w:val="00446AC1"/>
    <w:rsid w:val="00446D27"/>
    <w:rsid w:val="00447145"/>
    <w:rsid w:val="004474CB"/>
    <w:rsid w:val="00447C31"/>
    <w:rsid w:val="00447DA4"/>
    <w:rsid w:val="004503CC"/>
    <w:rsid w:val="00450587"/>
    <w:rsid w:val="004507FD"/>
    <w:rsid w:val="00450E03"/>
    <w:rsid w:val="00451733"/>
    <w:rsid w:val="0045175D"/>
    <w:rsid w:val="00451FC6"/>
    <w:rsid w:val="004528D4"/>
    <w:rsid w:val="00452FB0"/>
    <w:rsid w:val="004530F3"/>
    <w:rsid w:val="00453104"/>
    <w:rsid w:val="0045310D"/>
    <w:rsid w:val="0045333F"/>
    <w:rsid w:val="004537F9"/>
    <w:rsid w:val="0045469F"/>
    <w:rsid w:val="004546DD"/>
    <w:rsid w:val="0045471E"/>
    <w:rsid w:val="00454B78"/>
    <w:rsid w:val="004557B6"/>
    <w:rsid w:val="004560D9"/>
    <w:rsid w:val="0045687B"/>
    <w:rsid w:val="00456CCE"/>
    <w:rsid w:val="00456D69"/>
    <w:rsid w:val="004571F0"/>
    <w:rsid w:val="00460872"/>
    <w:rsid w:val="00460F5F"/>
    <w:rsid w:val="0046144B"/>
    <w:rsid w:val="0046205C"/>
    <w:rsid w:val="004629A9"/>
    <w:rsid w:val="00462A0B"/>
    <w:rsid w:val="00462A9C"/>
    <w:rsid w:val="00463C31"/>
    <w:rsid w:val="00463FF8"/>
    <w:rsid w:val="0046421E"/>
    <w:rsid w:val="00464573"/>
    <w:rsid w:val="0046469E"/>
    <w:rsid w:val="00464834"/>
    <w:rsid w:val="00465082"/>
    <w:rsid w:val="004654CB"/>
    <w:rsid w:val="004654E9"/>
    <w:rsid w:val="00465D66"/>
    <w:rsid w:val="00466187"/>
    <w:rsid w:val="00466973"/>
    <w:rsid w:val="00466FC5"/>
    <w:rsid w:val="004672C0"/>
    <w:rsid w:val="00467CBC"/>
    <w:rsid w:val="0047006E"/>
    <w:rsid w:val="00470237"/>
    <w:rsid w:val="00470599"/>
    <w:rsid w:val="00470E88"/>
    <w:rsid w:val="00471053"/>
    <w:rsid w:val="004710CB"/>
    <w:rsid w:val="00471202"/>
    <w:rsid w:val="0047196E"/>
    <w:rsid w:val="00471B63"/>
    <w:rsid w:val="00471C78"/>
    <w:rsid w:val="00472111"/>
    <w:rsid w:val="00472C42"/>
    <w:rsid w:val="00473F26"/>
    <w:rsid w:val="0047446D"/>
    <w:rsid w:val="00474ABD"/>
    <w:rsid w:val="00474C33"/>
    <w:rsid w:val="0047523A"/>
    <w:rsid w:val="00475751"/>
    <w:rsid w:val="00475760"/>
    <w:rsid w:val="00475F86"/>
    <w:rsid w:val="004762A9"/>
    <w:rsid w:val="0047675A"/>
    <w:rsid w:val="00476BFD"/>
    <w:rsid w:val="0048054B"/>
    <w:rsid w:val="00480CE8"/>
    <w:rsid w:val="00480E9E"/>
    <w:rsid w:val="00480FF7"/>
    <w:rsid w:val="00481082"/>
    <w:rsid w:val="00481600"/>
    <w:rsid w:val="0048161B"/>
    <w:rsid w:val="00481B3A"/>
    <w:rsid w:val="0048272F"/>
    <w:rsid w:val="00482813"/>
    <w:rsid w:val="0048325D"/>
    <w:rsid w:val="0048337A"/>
    <w:rsid w:val="004838FE"/>
    <w:rsid w:val="004841F5"/>
    <w:rsid w:val="00484863"/>
    <w:rsid w:val="00484E0C"/>
    <w:rsid w:val="0048516F"/>
    <w:rsid w:val="00485F20"/>
    <w:rsid w:val="00486BE9"/>
    <w:rsid w:val="004871B0"/>
    <w:rsid w:val="00487F39"/>
    <w:rsid w:val="00490B8F"/>
    <w:rsid w:val="00490FBE"/>
    <w:rsid w:val="0049123E"/>
    <w:rsid w:val="00491D91"/>
    <w:rsid w:val="0049278A"/>
    <w:rsid w:val="00492982"/>
    <w:rsid w:val="00492F11"/>
    <w:rsid w:val="00492F91"/>
    <w:rsid w:val="004935F4"/>
    <w:rsid w:val="004945C5"/>
    <w:rsid w:val="00495650"/>
    <w:rsid w:val="00495F0D"/>
    <w:rsid w:val="00496257"/>
    <w:rsid w:val="00496906"/>
    <w:rsid w:val="00496D2D"/>
    <w:rsid w:val="00496F5B"/>
    <w:rsid w:val="004970D0"/>
    <w:rsid w:val="004971D1"/>
    <w:rsid w:val="00497214"/>
    <w:rsid w:val="00497F11"/>
    <w:rsid w:val="004A044B"/>
    <w:rsid w:val="004A04BF"/>
    <w:rsid w:val="004A1D26"/>
    <w:rsid w:val="004A2617"/>
    <w:rsid w:val="004A2B4B"/>
    <w:rsid w:val="004A33A1"/>
    <w:rsid w:val="004A365E"/>
    <w:rsid w:val="004A39BF"/>
    <w:rsid w:val="004A3BBF"/>
    <w:rsid w:val="004A3BCC"/>
    <w:rsid w:val="004A3FB2"/>
    <w:rsid w:val="004A56D7"/>
    <w:rsid w:val="004A5932"/>
    <w:rsid w:val="004A5D5F"/>
    <w:rsid w:val="004A637A"/>
    <w:rsid w:val="004A63FC"/>
    <w:rsid w:val="004A6D32"/>
    <w:rsid w:val="004A6E28"/>
    <w:rsid w:val="004A7A48"/>
    <w:rsid w:val="004A7B5D"/>
    <w:rsid w:val="004B001E"/>
    <w:rsid w:val="004B00CF"/>
    <w:rsid w:val="004B06EE"/>
    <w:rsid w:val="004B0E87"/>
    <w:rsid w:val="004B1062"/>
    <w:rsid w:val="004B1CF8"/>
    <w:rsid w:val="004B2B77"/>
    <w:rsid w:val="004B2E68"/>
    <w:rsid w:val="004B3360"/>
    <w:rsid w:val="004B3CF7"/>
    <w:rsid w:val="004B3DAD"/>
    <w:rsid w:val="004B410E"/>
    <w:rsid w:val="004B4149"/>
    <w:rsid w:val="004B42F5"/>
    <w:rsid w:val="004B4528"/>
    <w:rsid w:val="004B49E5"/>
    <w:rsid w:val="004B4C08"/>
    <w:rsid w:val="004B4C6C"/>
    <w:rsid w:val="004B4F64"/>
    <w:rsid w:val="004B5161"/>
    <w:rsid w:val="004B519D"/>
    <w:rsid w:val="004B5B6F"/>
    <w:rsid w:val="004B5BAF"/>
    <w:rsid w:val="004B5CF0"/>
    <w:rsid w:val="004B5D8F"/>
    <w:rsid w:val="004B6253"/>
    <w:rsid w:val="004B6492"/>
    <w:rsid w:val="004B6D61"/>
    <w:rsid w:val="004B6FDA"/>
    <w:rsid w:val="004B74FA"/>
    <w:rsid w:val="004C0111"/>
    <w:rsid w:val="004C0499"/>
    <w:rsid w:val="004C0836"/>
    <w:rsid w:val="004C1395"/>
    <w:rsid w:val="004C17F1"/>
    <w:rsid w:val="004C19C9"/>
    <w:rsid w:val="004C1B59"/>
    <w:rsid w:val="004C2088"/>
    <w:rsid w:val="004C2093"/>
    <w:rsid w:val="004C2493"/>
    <w:rsid w:val="004C261B"/>
    <w:rsid w:val="004C2985"/>
    <w:rsid w:val="004C2C67"/>
    <w:rsid w:val="004C2D21"/>
    <w:rsid w:val="004C3284"/>
    <w:rsid w:val="004C401C"/>
    <w:rsid w:val="004C4028"/>
    <w:rsid w:val="004C44A5"/>
    <w:rsid w:val="004C4C07"/>
    <w:rsid w:val="004C4D02"/>
    <w:rsid w:val="004C4F0F"/>
    <w:rsid w:val="004C52F0"/>
    <w:rsid w:val="004C54F8"/>
    <w:rsid w:val="004C5689"/>
    <w:rsid w:val="004C627A"/>
    <w:rsid w:val="004C6843"/>
    <w:rsid w:val="004C6A1F"/>
    <w:rsid w:val="004C7ABB"/>
    <w:rsid w:val="004C7C0F"/>
    <w:rsid w:val="004C7FF9"/>
    <w:rsid w:val="004D04CA"/>
    <w:rsid w:val="004D0B6B"/>
    <w:rsid w:val="004D1C28"/>
    <w:rsid w:val="004D20D7"/>
    <w:rsid w:val="004D23E8"/>
    <w:rsid w:val="004D29D5"/>
    <w:rsid w:val="004D2E96"/>
    <w:rsid w:val="004D2F1C"/>
    <w:rsid w:val="004D3B83"/>
    <w:rsid w:val="004D402E"/>
    <w:rsid w:val="004D4562"/>
    <w:rsid w:val="004D46E2"/>
    <w:rsid w:val="004D4AF0"/>
    <w:rsid w:val="004D5F3F"/>
    <w:rsid w:val="004D67EB"/>
    <w:rsid w:val="004D69B2"/>
    <w:rsid w:val="004D6A2C"/>
    <w:rsid w:val="004D7251"/>
    <w:rsid w:val="004D7451"/>
    <w:rsid w:val="004D7FB7"/>
    <w:rsid w:val="004E0576"/>
    <w:rsid w:val="004E0CF1"/>
    <w:rsid w:val="004E1100"/>
    <w:rsid w:val="004E15CD"/>
    <w:rsid w:val="004E1DB2"/>
    <w:rsid w:val="004E206F"/>
    <w:rsid w:val="004E2660"/>
    <w:rsid w:val="004E2B66"/>
    <w:rsid w:val="004E31BD"/>
    <w:rsid w:val="004E322E"/>
    <w:rsid w:val="004E32BC"/>
    <w:rsid w:val="004E3AA0"/>
    <w:rsid w:val="004E45EC"/>
    <w:rsid w:val="004E4B39"/>
    <w:rsid w:val="004E4F09"/>
    <w:rsid w:val="004E50A5"/>
    <w:rsid w:val="004E5215"/>
    <w:rsid w:val="004E5330"/>
    <w:rsid w:val="004E5DFC"/>
    <w:rsid w:val="004E632D"/>
    <w:rsid w:val="004E66A5"/>
    <w:rsid w:val="004E6AA5"/>
    <w:rsid w:val="004E6BE3"/>
    <w:rsid w:val="004E6BFE"/>
    <w:rsid w:val="004E6C56"/>
    <w:rsid w:val="004E7742"/>
    <w:rsid w:val="004E79C9"/>
    <w:rsid w:val="004E7AB2"/>
    <w:rsid w:val="004E7ACD"/>
    <w:rsid w:val="004F0A4A"/>
    <w:rsid w:val="004F0DE3"/>
    <w:rsid w:val="004F0EF1"/>
    <w:rsid w:val="004F1359"/>
    <w:rsid w:val="004F1D07"/>
    <w:rsid w:val="004F1F67"/>
    <w:rsid w:val="004F226A"/>
    <w:rsid w:val="004F2552"/>
    <w:rsid w:val="004F2D0B"/>
    <w:rsid w:val="004F3546"/>
    <w:rsid w:val="004F3DBD"/>
    <w:rsid w:val="004F402E"/>
    <w:rsid w:val="004F434E"/>
    <w:rsid w:val="004F5029"/>
    <w:rsid w:val="004F5494"/>
    <w:rsid w:val="004F633A"/>
    <w:rsid w:val="004F66B7"/>
    <w:rsid w:val="004F6AE4"/>
    <w:rsid w:val="00500DA3"/>
    <w:rsid w:val="00501774"/>
    <w:rsid w:val="00501B52"/>
    <w:rsid w:val="00501F75"/>
    <w:rsid w:val="0050206B"/>
    <w:rsid w:val="00502190"/>
    <w:rsid w:val="00502513"/>
    <w:rsid w:val="005029E8"/>
    <w:rsid w:val="00503189"/>
    <w:rsid w:val="00503325"/>
    <w:rsid w:val="0050341C"/>
    <w:rsid w:val="005041D6"/>
    <w:rsid w:val="00504555"/>
    <w:rsid w:val="00504B72"/>
    <w:rsid w:val="00504E54"/>
    <w:rsid w:val="005051CE"/>
    <w:rsid w:val="005056DF"/>
    <w:rsid w:val="00505F7D"/>
    <w:rsid w:val="00506CD5"/>
    <w:rsid w:val="00507502"/>
    <w:rsid w:val="005075D3"/>
    <w:rsid w:val="00507869"/>
    <w:rsid w:val="00507D91"/>
    <w:rsid w:val="00507FAE"/>
    <w:rsid w:val="00510184"/>
    <w:rsid w:val="00510336"/>
    <w:rsid w:val="005119CC"/>
    <w:rsid w:val="00511A65"/>
    <w:rsid w:val="00512C41"/>
    <w:rsid w:val="00513668"/>
    <w:rsid w:val="0051369B"/>
    <w:rsid w:val="005137FD"/>
    <w:rsid w:val="00513E99"/>
    <w:rsid w:val="00514A91"/>
    <w:rsid w:val="00514B59"/>
    <w:rsid w:val="00514CC9"/>
    <w:rsid w:val="00515429"/>
    <w:rsid w:val="005157AA"/>
    <w:rsid w:val="00515CB8"/>
    <w:rsid w:val="00515DB3"/>
    <w:rsid w:val="00515E49"/>
    <w:rsid w:val="00516215"/>
    <w:rsid w:val="00516813"/>
    <w:rsid w:val="005175E5"/>
    <w:rsid w:val="00517606"/>
    <w:rsid w:val="005176D4"/>
    <w:rsid w:val="00517BA2"/>
    <w:rsid w:val="005200B6"/>
    <w:rsid w:val="005200C7"/>
    <w:rsid w:val="00520C53"/>
    <w:rsid w:val="00521AE6"/>
    <w:rsid w:val="00522044"/>
    <w:rsid w:val="005220B5"/>
    <w:rsid w:val="00522310"/>
    <w:rsid w:val="0052250F"/>
    <w:rsid w:val="0052280F"/>
    <w:rsid w:val="0052336B"/>
    <w:rsid w:val="005245AA"/>
    <w:rsid w:val="0052474C"/>
    <w:rsid w:val="0052476E"/>
    <w:rsid w:val="00524A4B"/>
    <w:rsid w:val="00524CE8"/>
    <w:rsid w:val="00525358"/>
    <w:rsid w:val="00525598"/>
    <w:rsid w:val="005255D4"/>
    <w:rsid w:val="00525E33"/>
    <w:rsid w:val="00526653"/>
    <w:rsid w:val="00526A7D"/>
    <w:rsid w:val="00526EE5"/>
    <w:rsid w:val="005275EB"/>
    <w:rsid w:val="005276C5"/>
    <w:rsid w:val="0052795B"/>
    <w:rsid w:val="00527F82"/>
    <w:rsid w:val="00530288"/>
    <w:rsid w:val="005304DC"/>
    <w:rsid w:val="005307A4"/>
    <w:rsid w:val="00531247"/>
    <w:rsid w:val="00531866"/>
    <w:rsid w:val="00531A3F"/>
    <w:rsid w:val="00532616"/>
    <w:rsid w:val="00532B5A"/>
    <w:rsid w:val="00532BB2"/>
    <w:rsid w:val="00532F46"/>
    <w:rsid w:val="00533A95"/>
    <w:rsid w:val="00533C27"/>
    <w:rsid w:val="0053422F"/>
    <w:rsid w:val="00534802"/>
    <w:rsid w:val="00534D73"/>
    <w:rsid w:val="00534F14"/>
    <w:rsid w:val="00535021"/>
    <w:rsid w:val="005355E5"/>
    <w:rsid w:val="00535603"/>
    <w:rsid w:val="005357A2"/>
    <w:rsid w:val="0053601F"/>
    <w:rsid w:val="00536080"/>
    <w:rsid w:val="0053699B"/>
    <w:rsid w:val="00536B98"/>
    <w:rsid w:val="00537128"/>
    <w:rsid w:val="005371CC"/>
    <w:rsid w:val="00537421"/>
    <w:rsid w:val="005378EC"/>
    <w:rsid w:val="00537E06"/>
    <w:rsid w:val="00540073"/>
    <w:rsid w:val="00540458"/>
    <w:rsid w:val="00540624"/>
    <w:rsid w:val="00540C6C"/>
    <w:rsid w:val="005416EF"/>
    <w:rsid w:val="00541D72"/>
    <w:rsid w:val="00542962"/>
    <w:rsid w:val="00542B3D"/>
    <w:rsid w:val="00543335"/>
    <w:rsid w:val="00543526"/>
    <w:rsid w:val="00544178"/>
    <w:rsid w:val="0054437B"/>
    <w:rsid w:val="005444FB"/>
    <w:rsid w:val="00544B4A"/>
    <w:rsid w:val="00545370"/>
    <w:rsid w:val="00545BB3"/>
    <w:rsid w:val="00545FFA"/>
    <w:rsid w:val="005462EA"/>
    <w:rsid w:val="005464ED"/>
    <w:rsid w:val="005465FB"/>
    <w:rsid w:val="005467BC"/>
    <w:rsid w:val="00546C20"/>
    <w:rsid w:val="00547CFD"/>
    <w:rsid w:val="00551284"/>
    <w:rsid w:val="0055141C"/>
    <w:rsid w:val="00551420"/>
    <w:rsid w:val="00551DD5"/>
    <w:rsid w:val="005525CD"/>
    <w:rsid w:val="005526F0"/>
    <w:rsid w:val="00552D93"/>
    <w:rsid w:val="0055353E"/>
    <w:rsid w:val="00553731"/>
    <w:rsid w:val="005537D9"/>
    <w:rsid w:val="00553CF7"/>
    <w:rsid w:val="005547C6"/>
    <w:rsid w:val="00554D94"/>
    <w:rsid w:val="00555585"/>
    <w:rsid w:val="005555E2"/>
    <w:rsid w:val="0055605A"/>
    <w:rsid w:val="005560A8"/>
    <w:rsid w:val="005560EE"/>
    <w:rsid w:val="00556731"/>
    <w:rsid w:val="00556D82"/>
    <w:rsid w:val="00557A27"/>
    <w:rsid w:val="00557F89"/>
    <w:rsid w:val="0056024D"/>
    <w:rsid w:val="00560DE1"/>
    <w:rsid w:val="00561966"/>
    <w:rsid w:val="00561C12"/>
    <w:rsid w:val="0056242F"/>
    <w:rsid w:val="005628BF"/>
    <w:rsid w:val="00562D29"/>
    <w:rsid w:val="00562EC7"/>
    <w:rsid w:val="0056338C"/>
    <w:rsid w:val="005633AE"/>
    <w:rsid w:val="00563BB4"/>
    <w:rsid w:val="005640B1"/>
    <w:rsid w:val="00564DDC"/>
    <w:rsid w:val="005658AA"/>
    <w:rsid w:val="0056613D"/>
    <w:rsid w:val="00566481"/>
    <w:rsid w:val="005668FB"/>
    <w:rsid w:val="005670CD"/>
    <w:rsid w:val="005673B2"/>
    <w:rsid w:val="005674CA"/>
    <w:rsid w:val="00567554"/>
    <w:rsid w:val="00567772"/>
    <w:rsid w:val="00567CCD"/>
    <w:rsid w:val="00567F9C"/>
    <w:rsid w:val="005703CA"/>
    <w:rsid w:val="00570741"/>
    <w:rsid w:val="00570A44"/>
    <w:rsid w:val="00570DD7"/>
    <w:rsid w:val="00571013"/>
    <w:rsid w:val="00571A5C"/>
    <w:rsid w:val="00572190"/>
    <w:rsid w:val="005726D1"/>
    <w:rsid w:val="005731A9"/>
    <w:rsid w:val="005736CD"/>
    <w:rsid w:val="00573D57"/>
    <w:rsid w:val="0057543D"/>
    <w:rsid w:val="00575CD2"/>
    <w:rsid w:val="00575DFD"/>
    <w:rsid w:val="00576CD5"/>
    <w:rsid w:val="00576EA4"/>
    <w:rsid w:val="0057779B"/>
    <w:rsid w:val="00577AEF"/>
    <w:rsid w:val="00580891"/>
    <w:rsid w:val="00580DA8"/>
    <w:rsid w:val="00580E30"/>
    <w:rsid w:val="005814F8"/>
    <w:rsid w:val="005815A2"/>
    <w:rsid w:val="0058189A"/>
    <w:rsid w:val="005822C4"/>
    <w:rsid w:val="005828B9"/>
    <w:rsid w:val="0058304F"/>
    <w:rsid w:val="005835DD"/>
    <w:rsid w:val="005847D3"/>
    <w:rsid w:val="0058509A"/>
    <w:rsid w:val="005850B2"/>
    <w:rsid w:val="00585506"/>
    <w:rsid w:val="00585AE1"/>
    <w:rsid w:val="00585C33"/>
    <w:rsid w:val="00586518"/>
    <w:rsid w:val="005870B0"/>
    <w:rsid w:val="00587171"/>
    <w:rsid w:val="00587B97"/>
    <w:rsid w:val="00587BB5"/>
    <w:rsid w:val="00587D99"/>
    <w:rsid w:val="005912D1"/>
    <w:rsid w:val="00591CAC"/>
    <w:rsid w:val="00592016"/>
    <w:rsid w:val="005920CD"/>
    <w:rsid w:val="0059272D"/>
    <w:rsid w:val="0059317B"/>
    <w:rsid w:val="00593C92"/>
    <w:rsid w:val="00593F3E"/>
    <w:rsid w:val="00594480"/>
    <w:rsid w:val="00594901"/>
    <w:rsid w:val="00594D09"/>
    <w:rsid w:val="00594EFC"/>
    <w:rsid w:val="0059525C"/>
    <w:rsid w:val="0059561C"/>
    <w:rsid w:val="00595802"/>
    <w:rsid w:val="00595887"/>
    <w:rsid w:val="00595D07"/>
    <w:rsid w:val="005970B4"/>
    <w:rsid w:val="0059718D"/>
    <w:rsid w:val="00597FDC"/>
    <w:rsid w:val="005A099D"/>
    <w:rsid w:val="005A09FF"/>
    <w:rsid w:val="005A0E4D"/>
    <w:rsid w:val="005A0EF4"/>
    <w:rsid w:val="005A12CE"/>
    <w:rsid w:val="005A130D"/>
    <w:rsid w:val="005A1ADC"/>
    <w:rsid w:val="005A1B91"/>
    <w:rsid w:val="005A1CAD"/>
    <w:rsid w:val="005A23FE"/>
    <w:rsid w:val="005A2A43"/>
    <w:rsid w:val="005A3716"/>
    <w:rsid w:val="005A3A60"/>
    <w:rsid w:val="005A3AFE"/>
    <w:rsid w:val="005A3E2B"/>
    <w:rsid w:val="005A3E7A"/>
    <w:rsid w:val="005A3F23"/>
    <w:rsid w:val="005A3F6B"/>
    <w:rsid w:val="005A3FB2"/>
    <w:rsid w:val="005A48DD"/>
    <w:rsid w:val="005A4B27"/>
    <w:rsid w:val="005A5500"/>
    <w:rsid w:val="005A5571"/>
    <w:rsid w:val="005A5594"/>
    <w:rsid w:val="005A5F6E"/>
    <w:rsid w:val="005A64B9"/>
    <w:rsid w:val="005A65A2"/>
    <w:rsid w:val="005A68C1"/>
    <w:rsid w:val="005A74D9"/>
    <w:rsid w:val="005A7551"/>
    <w:rsid w:val="005A7709"/>
    <w:rsid w:val="005A7BFA"/>
    <w:rsid w:val="005A7E61"/>
    <w:rsid w:val="005B006D"/>
    <w:rsid w:val="005B09F7"/>
    <w:rsid w:val="005B0CFB"/>
    <w:rsid w:val="005B1168"/>
    <w:rsid w:val="005B135B"/>
    <w:rsid w:val="005B1761"/>
    <w:rsid w:val="005B3115"/>
    <w:rsid w:val="005B3523"/>
    <w:rsid w:val="005B3789"/>
    <w:rsid w:val="005B3E85"/>
    <w:rsid w:val="005B4B22"/>
    <w:rsid w:val="005B4B59"/>
    <w:rsid w:val="005B4E8A"/>
    <w:rsid w:val="005B55F8"/>
    <w:rsid w:val="005B596F"/>
    <w:rsid w:val="005B5A4A"/>
    <w:rsid w:val="005B5DDB"/>
    <w:rsid w:val="005B5E96"/>
    <w:rsid w:val="005B5E9D"/>
    <w:rsid w:val="005B6104"/>
    <w:rsid w:val="005B64DE"/>
    <w:rsid w:val="005B6A81"/>
    <w:rsid w:val="005B6AA0"/>
    <w:rsid w:val="005B6E74"/>
    <w:rsid w:val="005B7017"/>
    <w:rsid w:val="005B738F"/>
    <w:rsid w:val="005B74E6"/>
    <w:rsid w:val="005B7C82"/>
    <w:rsid w:val="005B7E90"/>
    <w:rsid w:val="005B7ECE"/>
    <w:rsid w:val="005C00EC"/>
    <w:rsid w:val="005C00F8"/>
    <w:rsid w:val="005C093C"/>
    <w:rsid w:val="005C0A42"/>
    <w:rsid w:val="005C1554"/>
    <w:rsid w:val="005C160E"/>
    <w:rsid w:val="005C2228"/>
    <w:rsid w:val="005C2C13"/>
    <w:rsid w:val="005C34A1"/>
    <w:rsid w:val="005C3E81"/>
    <w:rsid w:val="005C4228"/>
    <w:rsid w:val="005C43D4"/>
    <w:rsid w:val="005C4449"/>
    <w:rsid w:val="005C483B"/>
    <w:rsid w:val="005C493D"/>
    <w:rsid w:val="005C4EAC"/>
    <w:rsid w:val="005C5172"/>
    <w:rsid w:val="005C5516"/>
    <w:rsid w:val="005C56B1"/>
    <w:rsid w:val="005C5F76"/>
    <w:rsid w:val="005C6A31"/>
    <w:rsid w:val="005C6C71"/>
    <w:rsid w:val="005C6F3F"/>
    <w:rsid w:val="005D016B"/>
    <w:rsid w:val="005D0405"/>
    <w:rsid w:val="005D06B1"/>
    <w:rsid w:val="005D0FE5"/>
    <w:rsid w:val="005D1BEC"/>
    <w:rsid w:val="005D1F8B"/>
    <w:rsid w:val="005D1F9D"/>
    <w:rsid w:val="005D236B"/>
    <w:rsid w:val="005D24D0"/>
    <w:rsid w:val="005D29FB"/>
    <w:rsid w:val="005D2E27"/>
    <w:rsid w:val="005D2E7B"/>
    <w:rsid w:val="005D320D"/>
    <w:rsid w:val="005D3C5B"/>
    <w:rsid w:val="005D473E"/>
    <w:rsid w:val="005D4750"/>
    <w:rsid w:val="005D492D"/>
    <w:rsid w:val="005D50DF"/>
    <w:rsid w:val="005D50E2"/>
    <w:rsid w:val="005D5B7E"/>
    <w:rsid w:val="005D6551"/>
    <w:rsid w:val="005D6A90"/>
    <w:rsid w:val="005D6F9F"/>
    <w:rsid w:val="005D7105"/>
    <w:rsid w:val="005D758C"/>
    <w:rsid w:val="005D795E"/>
    <w:rsid w:val="005D7DA8"/>
    <w:rsid w:val="005D7DDA"/>
    <w:rsid w:val="005E0E92"/>
    <w:rsid w:val="005E13E8"/>
    <w:rsid w:val="005E1B49"/>
    <w:rsid w:val="005E25C0"/>
    <w:rsid w:val="005E266C"/>
    <w:rsid w:val="005E2717"/>
    <w:rsid w:val="005E2987"/>
    <w:rsid w:val="005E2AAE"/>
    <w:rsid w:val="005E30EA"/>
    <w:rsid w:val="005E3DE6"/>
    <w:rsid w:val="005E4DC6"/>
    <w:rsid w:val="005E4DEB"/>
    <w:rsid w:val="005E4E9D"/>
    <w:rsid w:val="005E4F22"/>
    <w:rsid w:val="005E5C5D"/>
    <w:rsid w:val="005E5DCC"/>
    <w:rsid w:val="005E6940"/>
    <w:rsid w:val="005E6ED6"/>
    <w:rsid w:val="005E7164"/>
    <w:rsid w:val="005E75B3"/>
    <w:rsid w:val="005E7A42"/>
    <w:rsid w:val="005E7D55"/>
    <w:rsid w:val="005F000E"/>
    <w:rsid w:val="005F0810"/>
    <w:rsid w:val="005F0935"/>
    <w:rsid w:val="005F0DB2"/>
    <w:rsid w:val="005F1889"/>
    <w:rsid w:val="005F18BB"/>
    <w:rsid w:val="005F1F4F"/>
    <w:rsid w:val="005F2272"/>
    <w:rsid w:val="005F24E4"/>
    <w:rsid w:val="005F27FC"/>
    <w:rsid w:val="005F32C2"/>
    <w:rsid w:val="005F3392"/>
    <w:rsid w:val="005F39A2"/>
    <w:rsid w:val="005F3D46"/>
    <w:rsid w:val="005F4A1A"/>
    <w:rsid w:val="005F63B2"/>
    <w:rsid w:val="005F69F4"/>
    <w:rsid w:val="005F6CF2"/>
    <w:rsid w:val="005F76E7"/>
    <w:rsid w:val="005F7F61"/>
    <w:rsid w:val="006007CC"/>
    <w:rsid w:val="0060106C"/>
    <w:rsid w:val="00601AA4"/>
    <w:rsid w:val="00601BF9"/>
    <w:rsid w:val="00601E2B"/>
    <w:rsid w:val="00601FF1"/>
    <w:rsid w:val="00602215"/>
    <w:rsid w:val="00602BF4"/>
    <w:rsid w:val="00602E29"/>
    <w:rsid w:val="0060304A"/>
    <w:rsid w:val="0060313A"/>
    <w:rsid w:val="00603567"/>
    <w:rsid w:val="0060461F"/>
    <w:rsid w:val="00605063"/>
    <w:rsid w:val="00605341"/>
    <w:rsid w:val="0060557A"/>
    <w:rsid w:val="006059DF"/>
    <w:rsid w:val="00605B80"/>
    <w:rsid w:val="006062FE"/>
    <w:rsid w:val="0060711E"/>
    <w:rsid w:val="0060756F"/>
    <w:rsid w:val="006079E1"/>
    <w:rsid w:val="00607AB8"/>
    <w:rsid w:val="00607C02"/>
    <w:rsid w:val="00607C60"/>
    <w:rsid w:val="00607C88"/>
    <w:rsid w:val="00607D99"/>
    <w:rsid w:val="00607DA8"/>
    <w:rsid w:val="0061009E"/>
    <w:rsid w:val="00610140"/>
    <w:rsid w:val="00610923"/>
    <w:rsid w:val="00610E35"/>
    <w:rsid w:val="00611047"/>
    <w:rsid w:val="00611738"/>
    <w:rsid w:val="00611942"/>
    <w:rsid w:val="00612512"/>
    <w:rsid w:val="0061283A"/>
    <w:rsid w:val="00612A00"/>
    <w:rsid w:val="00612AF5"/>
    <w:rsid w:val="00612CF2"/>
    <w:rsid w:val="00613225"/>
    <w:rsid w:val="00613661"/>
    <w:rsid w:val="00613B11"/>
    <w:rsid w:val="00614107"/>
    <w:rsid w:val="00614310"/>
    <w:rsid w:val="00614687"/>
    <w:rsid w:val="00614888"/>
    <w:rsid w:val="006155D5"/>
    <w:rsid w:val="00615D0B"/>
    <w:rsid w:val="00615E37"/>
    <w:rsid w:val="006168FD"/>
    <w:rsid w:val="00616B96"/>
    <w:rsid w:val="00617140"/>
    <w:rsid w:val="00617611"/>
    <w:rsid w:val="006179FD"/>
    <w:rsid w:val="0062038C"/>
    <w:rsid w:val="00621369"/>
    <w:rsid w:val="006218B5"/>
    <w:rsid w:val="00621C00"/>
    <w:rsid w:val="00621D6C"/>
    <w:rsid w:val="006220EB"/>
    <w:rsid w:val="006221D5"/>
    <w:rsid w:val="0062225F"/>
    <w:rsid w:val="006224FF"/>
    <w:rsid w:val="006228CB"/>
    <w:rsid w:val="006233D3"/>
    <w:rsid w:val="006234C8"/>
    <w:rsid w:val="006236CE"/>
    <w:rsid w:val="006241D0"/>
    <w:rsid w:val="00624685"/>
    <w:rsid w:val="00624B5D"/>
    <w:rsid w:val="00625030"/>
    <w:rsid w:val="006252E2"/>
    <w:rsid w:val="00625D77"/>
    <w:rsid w:val="00625DA9"/>
    <w:rsid w:val="0062618B"/>
    <w:rsid w:val="0062725C"/>
    <w:rsid w:val="00627311"/>
    <w:rsid w:val="00627776"/>
    <w:rsid w:val="00630834"/>
    <w:rsid w:val="0063104A"/>
    <w:rsid w:val="00631895"/>
    <w:rsid w:val="0063258D"/>
    <w:rsid w:val="0063294F"/>
    <w:rsid w:val="00632FC7"/>
    <w:rsid w:val="00633A5B"/>
    <w:rsid w:val="00633E27"/>
    <w:rsid w:val="0063418D"/>
    <w:rsid w:val="00634392"/>
    <w:rsid w:val="006352E9"/>
    <w:rsid w:val="00635BA2"/>
    <w:rsid w:val="00636B6C"/>
    <w:rsid w:val="00636D2A"/>
    <w:rsid w:val="00637703"/>
    <w:rsid w:val="00637845"/>
    <w:rsid w:val="00637A09"/>
    <w:rsid w:val="00637E65"/>
    <w:rsid w:val="00640125"/>
    <w:rsid w:val="006407F2"/>
    <w:rsid w:val="00640D07"/>
    <w:rsid w:val="00640F49"/>
    <w:rsid w:val="006417A5"/>
    <w:rsid w:val="0064184F"/>
    <w:rsid w:val="00641E07"/>
    <w:rsid w:val="00641F4F"/>
    <w:rsid w:val="006421A0"/>
    <w:rsid w:val="00642D72"/>
    <w:rsid w:val="00642EB4"/>
    <w:rsid w:val="00643680"/>
    <w:rsid w:val="00643B88"/>
    <w:rsid w:val="00643E5C"/>
    <w:rsid w:val="00644901"/>
    <w:rsid w:val="00644D95"/>
    <w:rsid w:val="00645121"/>
    <w:rsid w:val="006459E1"/>
    <w:rsid w:val="00645BA5"/>
    <w:rsid w:val="00645E7A"/>
    <w:rsid w:val="00646050"/>
    <w:rsid w:val="00647A04"/>
    <w:rsid w:val="00650001"/>
    <w:rsid w:val="00650725"/>
    <w:rsid w:val="00650F15"/>
    <w:rsid w:val="00650F7E"/>
    <w:rsid w:val="0065106E"/>
    <w:rsid w:val="00652D03"/>
    <w:rsid w:val="00652FBE"/>
    <w:rsid w:val="00653156"/>
    <w:rsid w:val="006535CF"/>
    <w:rsid w:val="006538E0"/>
    <w:rsid w:val="00653C42"/>
    <w:rsid w:val="006551D5"/>
    <w:rsid w:val="0065565E"/>
    <w:rsid w:val="0065588A"/>
    <w:rsid w:val="00656BD8"/>
    <w:rsid w:val="00656F90"/>
    <w:rsid w:val="00657074"/>
    <w:rsid w:val="006579F8"/>
    <w:rsid w:val="00657A7C"/>
    <w:rsid w:val="0066068F"/>
    <w:rsid w:val="00660862"/>
    <w:rsid w:val="00660B2A"/>
    <w:rsid w:val="00660C7F"/>
    <w:rsid w:val="00661912"/>
    <w:rsid w:val="00661D69"/>
    <w:rsid w:val="00661F76"/>
    <w:rsid w:val="00662A95"/>
    <w:rsid w:val="00662D6C"/>
    <w:rsid w:val="00663163"/>
    <w:rsid w:val="006635F1"/>
    <w:rsid w:val="00664CBF"/>
    <w:rsid w:val="00664CD9"/>
    <w:rsid w:val="006652F4"/>
    <w:rsid w:val="006654F7"/>
    <w:rsid w:val="0066573E"/>
    <w:rsid w:val="006658FF"/>
    <w:rsid w:val="00665948"/>
    <w:rsid w:val="00665C60"/>
    <w:rsid w:val="00665E8D"/>
    <w:rsid w:val="00665FC9"/>
    <w:rsid w:val="00666A4B"/>
    <w:rsid w:val="00666A94"/>
    <w:rsid w:val="00666DA9"/>
    <w:rsid w:val="00666F3E"/>
    <w:rsid w:val="00667426"/>
    <w:rsid w:val="0066764E"/>
    <w:rsid w:val="00670335"/>
    <w:rsid w:val="00670A7E"/>
    <w:rsid w:val="00670F83"/>
    <w:rsid w:val="006712B1"/>
    <w:rsid w:val="00671685"/>
    <w:rsid w:val="00671DDB"/>
    <w:rsid w:val="006721DD"/>
    <w:rsid w:val="00672D2E"/>
    <w:rsid w:val="00672E4B"/>
    <w:rsid w:val="00673255"/>
    <w:rsid w:val="00673427"/>
    <w:rsid w:val="00673521"/>
    <w:rsid w:val="006739A6"/>
    <w:rsid w:val="00673E10"/>
    <w:rsid w:val="0067412E"/>
    <w:rsid w:val="006741CA"/>
    <w:rsid w:val="00674F22"/>
    <w:rsid w:val="0067532A"/>
    <w:rsid w:val="006753B1"/>
    <w:rsid w:val="0067573D"/>
    <w:rsid w:val="00675F7F"/>
    <w:rsid w:val="00676275"/>
    <w:rsid w:val="00676276"/>
    <w:rsid w:val="0067664E"/>
    <w:rsid w:val="00676BFD"/>
    <w:rsid w:val="00676FD2"/>
    <w:rsid w:val="00677403"/>
    <w:rsid w:val="0067743A"/>
    <w:rsid w:val="00677971"/>
    <w:rsid w:val="0067799D"/>
    <w:rsid w:val="00677A54"/>
    <w:rsid w:val="006807C4"/>
    <w:rsid w:val="0068095C"/>
    <w:rsid w:val="00680AC2"/>
    <w:rsid w:val="0068120B"/>
    <w:rsid w:val="006817A1"/>
    <w:rsid w:val="0068196C"/>
    <w:rsid w:val="00681CC5"/>
    <w:rsid w:val="00681E0B"/>
    <w:rsid w:val="00681F5C"/>
    <w:rsid w:val="00683DAF"/>
    <w:rsid w:val="00684BB4"/>
    <w:rsid w:val="00684DFC"/>
    <w:rsid w:val="0068540E"/>
    <w:rsid w:val="006855CB"/>
    <w:rsid w:val="006855FB"/>
    <w:rsid w:val="0068603E"/>
    <w:rsid w:val="0068667E"/>
    <w:rsid w:val="00686B69"/>
    <w:rsid w:val="00686F2D"/>
    <w:rsid w:val="00687616"/>
    <w:rsid w:val="006876E5"/>
    <w:rsid w:val="00687D0D"/>
    <w:rsid w:val="00687D39"/>
    <w:rsid w:val="00687FC2"/>
    <w:rsid w:val="00690075"/>
    <w:rsid w:val="0069075A"/>
    <w:rsid w:val="00690F27"/>
    <w:rsid w:val="006911D3"/>
    <w:rsid w:val="006915DD"/>
    <w:rsid w:val="00691CFD"/>
    <w:rsid w:val="00692215"/>
    <w:rsid w:val="006928BE"/>
    <w:rsid w:val="00692BBC"/>
    <w:rsid w:val="00692BC7"/>
    <w:rsid w:val="00693273"/>
    <w:rsid w:val="00693496"/>
    <w:rsid w:val="00693AA7"/>
    <w:rsid w:val="00693ADF"/>
    <w:rsid w:val="00693EEC"/>
    <w:rsid w:val="00694138"/>
    <w:rsid w:val="00694A5D"/>
    <w:rsid w:val="00696476"/>
    <w:rsid w:val="00697822"/>
    <w:rsid w:val="006978D6"/>
    <w:rsid w:val="00697DE8"/>
    <w:rsid w:val="006A0292"/>
    <w:rsid w:val="006A0584"/>
    <w:rsid w:val="006A073D"/>
    <w:rsid w:val="006A0AE9"/>
    <w:rsid w:val="006A0D26"/>
    <w:rsid w:val="006A11E8"/>
    <w:rsid w:val="006A15A0"/>
    <w:rsid w:val="006A15FD"/>
    <w:rsid w:val="006A2044"/>
    <w:rsid w:val="006A22CE"/>
    <w:rsid w:val="006A254B"/>
    <w:rsid w:val="006A27CE"/>
    <w:rsid w:val="006A29DA"/>
    <w:rsid w:val="006A2EEC"/>
    <w:rsid w:val="006A31BB"/>
    <w:rsid w:val="006A34F1"/>
    <w:rsid w:val="006A3837"/>
    <w:rsid w:val="006A41FD"/>
    <w:rsid w:val="006A4398"/>
    <w:rsid w:val="006A4AB7"/>
    <w:rsid w:val="006A4B59"/>
    <w:rsid w:val="006A5E52"/>
    <w:rsid w:val="006A6325"/>
    <w:rsid w:val="006A6773"/>
    <w:rsid w:val="006A6C42"/>
    <w:rsid w:val="006A6D26"/>
    <w:rsid w:val="006A6E95"/>
    <w:rsid w:val="006A6F98"/>
    <w:rsid w:val="006A7003"/>
    <w:rsid w:val="006A76E6"/>
    <w:rsid w:val="006A77C7"/>
    <w:rsid w:val="006B19C7"/>
    <w:rsid w:val="006B1D4C"/>
    <w:rsid w:val="006B2254"/>
    <w:rsid w:val="006B29C2"/>
    <w:rsid w:val="006B2B8C"/>
    <w:rsid w:val="006B2CB2"/>
    <w:rsid w:val="006B2F9B"/>
    <w:rsid w:val="006B30BD"/>
    <w:rsid w:val="006B3582"/>
    <w:rsid w:val="006B3A6D"/>
    <w:rsid w:val="006B3BA8"/>
    <w:rsid w:val="006B3DEA"/>
    <w:rsid w:val="006B46BA"/>
    <w:rsid w:val="006B49EE"/>
    <w:rsid w:val="006B4B88"/>
    <w:rsid w:val="006B4F12"/>
    <w:rsid w:val="006B4F2B"/>
    <w:rsid w:val="006B59A8"/>
    <w:rsid w:val="006B5C64"/>
    <w:rsid w:val="006B6F1F"/>
    <w:rsid w:val="006B703B"/>
    <w:rsid w:val="006B71AA"/>
    <w:rsid w:val="006B71FE"/>
    <w:rsid w:val="006B7880"/>
    <w:rsid w:val="006B79A5"/>
    <w:rsid w:val="006C0516"/>
    <w:rsid w:val="006C19A9"/>
    <w:rsid w:val="006C1C37"/>
    <w:rsid w:val="006C24F5"/>
    <w:rsid w:val="006C263C"/>
    <w:rsid w:val="006C2D77"/>
    <w:rsid w:val="006C2FA9"/>
    <w:rsid w:val="006C3066"/>
    <w:rsid w:val="006C330F"/>
    <w:rsid w:val="006C3602"/>
    <w:rsid w:val="006C362B"/>
    <w:rsid w:val="006C414D"/>
    <w:rsid w:val="006C465E"/>
    <w:rsid w:val="006C4669"/>
    <w:rsid w:val="006C4B2D"/>
    <w:rsid w:val="006C4D34"/>
    <w:rsid w:val="006C5857"/>
    <w:rsid w:val="006C5CC6"/>
    <w:rsid w:val="006C5DFF"/>
    <w:rsid w:val="006C65B8"/>
    <w:rsid w:val="006C717D"/>
    <w:rsid w:val="006C7578"/>
    <w:rsid w:val="006C7DA1"/>
    <w:rsid w:val="006C7E79"/>
    <w:rsid w:val="006D0ACC"/>
    <w:rsid w:val="006D0C2B"/>
    <w:rsid w:val="006D0EA4"/>
    <w:rsid w:val="006D16E4"/>
    <w:rsid w:val="006D1D07"/>
    <w:rsid w:val="006D2161"/>
    <w:rsid w:val="006D24E2"/>
    <w:rsid w:val="006D3596"/>
    <w:rsid w:val="006D3729"/>
    <w:rsid w:val="006D3899"/>
    <w:rsid w:val="006D3923"/>
    <w:rsid w:val="006D3CE1"/>
    <w:rsid w:val="006D3E4E"/>
    <w:rsid w:val="006D44E2"/>
    <w:rsid w:val="006D452D"/>
    <w:rsid w:val="006D4A59"/>
    <w:rsid w:val="006D51A9"/>
    <w:rsid w:val="006D528B"/>
    <w:rsid w:val="006D599E"/>
    <w:rsid w:val="006D60EC"/>
    <w:rsid w:val="006D6298"/>
    <w:rsid w:val="006D64C3"/>
    <w:rsid w:val="006D6C33"/>
    <w:rsid w:val="006D6E0A"/>
    <w:rsid w:val="006D70AC"/>
    <w:rsid w:val="006D771A"/>
    <w:rsid w:val="006D7A5C"/>
    <w:rsid w:val="006D7AFA"/>
    <w:rsid w:val="006D7C6E"/>
    <w:rsid w:val="006D7FC8"/>
    <w:rsid w:val="006E0166"/>
    <w:rsid w:val="006E170C"/>
    <w:rsid w:val="006E17D4"/>
    <w:rsid w:val="006E1C7A"/>
    <w:rsid w:val="006E2318"/>
    <w:rsid w:val="006E23A4"/>
    <w:rsid w:val="006E2882"/>
    <w:rsid w:val="006E28D5"/>
    <w:rsid w:val="006E46E6"/>
    <w:rsid w:val="006E475F"/>
    <w:rsid w:val="006E503E"/>
    <w:rsid w:val="006E504B"/>
    <w:rsid w:val="006E51D3"/>
    <w:rsid w:val="006E5636"/>
    <w:rsid w:val="006E5A84"/>
    <w:rsid w:val="006E5BC4"/>
    <w:rsid w:val="006E6B73"/>
    <w:rsid w:val="006E6CE2"/>
    <w:rsid w:val="006E756D"/>
    <w:rsid w:val="006F000B"/>
    <w:rsid w:val="006F0732"/>
    <w:rsid w:val="006F0ADD"/>
    <w:rsid w:val="006F0F3C"/>
    <w:rsid w:val="006F12B4"/>
    <w:rsid w:val="006F1767"/>
    <w:rsid w:val="006F1B0D"/>
    <w:rsid w:val="006F25B0"/>
    <w:rsid w:val="006F30E0"/>
    <w:rsid w:val="006F3202"/>
    <w:rsid w:val="006F3943"/>
    <w:rsid w:val="006F4346"/>
    <w:rsid w:val="006F4648"/>
    <w:rsid w:val="006F4C6C"/>
    <w:rsid w:val="006F4FB8"/>
    <w:rsid w:val="006F5314"/>
    <w:rsid w:val="006F53AA"/>
    <w:rsid w:val="006F54C8"/>
    <w:rsid w:val="006F5AB1"/>
    <w:rsid w:val="006F68B8"/>
    <w:rsid w:val="006F69DB"/>
    <w:rsid w:val="006F790C"/>
    <w:rsid w:val="007003EA"/>
    <w:rsid w:val="00700C31"/>
    <w:rsid w:val="00700E86"/>
    <w:rsid w:val="0070119F"/>
    <w:rsid w:val="007018CF"/>
    <w:rsid w:val="00701CBB"/>
    <w:rsid w:val="00701D84"/>
    <w:rsid w:val="00701F00"/>
    <w:rsid w:val="00701F18"/>
    <w:rsid w:val="00702C31"/>
    <w:rsid w:val="0070329E"/>
    <w:rsid w:val="00703543"/>
    <w:rsid w:val="0070437E"/>
    <w:rsid w:val="0070446D"/>
    <w:rsid w:val="00704575"/>
    <w:rsid w:val="007053F1"/>
    <w:rsid w:val="00705426"/>
    <w:rsid w:val="0070612B"/>
    <w:rsid w:val="0070640C"/>
    <w:rsid w:val="00707BEA"/>
    <w:rsid w:val="00707E64"/>
    <w:rsid w:val="00710440"/>
    <w:rsid w:val="00710520"/>
    <w:rsid w:val="00710897"/>
    <w:rsid w:val="00710DF2"/>
    <w:rsid w:val="00710E49"/>
    <w:rsid w:val="007112B0"/>
    <w:rsid w:val="007121C8"/>
    <w:rsid w:val="0071223C"/>
    <w:rsid w:val="0071227A"/>
    <w:rsid w:val="00712356"/>
    <w:rsid w:val="007123D6"/>
    <w:rsid w:val="00712BFB"/>
    <w:rsid w:val="00712F7B"/>
    <w:rsid w:val="00713403"/>
    <w:rsid w:val="00713703"/>
    <w:rsid w:val="00713F61"/>
    <w:rsid w:val="00714249"/>
    <w:rsid w:val="00714407"/>
    <w:rsid w:val="00714A44"/>
    <w:rsid w:val="00714AA3"/>
    <w:rsid w:val="00714CF9"/>
    <w:rsid w:val="00714F79"/>
    <w:rsid w:val="00714FD9"/>
    <w:rsid w:val="00715270"/>
    <w:rsid w:val="007155DC"/>
    <w:rsid w:val="00715774"/>
    <w:rsid w:val="00715A6F"/>
    <w:rsid w:val="00715E6C"/>
    <w:rsid w:val="0071636A"/>
    <w:rsid w:val="007164CD"/>
    <w:rsid w:val="0071664D"/>
    <w:rsid w:val="00716970"/>
    <w:rsid w:val="00717298"/>
    <w:rsid w:val="00717558"/>
    <w:rsid w:val="007178A4"/>
    <w:rsid w:val="00717A07"/>
    <w:rsid w:val="007205C6"/>
    <w:rsid w:val="00720833"/>
    <w:rsid w:val="007215A1"/>
    <w:rsid w:val="0072177E"/>
    <w:rsid w:val="00722DC7"/>
    <w:rsid w:val="00723E88"/>
    <w:rsid w:val="007241C4"/>
    <w:rsid w:val="00724DBB"/>
    <w:rsid w:val="00724E80"/>
    <w:rsid w:val="00724FFD"/>
    <w:rsid w:val="00725244"/>
    <w:rsid w:val="007252AA"/>
    <w:rsid w:val="007257A5"/>
    <w:rsid w:val="00725979"/>
    <w:rsid w:val="00725B27"/>
    <w:rsid w:val="00725EA5"/>
    <w:rsid w:val="007261C6"/>
    <w:rsid w:val="00726246"/>
    <w:rsid w:val="00726357"/>
    <w:rsid w:val="0072648C"/>
    <w:rsid w:val="007264B6"/>
    <w:rsid w:val="00726C59"/>
    <w:rsid w:val="007279A8"/>
    <w:rsid w:val="00727A1D"/>
    <w:rsid w:val="00730231"/>
    <w:rsid w:val="0073040C"/>
    <w:rsid w:val="00730431"/>
    <w:rsid w:val="00730B63"/>
    <w:rsid w:val="00731032"/>
    <w:rsid w:val="0073121E"/>
    <w:rsid w:val="0073128B"/>
    <w:rsid w:val="007313D1"/>
    <w:rsid w:val="007313F9"/>
    <w:rsid w:val="0073148B"/>
    <w:rsid w:val="00731748"/>
    <w:rsid w:val="0073185B"/>
    <w:rsid w:val="00732643"/>
    <w:rsid w:val="00732A00"/>
    <w:rsid w:val="00732F9C"/>
    <w:rsid w:val="00733130"/>
    <w:rsid w:val="007332DE"/>
    <w:rsid w:val="00733BD6"/>
    <w:rsid w:val="00733D3C"/>
    <w:rsid w:val="00734D22"/>
    <w:rsid w:val="007356B9"/>
    <w:rsid w:val="007356F3"/>
    <w:rsid w:val="00735867"/>
    <w:rsid w:val="0073589E"/>
    <w:rsid w:val="00735BE0"/>
    <w:rsid w:val="0073603B"/>
    <w:rsid w:val="00736074"/>
    <w:rsid w:val="0073646D"/>
    <w:rsid w:val="00736723"/>
    <w:rsid w:val="00736AFA"/>
    <w:rsid w:val="007372F8"/>
    <w:rsid w:val="00737A29"/>
    <w:rsid w:val="00737E22"/>
    <w:rsid w:val="007407AC"/>
    <w:rsid w:val="007417CE"/>
    <w:rsid w:val="00742188"/>
    <w:rsid w:val="007425E0"/>
    <w:rsid w:val="00742920"/>
    <w:rsid w:val="00742FDA"/>
    <w:rsid w:val="0074330E"/>
    <w:rsid w:val="00744049"/>
    <w:rsid w:val="00744441"/>
    <w:rsid w:val="00744495"/>
    <w:rsid w:val="007446C8"/>
    <w:rsid w:val="00744DC7"/>
    <w:rsid w:val="007451D0"/>
    <w:rsid w:val="007453DF"/>
    <w:rsid w:val="00745437"/>
    <w:rsid w:val="007454C8"/>
    <w:rsid w:val="0074578F"/>
    <w:rsid w:val="0074597A"/>
    <w:rsid w:val="00746667"/>
    <w:rsid w:val="0074667A"/>
    <w:rsid w:val="00746ABC"/>
    <w:rsid w:val="00746F34"/>
    <w:rsid w:val="007472C6"/>
    <w:rsid w:val="00747CDF"/>
    <w:rsid w:val="007500AF"/>
    <w:rsid w:val="00750300"/>
    <w:rsid w:val="00750516"/>
    <w:rsid w:val="00750ACF"/>
    <w:rsid w:val="00751039"/>
    <w:rsid w:val="007512E6"/>
    <w:rsid w:val="00751ECD"/>
    <w:rsid w:val="00751EE8"/>
    <w:rsid w:val="00752437"/>
    <w:rsid w:val="00753214"/>
    <w:rsid w:val="007535A5"/>
    <w:rsid w:val="00753619"/>
    <w:rsid w:val="00753C1D"/>
    <w:rsid w:val="00753E39"/>
    <w:rsid w:val="0075445A"/>
    <w:rsid w:val="00755294"/>
    <w:rsid w:val="007553D2"/>
    <w:rsid w:val="00755800"/>
    <w:rsid w:val="00755A35"/>
    <w:rsid w:val="00755F0A"/>
    <w:rsid w:val="007561B7"/>
    <w:rsid w:val="00756565"/>
    <w:rsid w:val="00756F61"/>
    <w:rsid w:val="007573AD"/>
    <w:rsid w:val="00757E3C"/>
    <w:rsid w:val="00757F61"/>
    <w:rsid w:val="0076032C"/>
    <w:rsid w:val="0076042C"/>
    <w:rsid w:val="007608BB"/>
    <w:rsid w:val="007611D0"/>
    <w:rsid w:val="00761201"/>
    <w:rsid w:val="0076131A"/>
    <w:rsid w:val="00761858"/>
    <w:rsid w:val="00761954"/>
    <w:rsid w:val="0076274C"/>
    <w:rsid w:val="00762A2A"/>
    <w:rsid w:val="00762A62"/>
    <w:rsid w:val="00762DF3"/>
    <w:rsid w:val="007631E0"/>
    <w:rsid w:val="00763301"/>
    <w:rsid w:val="00763A19"/>
    <w:rsid w:val="00763A97"/>
    <w:rsid w:val="0076419D"/>
    <w:rsid w:val="00764863"/>
    <w:rsid w:val="007649AA"/>
    <w:rsid w:val="00764C3F"/>
    <w:rsid w:val="0076513C"/>
    <w:rsid w:val="007654DD"/>
    <w:rsid w:val="00765939"/>
    <w:rsid w:val="00765CAA"/>
    <w:rsid w:val="0076622B"/>
    <w:rsid w:val="007666BA"/>
    <w:rsid w:val="00766C78"/>
    <w:rsid w:val="0076731F"/>
    <w:rsid w:val="00767BD3"/>
    <w:rsid w:val="007701AB"/>
    <w:rsid w:val="00770AB4"/>
    <w:rsid w:val="00770B90"/>
    <w:rsid w:val="00770BC5"/>
    <w:rsid w:val="00770D7C"/>
    <w:rsid w:val="007715EC"/>
    <w:rsid w:val="0077162C"/>
    <w:rsid w:val="00771754"/>
    <w:rsid w:val="00772619"/>
    <w:rsid w:val="007728F1"/>
    <w:rsid w:val="00772FEB"/>
    <w:rsid w:val="0077300F"/>
    <w:rsid w:val="007733BA"/>
    <w:rsid w:val="007739F3"/>
    <w:rsid w:val="007744C7"/>
    <w:rsid w:val="00774531"/>
    <w:rsid w:val="00774C0C"/>
    <w:rsid w:val="007758B5"/>
    <w:rsid w:val="00775A41"/>
    <w:rsid w:val="00775D73"/>
    <w:rsid w:val="007761D8"/>
    <w:rsid w:val="00776D9B"/>
    <w:rsid w:val="0077714E"/>
    <w:rsid w:val="00777174"/>
    <w:rsid w:val="00777A32"/>
    <w:rsid w:val="00777BFB"/>
    <w:rsid w:val="00777C24"/>
    <w:rsid w:val="00780127"/>
    <w:rsid w:val="007808E6"/>
    <w:rsid w:val="0078114E"/>
    <w:rsid w:val="00781922"/>
    <w:rsid w:val="00781CCF"/>
    <w:rsid w:val="007823A5"/>
    <w:rsid w:val="00782600"/>
    <w:rsid w:val="00782827"/>
    <w:rsid w:val="00782BE2"/>
    <w:rsid w:val="00782EEA"/>
    <w:rsid w:val="007830C8"/>
    <w:rsid w:val="007831FE"/>
    <w:rsid w:val="00783259"/>
    <w:rsid w:val="0078366F"/>
    <w:rsid w:val="00783C2F"/>
    <w:rsid w:val="00784571"/>
    <w:rsid w:val="00785416"/>
    <w:rsid w:val="007854A9"/>
    <w:rsid w:val="007856F0"/>
    <w:rsid w:val="007857FB"/>
    <w:rsid w:val="007859A9"/>
    <w:rsid w:val="00785F55"/>
    <w:rsid w:val="0078603F"/>
    <w:rsid w:val="0078643A"/>
    <w:rsid w:val="00786FB1"/>
    <w:rsid w:val="00787117"/>
    <w:rsid w:val="0079016D"/>
    <w:rsid w:val="00790373"/>
    <w:rsid w:val="007913D7"/>
    <w:rsid w:val="007913E8"/>
    <w:rsid w:val="0079179D"/>
    <w:rsid w:val="00791D86"/>
    <w:rsid w:val="00792914"/>
    <w:rsid w:val="007938C1"/>
    <w:rsid w:val="00793E34"/>
    <w:rsid w:val="00794D79"/>
    <w:rsid w:val="0079588E"/>
    <w:rsid w:val="00795DF5"/>
    <w:rsid w:val="0079688D"/>
    <w:rsid w:val="007972E2"/>
    <w:rsid w:val="0079772E"/>
    <w:rsid w:val="00797D6B"/>
    <w:rsid w:val="007A0F8B"/>
    <w:rsid w:val="007A17E6"/>
    <w:rsid w:val="007A1839"/>
    <w:rsid w:val="007A19BC"/>
    <w:rsid w:val="007A1AC4"/>
    <w:rsid w:val="007A1DFB"/>
    <w:rsid w:val="007A1F16"/>
    <w:rsid w:val="007A1FAF"/>
    <w:rsid w:val="007A2251"/>
    <w:rsid w:val="007A381E"/>
    <w:rsid w:val="007A3855"/>
    <w:rsid w:val="007A3A95"/>
    <w:rsid w:val="007A44B7"/>
    <w:rsid w:val="007A4A1F"/>
    <w:rsid w:val="007A4F90"/>
    <w:rsid w:val="007A4FA3"/>
    <w:rsid w:val="007A5A3F"/>
    <w:rsid w:val="007A5B8E"/>
    <w:rsid w:val="007A6168"/>
    <w:rsid w:val="007A6D7B"/>
    <w:rsid w:val="007A7092"/>
    <w:rsid w:val="007A74D5"/>
    <w:rsid w:val="007A7558"/>
    <w:rsid w:val="007A787D"/>
    <w:rsid w:val="007A7BD3"/>
    <w:rsid w:val="007B002E"/>
    <w:rsid w:val="007B04C3"/>
    <w:rsid w:val="007B080B"/>
    <w:rsid w:val="007B0B76"/>
    <w:rsid w:val="007B0CB1"/>
    <w:rsid w:val="007B14C4"/>
    <w:rsid w:val="007B1768"/>
    <w:rsid w:val="007B2058"/>
    <w:rsid w:val="007B2539"/>
    <w:rsid w:val="007B2DDC"/>
    <w:rsid w:val="007B3B47"/>
    <w:rsid w:val="007B3ED6"/>
    <w:rsid w:val="007B4835"/>
    <w:rsid w:val="007B4EE4"/>
    <w:rsid w:val="007B5134"/>
    <w:rsid w:val="007B5CCF"/>
    <w:rsid w:val="007B6AD5"/>
    <w:rsid w:val="007B718D"/>
    <w:rsid w:val="007B767B"/>
    <w:rsid w:val="007B76DA"/>
    <w:rsid w:val="007B7C91"/>
    <w:rsid w:val="007B7FC9"/>
    <w:rsid w:val="007C0507"/>
    <w:rsid w:val="007C0519"/>
    <w:rsid w:val="007C09DE"/>
    <w:rsid w:val="007C0AF7"/>
    <w:rsid w:val="007C1775"/>
    <w:rsid w:val="007C1930"/>
    <w:rsid w:val="007C1D3E"/>
    <w:rsid w:val="007C2B9D"/>
    <w:rsid w:val="007C2FEE"/>
    <w:rsid w:val="007C324D"/>
    <w:rsid w:val="007C3407"/>
    <w:rsid w:val="007C3FBB"/>
    <w:rsid w:val="007C42B8"/>
    <w:rsid w:val="007C49E5"/>
    <w:rsid w:val="007C4F61"/>
    <w:rsid w:val="007C53E9"/>
    <w:rsid w:val="007C5D49"/>
    <w:rsid w:val="007C5E83"/>
    <w:rsid w:val="007C5F66"/>
    <w:rsid w:val="007C6519"/>
    <w:rsid w:val="007C6B30"/>
    <w:rsid w:val="007C7609"/>
    <w:rsid w:val="007C7D73"/>
    <w:rsid w:val="007C7E8B"/>
    <w:rsid w:val="007D0157"/>
    <w:rsid w:val="007D04E9"/>
    <w:rsid w:val="007D0BD7"/>
    <w:rsid w:val="007D0CC9"/>
    <w:rsid w:val="007D1684"/>
    <w:rsid w:val="007D172F"/>
    <w:rsid w:val="007D32BE"/>
    <w:rsid w:val="007D3D71"/>
    <w:rsid w:val="007D491F"/>
    <w:rsid w:val="007D53B0"/>
    <w:rsid w:val="007D54C9"/>
    <w:rsid w:val="007D55E6"/>
    <w:rsid w:val="007D5776"/>
    <w:rsid w:val="007D5B3A"/>
    <w:rsid w:val="007D5BA4"/>
    <w:rsid w:val="007D5F67"/>
    <w:rsid w:val="007D5F73"/>
    <w:rsid w:val="007D67CB"/>
    <w:rsid w:val="007D6D0B"/>
    <w:rsid w:val="007D738B"/>
    <w:rsid w:val="007E0630"/>
    <w:rsid w:val="007E0E29"/>
    <w:rsid w:val="007E1484"/>
    <w:rsid w:val="007E1760"/>
    <w:rsid w:val="007E188C"/>
    <w:rsid w:val="007E2091"/>
    <w:rsid w:val="007E26CA"/>
    <w:rsid w:val="007E30FA"/>
    <w:rsid w:val="007E3578"/>
    <w:rsid w:val="007E400C"/>
    <w:rsid w:val="007E4149"/>
    <w:rsid w:val="007E4D61"/>
    <w:rsid w:val="007E53FF"/>
    <w:rsid w:val="007E5580"/>
    <w:rsid w:val="007E60CD"/>
    <w:rsid w:val="007E68C9"/>
    <w:rsid w:val="007E6CCC"/>
    <w:rsid w:val="007E6E6F"/>
    <w:rsid w:val="007E738C"/>
    <w:rsid w:val="007E74F9"/>
    <w:rsid w:val="007E75B7"/>
    <w:rsid w:val="007E7C5D"/>
    <w:rsid w:val="007F0A3A"/>
    <w:rsid w:val="007F0B73"/>
    <w:rsid w:val="007F0F32"/>
    <w:rsid w:val="007F196F"/>
    <w:rsid w:val="007F1BFA"/>
    <w:rsid w:val="007F1FDE"/>
    <w:rsid w:val="007F272B"/>
    <w:rsid w:val="007F2AF8"/>
    <w:rsid w:val="007F2D2F"/>
    <w:rsid w:val="007F2EAA"/>
    <w:rsid w:val="007F34CB"/>
    <w:rsid w:val="007F3AE8"/>
    <w:rsid w:val="007F44CA"/>
    <w:rsid w:val="007F45E9"/>
    <w:rsid w:val="007F4DD6"/>
    <w:rsid w:val="007F5049"/>
    <w:rsid w:val="007F5BB0"/>
    <w:rsid w:val="007F6125"/>
    <w:rsid w:val="007F637D"/>
    <w:rsid w:val="007F686E"/>
    <w:rsid w:val="007F7148"/>
    <w:rsid w:val="007F76DE"/>
    <w:rsid w:val="007F7A27"/>
    <w:rsid w:val="007F7A98"/>
    <w:rsid w:val="007F7FD1"/>
    <w:rsid w:val="007F7FD5"/>
    <w:rsid w:val="00800130"/>
    <w:rsid w:val="00800329"/>
    <w:rsid w:val="00800A08"/>
    <w:rsid w:val="00800B0A"/>
    <w:rsid w:val="00801492"/>
    <w:rsid w:val="00801917"/>
    <w:rsid w:val="00801945"/>
    <w:rsid w:val="00801B8B"/>
    <w:rsid w:val="00802B9A"/>
    <w:rsid w:val="008034F5"/>
    <w:rsid w:val="00803747"/>
    <w:rsid w:val="008039F8"/>
    <w:rsid w:val="00803A22"/>
    <w:rsid w:val="00803A47"/>
    <w:rsid w:val="00803AD6"/>
    <w:rsid w:val="008043BC"/>
    <w:rsid w:val="00804448"/>
    <w:rsid w:val="00804889"/>
    <w:rsid w:val="00804EE7"/>
    <w:rsid w:val="008054ED"/>
    <w:rsid w:val="008058BC"/>
    <w:rsid w:val="00805BC3"/>
    <w:rsid w:val="00806131"/>
    <w:rsid w:val="00806736"/>
    <w:rsid w:val="00806C6A"/>
    <w:rsid w:val="00806CD2"/>
    <w:rsid w:val="00806EA3"/>
    <w:rsid w:val="0080797F"/>
    <w:rsid w:val="00807A68"/>
    <w:rsid w:val="00807BFA"/>
    <w:rsid w:val="008102E0"/>
    <w:rsid w:val="00810596"/>
    <w:rsid w:val="00810D0E"/>
    <w:rsid w:val="008111BA"/>
    <w:rsid w:val="00811269"/>
    <w:rsid w:val="00811274"/>
    <w:rsid w:val="00811363"/>
    <w:rsid w:val="008113CE"/>
    <w:rsid w:val="00811D39"/>
    <w:rsid w:val="00812408"/>
    <w:rsid w:val="00812F91"/>
    <w:rsid w:val="00812FAA"/>
    <w:rsid w:val="00813273"/>
    <w:rsid w:val="00813CAB"/>
    <w:rsid w:val="00814397"/>
    <w:rsid w:val="008143D5"/>
    <w:rsid w:val="00814EE0"/>
    <w:rsid w:val="008155D4"/>
    <w:rsid w:val="00815C3C"/>
    <w:rsid w:val="00815E03"/>
    <w:rsid w:val="00815E69"/>
    <w:rsid w:val="00816071"/>
    <w:rsid w:val="008160F9"/>
    <w:rsid w:val="0081672B"/>
    <w:rsid w:val="00816E62"/>
    <w:rsid w:val="00817CC5"/>
    <w:rsid w:val="00817FBA"/>
    <w:rsid w:val="0082000B"/>
    <w:rsid w:val="008209D4"/>
    <w:rsid w:val="008209EE"/>
    <w:rsid w:val="00820BEF"/>
    <w:rsid w:val="008210EC"/>
    <w:rsid w:val="008215C6"/>
    <w:rsid w:val="008220FC"/>
    <w:rsid w:val="008221BF"/>
    <w:rsid w:val="00823935"/>
    <w:rsid w:val="00823EFD"/>
    <w:rsid w:val="008249A4"/>
    <w:rsid w:val="00825043"/>
    <w:rsid w:val="008253C2"/>
    <w:rsid w:val="00825A21"/>
    <w:rsid w:val="00826377"/>
    <w:rsid w:val="0082791D"/>
    <w:rsid w:val="00827C2A"/>
    <w:rsid w:val="00831B77"/>
    <w:rsid w:val="00831C2B"/>
    <w:rsid w:val="00832448"/>
    <w:rsid w:val="00832E8D"/>
    <w:rsid w:val="00833A8E"/>
    <w:rsid w:val="00833A9D"/>
    <w:rsid w:val="00833C83"/>
    <w:rsid w:val="00834785"/>
    <w:rsid w:val="008348D0"/>
    <w:rsid w:val="00834F10"/>
    <w:rsid w:val="008351CF"/>
    <w:rsid w:val="00835245"/>
    <w:rsid w:val="0083529F"/>
    <w:rsid w:val="00835397"/>
    <w:rsid w:val="00835459"/>
    <w:rsid w:val="00835990"/>
    <w:rsid w:val="00835AD9"/>
    <w:rsid w:val="00836718"/>
    <w:rsid w:val="008368B7"/>
    <w:rsid w:val="00836982"/>
    <w:rsid w:val="00836CDB"/>
    <w:rsid w:val="008374D6"/>
    <w:rsid w:val="00837690"/>
    <w:rsid w:val="00837EFB"/>
    <w:rsid w:val="00840D4E"/>
    <w:rsid w:val="008413C2"/>
    <w:rsid w:val="0084156B"/>
    <w:rsid w:val="008417D4"/>
    <w:rsid w:val="008417EB"/>
    <w:rsid w:val="00841D61"/>
    <w:rsid w:val="008422CC"/>
    <w:rsid w:val="008428C7"/>
    <w:rsid w:val="00843174"/>
    <w:rsid w:val="008432BD"/>
    <w:rsid w:val="008447BD"/>
    <w:rsid w:val="008450A8"/>
    <w:rsid w:val="00845BC3"/>
    <w:rsid w:val="00847567"/>
    <w:rsid w:val="0084759F"/>
    <w:rsid w:val="0084785C"/>
    <w:rsid w:val="00850114"/>
    <w:rsid w:val="0085045B"/>
    <w:rsid w:val="00850487"/>
    <w:rsid w:val="00850935"/>
    <w:rsid w:val="008509C9"/>
    <w:rsid w:val="00850E6A"/>
    <w:rsid w:val="00850EEC"/>
    <w:rsid w:val="008511A1"/>
    <w:rsid w:val="00851522"/>
    <w:rsid w:val="008530F5"/>
    <w:rsid w:val="00853195"/>
    <w:rsid w:val="00853548"/>
    <w:rsid w:val="00853ABC"/>
    <w:rsid w:val="0085449F"/>
    <w:rsid w:val="008549B1"/>
    <w:rsid w:val="00854D08"/>
    <w:rsid w:val="008551C8"/>
    <w:rsid w:val="008557C2"/>
    <w:rsid w:val="00856140"/>
    <w:rsid w:val="0085643C"/>
    <w:rsid w:val="00857263"/>
    <w:rsid w:val="008572D8"/>
    <w:rsid w:val="00857787"/>
    <w:rsid w:val="00860D8C"/>
    <w:rsid w:val="008618CF"/>
    <w:rsid w:val="00861BB6"/>
    <w:rsid w:val="008622AE"/>
    <w:rsid w:val="00862DC6"/>
    <w:rsid w:val="00863356"/>
    <w:rsid w:val="008635E3"/>
    <w:rsid w:val="00863B78"/>
    <w:rsid w:val="00863C01"/>
    <w:rsid w:val="00863D74"/>
    <w:rsid w:val="00863E67"/>
    <w:rsid w:val="00864B54"/>
    <w:rsid w:val="00864FB0"/>
    <w:rsid w:val="00865253"/>
    <w:rsid w:val="0086546C"/>
    <w:rsid w:val="00865903"/>
    <w:rsid w:val="00865E5F"/>
    <w:rsid w:val="008665B6"/>
    <w:rsid w:val="00866ACD"/>
    <w:rsid w:val="00866E1A"/>
    <w:rsid w:val="0086734E"/>
    <w:rsid w:val="00867392"/>
    <w:rsid w:val="008673E9"/>
    <w:rsid w:val="0086785D"/>
    <w:rsid w:val="00867A80"/>
    <w:rsid w:val="00867DD8"/>
    <w:rsid w:val="0087024B"/>
    <w:rsid w:val="008703ED"/>
    <w:rsid w:val="00870641"/>
    <w:rsid w:val="00870E68"/>
    <w:rsid w:val="0087129D"/>
    <w:rsid w:val="008715DB"/>
    <w:rsid w:val="00872A27"/>
    <w:rsid w:val="00873A5A"/>
    <w:rsid w:val="00873D82"/>
    <w:rsid w:val="00874368"/>
    <w:rsid w:val="00874414"/>
    <w:rsid w:val="008747B2"/>
    <w:rsid w:val="00874E49"/>
    <w:rsid w:val="00875275"/>
    <w:rsid w:val="00875C21"/>
    <w:rsid w:val="00876612"/>
    <w:rsid w:val="00876778"/>
    <w:rsid w:val="00877706"/>
    <w:rsid w:val="0087799A"/>
    <w:rsid w:val="00880694"/>
    <w:rsid w:val="00880992"/>
    <w:rsid w:val="00881091"/>
    <w:rsid w:val="00881CE8"/>
    <w:rsid w:val="00881E5B"/>
    <w:rsid w:val="00881EDC"/>
    <w:rsid w:val="00882A73"/>
    <w:rsid w:val="00882FFB"/>
    <w:rsid w:val="00883716"/>
    <w:rsid w:val="00883AD3"/>
    <w:rsid w:val="00883B13"/>
    <w:rsid w:val="00883CB9"/>
    <w:rsid w:val="00883DE8"/>
    <w:rsid w:val="00883E8B"/>
    <w:rsid w:val="00883EF3"/>
    <w:rsid w:val="00884252"/>
    <w:rsid w:val="00884DEB"/>
    <w:rsid w:val="00885632"/>
    <w:rsid w:val="0088579A"/>
    <w:rsid w:val="00885973"/>
    <w:rsid w:val="00885F27"/>
    <w:rsid w:val="0088627F"/>
    <w:rsid w:val="00886335"/>
    <w:rsid w:val="00886D44"/>
    <w:rsid w:val="008872D1"/>
    <w:rsid w:val="0088767C"/>
    <w:rsid w:val="00887964"/>
    <w:rsid w:val="00887E52"/>
    <w:rsid w:val="00890284"/>
    <w:rsid w:val="008906DF"/>
    <w:rsid w:val="00890C52"/>
    <w:rsid w:val="008911BE"/>
    <w:rsid w:val="00891287"/>
    <w:rsid w:val="0089150D"/>
    <w:rsid w:val="00891745"/>
    <w:rsid w:val="008918EE"/>
    <w:rsid w:val="00891CBC"/>
    <w:rsid w:val="00891EDB"/>
    <w:rsid w:val="0089214C"/>
    <w:rsid w:val="00892380"/>
    <w:rsid w:val="00892811"/>
    <w:rsid w:val="00892842"/>
    <w:rsid w:val="00892965"/>
    <w:rsid w:val="00893243"/>
    <w:rsid w:val="00893527"/>
    <w:rsid w:val="00893A6D"/>
    <w:rsid w:val="008943E2"/>
    <w:rsid w:val="00894831"/>
    <w:rsid w:val="00895120"/>
    <w:rsid w:val="00895640"/>
    <w:rsid w:val="00895BE6"/>
    <w:rsid w:val="00895F3D"/>
    <w:rsid w:val="008962C9"/>
    <w:rsid w:val="00896342"/>
    <w:rsid w:val="00896506"/>
    <w:rsid w:val="0089654A"/>
    <w:rsid w:val="00897104"/>
    <w:rsid w:val="008973FA"/>
    <w:rsid w:val="00897D9D"/>
    <w:rsid w:val="008A0400"/>
    <w:rsid w:val="008A0405"/>
    <w:rsid w:val="008A060C"/>
    <w:rsid w:val="008A1C08"/>
    <w:rsid w:val="008A2619"/>
    <w:rsid w:val="008A2991"/>
    <w:rsid w:val="008A2DDF"/>
    <w:rsid w:val="008A3583"/>
    <w:rsid w:val="008A3DD7"/>
    <w:rsid w:val="008A43BE"/>
    <w:rsid w:val="008A471E"/>
    <w:rsid w:val="008A4BA5"/>
    <w:rsid w:val="008A4C16"/>
    <w:rsid w:val="008A515B"/>
    <w:rsid w:val="008A5C12"/>
    <w:rsid w:val="008A5C23"/>
    <w:rsid w:val="008A7058"/>
    <w:rsid w:val="008A7570"/>
    <w:rsid w:val="008A7E04"/>
    <w:rsid w:val="008B0480"/>
    <w:rsid w:val="008B0A52"/>
    <w:rsid w:val="008B0E4C"/>
    <w:rsid w:val="008B1563"/>
    <w:rsid w:val="008B1633"/>
    <w:rsid w:val="008B17D5"/>
    <w:rsid w:val="008B1D48"/>
    <w:rsid w:val="008B1ED3"/>
    <w:rsid w:val="008B21BE"/>
    <w:rsid w:val="008B3161"/>
    <w:rsid w:val="008B3955"/>
    <w:rsid w:val="008B43E1"/>
    <w:rsid w:val="008B4BF7"/>
    <w:rsid w:val="008B5661"/>
    <w:rsid w:val="008B58D1"/>
    <w:rsid w:val="008B5CD7"/>
    <w:rsid w:val="008B5D10"/>
    <w:rsid w:val="008B5EDB"/>
    <w:rsid w:val="008B61D9"/>
    <w:rsid w:val="008B6A81"/>
    <w:rsid w:val="008B6AE4"/>
    <w:rsid w:val="008C06A6"/>
    <w:rsid w:val="008C0887"/>
    <w:rsid w:val="008C0ACB"/>
    <w:rsid w:val="008C135D"/>
    <w:rsid w:val="008C1506"/>
    <w:rsid w:val="008C163A"/>
    <w:rsid w:val="008C1DFC"/>
    <w:rsid w:val="008C1E27"/>
    <w:rsid w:val="008C1FE4"/>
    <w:rsid w:val="008C22FB"/>
    <w:rsid w:val="008C2A68"/>
    <w:rsid w:val="008C2CF9"/>
    <w:rsid w:val="008C2DA5"/>
    <w:rsid w:val="008C3067"/>
    <w:rsid w:val="008C3FE6"/>
    <w:rsid w:val="008C4B28"/>
    <w:rsid w:val="008C4D0E"/>
    <w:rsid w:val="008C51B8"/>
    <w:rsid w:val="008C56F1"/>
    <w:rsid w:val="008C5FA1"/>
    <w:rsid w:val="008C5FCC"/>
    <w:rsid w:val="008C6667"/>
    <w:rsid w:val="008C6710"/>
    <w:rsid w:val="008C6D13"/>
    <w:rsid w:val="008C6E81"/>
    <w:rsid w:val="008C72D0"/>
    <w:rsid w:val="008C7324"/>
    <w:rsid w:val="008C74E3"/>
    <w:rsid w:val="008C7615"/>
    <w:rsid w:val="008C794E"/>
    <w:rsid w:val="008D01AB"/>
    <w:rsid w:val="008D0202"/>
    <w:rsid w:val="008D04B0"/>
    <w:rsid w:val="008D05AC"/>
    <w:rsid w:val="008D1156"/>
    <w:rsid w:val="008D1484"/>
    <w:rsid w:val="008D14B6"/>
    <w:rsid w:val="008D2099"/>
    <w:rsid w:val="008D2880"/>
    <w:rsid w:val="008D2B28"/>
    <w:rsid w:val="008D2BEE"/>
    <w:rsid w:val="008D31F6"/>
    <w:rsid w:val="008D34CC"/>
    <w:rsid w:val="008D43D3"/>
    <w:rsid w:val="008D46D3"/>
    <w:rsid w:val="008D46E1"/>
    <w:rsid w:val="008D48B3"/>
    <w:rsid w:val="008D4ECF"/>
    <w:rsid w:val="008D4FCA"/>
    <w:rsid w:val="008D57B7"/>
    <w:rsid w:val="008D6285"/>
    <w:rsid w:val="008D630A"/>
    <w:rsid w:val="008D6363"/>
    <w:rsid w:val="008D66B1"/>
    <w:rsid w:val="008D68FB"/>
    <w:rsid w:val="008D6A43"/>
    <w:rsid w:val="008D6B15"/>
    <w:rsid w:val="008D77EA"/>
    <w:rsid w:val="008E024D"/>
    <w:rsid w:val="008E0485"/>
    <w:rsid w:val="008E10F6"/>
    <w:rsid w:val="008E16BC"/>
    <w:rsid w:val="008E199E"/>
    <w:rsid w:val="008E1AF6"/>
    <w:rsid w:val="008E2102"/>
    <w:rsid w:val="008E2106"/>
    <w:rsid w:val="008E2356"/>
    <w:rsid w:val="008E26F8"/>
    <w:rsid w:val="008E272E"/>
    <w:rsid w:val="008E2CA2"/>
    <w:rsid w:val="008E2D0E"/>
    <w:rsid w:val="008E2DC9"/>
    <w:rsid w:val="008E3065"/>
    <w:rsid w:val="008E3C3F"/>
    <w:rsid w:val="008E462B"/>
    <w:rsid w:val="008E48E6"/>
    <w:rsid w:val="008E492A"/>
    <w:rsid w:val="008E4B47"/>
    <w:rsid w:val="008E4DF4"/>
    <w:rsid w:val="008E502A"/>
    <w:rsid w:val="008E5253"/>
    <w:rsid w:val="008E5819"/>
    <w:rsid w:val="008E60DE"/>
    <w:rsid w:val="008E6657"/>
    <w:rsid w:val="008E6D31"/>
    <w:rsid w:val="008E7458"/>
    <w:rsid w:val="008E7FEF"/>
    <w:rsid w:val="008F029E"/>
    <w:rsid w:val="008F0605"/>
    <w:rsid w:val="008F0727"/>
    <w:rsid w:val="008F076A"/>
    <w:rsid w:val="008F09B7"/>
    <w:rsid w:val="008F0C8D"/>
    <w:rsid w:val="008F1094"/>
    <w:rsid w:val="008F116B"/>
    <w:rsid w:val="008F1E94"/>
    <w:rsid w:val="008F30A5"/>
    <w:rsid w:val="008F3500"/>
    <w:rsid w:val="008F3791"/>
    <w:rsid w:val="008F3A1C"/>
    <w:rsid w:val="008F3C82"/>
    <w:rsid w:val="008F4299"/>
    <w:rsid w:val="008F444A"/>
    <w:rsid w:val="008F4F55"/>
    <w:rsid w:val="008F549B"/>
    <w:rsid w:val="008F60AB"/>
    <w:rsid w:val="008F63E4"/>
    <w:rsid w:val="008F6497"/>
    <w:rsid w:val="008F699F"/>
    <w:rsid w:val="008F6CBC"/>
    <w:rsid w:val="008F6F26"/>
    <w:rsid w:val="008F757F"/>
    <w:rsid w:val="00900128"/>
    <w:rsid w:val="009002A8"/>
    <w:rsid w:val="00900D7B"/>
    <w:rsid w:val="00901786"/>
    <w:rsid w:val="00902184"/>
    <w:rsid w:val="0090274E"/>
    <w:rsid w:val="00902E96"/>
    <w:rsid w:val="00903315"/>
    <w:rsid w:val="009035EF"/>
    <w:rsid w:val="00903621"/>
    <w:rsid w:val="00903D49"/>
    <w:rsid w:val="00903F37"/>
    <w:rsid w:val="00903F66"/>
    <w:rsid w:val="009042DE"/>
    <w:rsid w:val="00904317"/>
    <w:rsid w:val="00904334"/>
    <w:rsid w:val="009044E6"/>
    <w:rsid w:val="00904727"/>
    <w:rsid w:val="00904B27"/>
    <w:rsid w:val="00904F38"/>
    <w:rsid w:val="0090561E"/>
    <w:rsid w:val="00905BB7"/>
    <w:rsid w:val="00905EFA"/>
    <w:rsid w:val="00906FF7"/>
    <w:rsid w:val="0090709F"/>
    <w:rsid w:val="0090770A"/>
    <w:rsid w:val="00907954"/>
    <w:rsid w:val="00907C78"/>
    <w:rsid w:val="00907F04"/>
    <w:rsid w:val="00907FFB"/>
    <w:rsid w:val="00910869"/>
    <w:rsid w:val="0091125F"/>
    <w:rsid w:val="0091155F"/>
    <w:rsid w:val="009115E4"/>
    <w:rsid w:val="009116FB"/>
    <w:rsid w:val="00911A70"/>
    <w:rsid w:val="009124DF"/>
    <w:rsid w:val="0091296F"/>
    <w:rsid w:val="00912A81"/>
    <w:rsid w:val="00913824"/>
    <w:rsid w:val="009138D4"/>
    <w:rsid w:val="00913ADF"/>
    <w:rsid w:val="00913D4B"/>
    <w:rsid w:val="00913E40"/>
    <w:rsid w:val="0091461F"/>
    <w:rsid w:val="00914ECA"/>
    <w:rsid w:val="00914EEF"/>
    <w:rsid w:val="00915461"/>
    <w:rsid w:val="00915AAC"/>
    <w:rsid w:val="009162FD"/>
    <w:rsid w:val="009163EB"/>
    <w:rsid w:val="009168AB"/>
    <w:rsid w:val="009169A2"/>
    <w:rsid w:val="00916E81"/>
    <w:rsid w:val="009172CD"/>
    <w:rsid w:val="00917866"/>
    <w:rsid w:val="00917FF7"/>
    <w:rsid w:val="0092047C"/>
    <w:rsid w:val="0092069D"/>
    <w:rsid w:val="00920726"/>
    <w:rsid w:val="00921002"/>
    <w:rsid w:val="009218EE"/>
    <w:rsid w:val="00921982"/>
    <w:rsid w:val="00921A52"/>
    <w:rsid w:val="00921CD4"/>
    <w:rsid w:val="00922992"/>
    <w:rsid w:val="0092380B"/>
    <w:rsid w:val="009238D2"/>
    <w:rsid w:val="0092475D"/>
    <w:rsid w:val="00924D52"/>
    <w:rsid w:val="0092512B"/>
    <w:rsid w:val="009251B0"/>
    <w:rsid w:val="00925239"/>
    <w:rsid w:val="00926314"/>
    <w:rsid w:val="009274AD"/>
    <w:rsid w:val="00927CB4"/>
    <w:rsid w:val="00927D8B"/>
    <w:rsid w:val="0093014B"/>
    <w:rsid w:val="00930413"/>
    <w:rsid w:val="009311F6"/>
    <w:rsid w:val="00932047"/>
    <w:rsid w:val="00932111"/>
    <w:rsid w:val="00932137"/>
    <w:rsid w:val="00932403"/>
    <w:rsid w:val="00932D7E"/>
    <w:rsid w:val="0093385C"/>
    <w:rsid w:val="00933F3C"/>
    <w:rsid w:val="00933F7A"/>
    <w:rsid w:val="00934E2C"/>
    <w:rsid w:val="00934ED6"/>
    <w:rsid w:val="009353BD"/>
    <w:rsid w:val="00936BF4"/>
    <w:rsid w:val="00936CB7"/>
    <w:rsid w:val="00936F71"/>
    <w:rsid w:val="009376FF"/>
    <w:rsid w:val="009377A5"/>
    <w:rsid w:val="009377BA"/>
    <w:rsid w:val="00940155"/>
    <w:rsid w:val="009408F5"/>
    <w:rsid w:val="009410C6"/>
    <w:rsid w:val="00941577"/>
    <w:rsid w:val="00941BC9"/>
    <w:rsid w:val="00942150"/>
    <w:rsid w:val="0094285D"/>
    <w:rsid w:val="009439E9"/>
    <w:rsid w:val="00943A4E"/>
    <w:rsid w:val="0094419E"/>
    <w:rsid w:val="00944970"/>
    <w:rsid w:val="00944EDD"/>
    <w:rsid w:val="0094575C"/>
    <w:rsid w:val="00945910"/>
    <w:rsid w:val="00945B54"/>
    <w:rsid w:val="00946136"/>
    <w:rsid w:val="00946CE5"/>
    <w:rsid w:val="00946D46"/>
    <w:rsid w:val="00946E2D"/>
    <w:rsid w:val="00946E68"/>
    <w:rsid w:val="00947183"/>
    <w:rsid w:val="00947576"/>
    <w:rsid w:val="009479DA"/>
    <w:rsid w:val="00947A5B"/>
    <w:rsid w:val="00947D5D"/>
    <w:rsid w:val="00947E64"/>
    <w:rsid w:val="009503B7"/>
    <w:rsid w:val="00950C07"/>
    <w:rsid w:val="009511E5"/>
    <w:rsid w:val="00951C92"/>
    <w:rsid w:val="00951CD1"/>
    <w:rsid w:val="00952258"/>
    <w:rsid w:val="0095392C"/>
    <w:rsid w:val="00953F70"/>
    <w:rsid w:val="009540A8"/>
    <w:rsid w:val="009541B8"/>
    <w:rsid w:val="00954927"/>
    <w:rsid w:val="00954AAD"/>
    <w:rsid w:val="00955492"/>
    <w:rsid w:val="00955982"/>
    <w:rsid w:val="009561DD"/>
    <w:rsid w:val="009567DB"/>
    <w:rsid w:val="00956A29"/>
    <w:rsid w:val="009570B8"/>
    <w:rsid w:val="009602A0"/>
    <w:rsid w:val="0096065C"/>
    <w:rsid w:val="009606CC"/>
    <w:rsid w:val="00960D6D"/>
    <w:rsid w:val="00960EF0"/>
    <w:rsid w:val="00961052"/>
    <w:rsid w:val="00961228"/>
    <w:rsid w:val="009614D7"/>
    <w:rsid w:val="0096178E"/>
    <w:rsid w:val="00961DC3"/>
    <w:rsid w:val="00964331"/>
    <w:rsid w:val="0096484A"/>
    <w:rsid w:val="009654DF"/>
    <w:rsid w:val="00965735"/>
    <w:rsid w:val="009658FF"/>
    <w:rsid w:val="00965BE2"/>
    <w:rsid w:val="00965DE5"/>
    <w:rsid w:val="00966E97"/>
    <w:rsid w:val="00966ECC"/>
    <w:rsid w:val="00967657"/>
    <w:rsid w:val="00967AF8"/>
    <w:rsid w:val="00967D03"/>
    <w:rsid w:val="0097038E"/>
    <w:rsid w:val="00970974"/>
    <w:rsid w:val="00970AC0"/>
    <w:rsid w:val="0097162C"/>
    <w:rsid w:val="00971A69"/>
    <w:rsid w:val="00971AEF"/>
    <w:rsid w:val="00971C10"/>
    <w:rsid w:val="00971C2C"/>
    <w:rsid w:val="00972705"/>
    <w:rsid w:val="00972838"/>
    <w:rsid w:val="00972F23"/>
    <w:rsid w:val="009738FE"/>
    <w:rsid w:val="00973BC5"/>
    <w:rsid w:val="00974FB6"/>
    <w:rsid w:val="00975748"/>
    <w:rsid w:val="00975E19"/>
    <w:rsid w:val="00975EE3"/>
    <w:rsid w:val="00976E37"/>
    <w:rsid w:val="009770FC"/>
    <w:rsid w:val="0097713F"/>
    <w:rsid w:val="00977EB2"/>
    <w:rsid w:val="00977EC4"/>
    <w:rsid w:val="00980333"/>
    <w:rsid w:val="009807EB"/>
    <w:rsid w:val="0098193C"/>
    <w:rsid w:val="0098253F"/>
    <w:rsid w:val="00982DC0"/>
    <w:rsid w:val="00983219"/>
    <w:rsid w:val="009836D2"/>
    <w:rsid w:val="0098387D"/>
    <w:rsid w:val="00984270"/>
    <w:rsid w:val="00985B50"/>
    <w:rsid w:val="009861CD"/>
    <w:rsid w:val="00986264"/>
    <w:rsid w:val="00986519"/>
    <w:rsid w:val="00986B4A"/>
    <w:rsid w:val="00987140"/>
    <w:rsid w:val="00987562"/>
    <w:rsid w:val="0098788F"/>
    <w:rsid w:val="0098796B"/>
    <w:rsid w:val="00987B76"/>
    <w:rsid w:val="00987CF7"/>
    <w:rsid w:val="009900A6"/>
    <w:rsid w:val="009901F4"/>
    <w:rsid w:val="00990C10"/>
    <w:rsid w:val="0099146F"/>
    <w:rsid w:val="0099178B"/>
    <w:rsid w:val="00992395"/>
    <w:rsid w:val="0099271C"/>
    <w:rsid w:val="00992ACE"/>
    <w:rsid w:val="00992BC4"/>
    <w:rsid w:val="0099337F"/>
    <w:rsid w:val="009935FD"/>
    <w:rsid w:val="00994371"/>
    <w:rsid w:val="009948BE"/>
    <w:rsid w:val="00994A58"/>
    <w:rsid w:val="00995312"/>
    <w:rsid w:val="00995D39"/>
    <w:rsid w:val="00996B24"/>
    <w:rsid w:val="00996DCE"/>
    <w:rsid w:val="00996FA6"/>
    <w:rsid w:val="009971B9"/>
    <w:rsid w:val="009972E6"/>
    <w:rsid w:val="00997410"/>
    <w:rsid w:val="00997D59"/>
    <w:rsid w:val="009A023D"/>
    <w:rsid w:val="009A0A2F"/>
    <w:rsid w:val="009A0B89"/>
    <w:rsid w:val="009A0F95"/>
    <w:rsid w:val="009A12C1"/>
    <w:rsid w:val="009A15B6"/>
    <w:rsid w:val="009A1AF2"/>
    <w:rsid w:val="009A23FC"/>
    <w:rsid w:val="009A2657"/>
    <w:rsid w:val="009A2732"/>
    <w:rsid w:val="009A2905"/>
    <w:rsid w:val="009A2D04"/>
    <w:rsid w:val="009A3272"/>
    <w:rsid w:val="009A34B3"/>
    <w:rsid w:val="009A3752"/>
    <w:rsid w:val="009A39E7"/>
    <w:rsid w:val="009A3AA8"/>
    <w:rsid w:val="009A4E9F"/>
    <w:rsid w:val="009A5E0E"/>
    <w:rsid w:val="009A62B0"/>
    <w:rsid w:val="009A6C00"/>
    <w:rsid w:val="009A6C12"/>
    <w:rsid w:val="009A6DED"/>
    <w:rsid w:val="009A7140"/>
    <w:rsid w:val="009A742F"/>
    <w:rsid w:val="009A77B6"/>
    <w:rsid w:val="009A784D"/>
    <w:rsid w:val="009A7F84"/>
    <w:rsid w:val="009B0056"/>
    <w:rsid w:val="009B028E"/>
    <w:rsid w:val="009B04D0"/>
    <w:rsid w:val="009B05B2"/>
    <w:rsid w:val="009B0807"/>
    <w:rsid w:val="009B09D0"/>
    <w:rsid w:val="009B0A27"/>
    <w:rsid w:val="009B0C56"/>
    <w:rsid w:val="009B0DC6"/>
    <w:rsid w:val="009B14B1"/>
    <w:rsid w:val="009B1603"/>
    <w:rsid w:val="009B1E7F"/>
    <w:rsid w:val="009B21EA"/>
    <w:rsid w:val="009B277B"/>
    <w:rsid w:val="009B328C"/>
    <w:rsid w:val="009B36E6"/>
    <w:rsid w:val="009B392C"/>
    <w:rsid w:val="009B3AA5"/>
    <w:rsid w:val="009B3DFD"/>
    <w:rsid w:val="009B43D5"/>
    <w:rsid w:val="009B466D"/>
    <w:rsid w:val="009B4D0D"/>
    <w:rsid w:val="009B5726"/>
    <w:rsid w:val="009B5FCA"/>
    <w:rsid w:val="009B63B6"/>
    <w:rsid w:val="009B76A0"/>
    <w:rsid w:val="009B76D2"/>
    <w:rsid w:val="009B7775"/>
    <w:rsid w:val="009C0A9C"/>
    <w:rsid w:val="009C18F9"/>
    <w:rsid w:val="009C1AE6"/>
    <w:rsid w:val="009C1FBA"/>
    <w:rsid w:val="009C2253"/>
    <w:rsid w:val="009C283A"/>
    <w:rsid w:val="009C29E3"/>
    <w:rsid w:val="009C3320"/>
    <w:rsid w:val="009C371A"/>
    <w:rsid w:val="009C3F74"/>
    <w:rsid w:val="009C426E"/>
    <w:rsid w:val="009C48EF"/>
    <w:rsid w:val="009C4E0F"/>
    <w:rsid w:val="009C69FE"/>
    <w:rsid w:val="009C6A9B"/>
    <w:rsid w:val="009C6C19"/>
    <w:rsid w:val="009C6E6A"/>
    <w:rsid w:val="009C7A0C"/>
    <w:rsid w:val="009D0227"/>
    <w:rsid w:val="009D0624"/>
    <w:rsid w:val="009D0A75"/>
    <w:rsid w:val="009D0F70"/>
    <w:rsid w:val="009D1965"/>
    <w:rsid w:val="009D2257"/>
    <w:rsid w:val="009D28D0"/>
    <w:rsid w:val="009D2B8B"/>
    <w:rsid w:val="009D30D5"/>
    <w:rsid w:val="009D3FEC"/>
    <w:rsid w:val="009D4581"/>
    <w:rsid w:val="009D4830"/>
    <w:rsid w:val="009D58CC"/>
    <w:rsid w:val="009D5E4B"/>
    <w:rsid w:val="009D5FE1"/>
    <w:rsid w:val="009D63D5"/>
    <w:rsid w:val="009D64F5"/>
    <w:rsid w:val="009D6E53"/>
    <w:rsid w:val="009D75A2"/>
    <w:rsid w:val="009E0781"/>
    <w:rsid w:val="009E088F"/>
    <w:rsid w:val="009E0CDA"/>
    <w:rsid w:val="009E15DF"/>
    <w:rsid w:val="009E20C4"/>
    <w:rsid w:val="009E315A"/>
    <w:rsid w:val="009E3170"/>
    <w:rsid w:val="009E347E"/>
    <w:rsid w:val="009E360F"/>
    <w:rsid w:val="009E3714"/>
    <w:rsid w:val="009E3A58"/>
    <w:rsid w:val="009E4881"/>
    <w:rsid w:val="009E4AD6"/>
    <w:rsid w:val="009E4E02"/>
    <w:rsid w:val="009E52BE"/>
    <w:rsid w:val="009E67D0"/>
    <w:rsid w:val="009E7C79"/>
    <w:rsid w:val="009E7D4F"/>
    <w:rsid w:val="009F0193"/>
    <w:rsid w:val="009F0BA4"/>
    <w:rsid w:val="009F0CB5"/>
    <w:rsid w:val="009F1000"/>
    <w:rsid w:val="009F106A"/>
    <w:rsid w:val="009F1719"/>
    <w:rsid w:val="009F1BA1"/>
    <w:rsid w:val="009F2605"/>
    <w:rsid w:val="009F2867"/>
    <w:rsid w:val="009F330B"/>
    <w:rsid w:val="009F3E39"/>
    <w:rsid w:val="009F48A4"/>
    <w:rsid w:val="009F4BDD"/>
    <w:rsid w:val="009F5079"/>
    <w:rsid w:val="009F51D6"/>
    <w:rsid w:val="009F5863"/>
    <w:rsid w:val="009F601A"/>
    <w:rsid w:val="009F6583"/>
    <w:rsid w:val="009F65A1"/>
    <w:rsid w:val="009F677F"/>
    <w:rsid w:val="009F6B18"/>
    <w:rsid w:val="009F7193"/>
    <w:rsid w:val="009F7552"/>
    <w:rsid w:val="009F7FAD"/>
    <w:rsid w:val="00A0080E"/>
    <w:rsid w:val="00A008C1"/>
    <w:rsid w:val="00A00950"/>
    <w:rsid w:val="00A00BD9"/>
    <w:rsid w:val="00A00C31"/>
    <w:rsid w:val="00A00C52"/>
    <w:rsid w:val="00A01628"/>
    <w:rsid w:val="00A019F7"/>
    <w:rsid w:val="00A01F8E"/>
    <w:rsid w:val="00A02256"/>
    <w:rsid w:val="00A02519"/>
    <w:rsid w:val="00A02909"/>
    <w:rsid w:val="00A03606"/>
    <w:rsid w:val="00A036F1"/>
    <w:rsid w:val="00A03BBA"/>
    <w:rsid w:val="00A03C3F"/>
    <w:rsid w:val="00A04180"/>
    <w:rsid w:val="00A0446D"/>
    <w:rsid w:val="00A045F7"/>
    <w:rsid w:val="00A04977"/>
    <w:rsid w:val="00A05016"/>
    <w:rsid w:val="00A05B23"/>
    <w:rsid w:val="00A05F5B"/>
    <w:rsid w:val="00A070A3"/>
    <w:rsid w:val="00A071D2"/>
    <w:rsid w:val="00A07425"/>
    <w:rsid w:val="00A0754A"/>
    <w:rsid w:val="00A0756D"/>
    <w:rsid w:val="00A07630"/>
    <w:rsid w:val="00A10124"/>
    <w:rsid w:val="00A101D7"/>
    <w:rsid w:val="00A1053E"/>
    <w:rsid w:val="00A1094D"/>
    <w:rsid w:val="00A10CC5"/>
    <w:rsid w:val="00A10D4D"/>
    <w:rsid w:val="00A11191"/>
    <w:rsid w:val="00A11787"/>
    <w:rsid w:val="00A11A74"/>
    <w:rsid w:val="00A12892"/>
    <w:rsid w:val="00A12B73"/>
    <w:rsid w:val="00A12C29"/>
    <w:rsid w:val="00A12CC7"/>
    <w:rsid w:val="00A1323C"/>
    <w:rsid w:val="00A13A23"/>
    <w:rsid w:val="00A13DC3"/>
    <w:rsid w:val="00A14B9D"/>
    <w:rsid w:val="00A14D02"/>
    <w:rsid w:val="00A152B0"/>
    <w:rsid w:val="00A15671"/>
    <w:rsid w:val="00A160FD"/>
    <w:rsid w:val="00A16713"/>
    <w:rsid w:val="00A1686E"/>
    <w:rsid w:val="00A169EF"/>
    <w:rsid w:val="00A16DA3"/>
    <w:rsid w:val="00A172D8"/>
    <w:rsid w:val="00A177EB"/>
    <w:rsid w:val="00A1795D"/>
    <w:rsid w:val="00A204A4"/>
    <w:rsid w:val="00A2074C"/>
    <w:rsid w:val="00A20F4B"/>
    <w:rsid w:val="00A21683"/>
    <w:rsid w:val="00A21C0E"/>
    <w:rsid w:val="00A22744"/>
    <w:rsid w:val="00A229BF"/>
    <w:rsid w:val="00A2316B"/>
    <w:rsid w:val="00A2338B"/>
    <w:rsid w:val="00A23B23"/>
    <w:rsid w:val="00A23DA0"/>
    <w:rsid w:val="00A24DD7"/>
    <w:rsid w:val="00A251C6"/>
    <w:rsid w:val="00A25879"/>
    <w:rsid w:val="00A25891"/>
    <w:rsid w:val="00A26273"/>
    <w:rsid w:val="00A26398"/>
    <w:rsid w:val="00A2721E"/>
    <w:rsid w:val="00A272E3"/>
    <w:rsid w:val="00A277A7"/>
    <w:rsid w:val="00A30083"/>
    <w:rsid w:val="00A3023E"/>
    <w:rsid w:val="00A302D5"/>
    <w:rsid w:val="00A30489"/>
    <w:rsid w:val="00A3057E"/>
    <w:rsid w:val="00A30679"/>
    <w:rsid w:val="00A3072B"/>
    <w:rsid w:val="00A31112"/>
    <w:rsid w:val="00A32AD1"/>
    <w:rsid w:val="00A3316B"/>
    <w:rsid w:val="00A3320F"/>
    <w:rsid w:val="00A33859"/>
    <w:rsid w:val="00A33BCA"/>
    <w:rsid w:val="00A33BCD"/>
    <w:rsid w:val="00A33C54"/>
    <w:rsid w:val="00A34382"/>
    <w:rsid w:val="00A34AAD"/>
    <w:rsid w:val="00A35090"/>
    <w:rsid w:val="00A35F3A"/>
    <w:rsid w:val="00A36498"/>
    <w:rsid w:val="00A36B1F"/>
    <w:rsid w:val="00A36BAB"/>
    <w:rsid w:val="00A37763"/>
    <w:rsid w:val="00A40709"/>
    <w:rsid w:val="00A4074B"/>
    <w:rsid w:val="00A40862"/>
    <w:rsid w:val="00A40B56"/>
    <w:rsid w:val="00A41007"/>
    <w:rsid w:val="00A41754"/>
    <w:rsid w:val="00A41C1A"/>
    <w:rsid w:val="00A4233C"/>
    <w:rsid w:val="00A430AD"/>
    <w:rsid w:val="00A432F6"/>
    <w:rsid w:val="00A433F2"/>
    <w:rsid w:val="00A43611"/>
    <w:rsid w:val="00A43644"/>
    <w:rsid w:val="00A43EBE"/>
    <w:rsid w:val="00A44642"/>
    <w:rsid w:val="00A446D3"/>
    <w:rsid w:val="00A44800"/>
    <w:rsid w:val="00A448E8"/>
    <w:rsid w:val="00A44ABB"/>
    <w:rsid w:val="00A44E5C"/>
    <w:rsid w:val="00A4539D"/>
    <w:rsid w:val="00A45868"/>
    <w:rsid w:val="00A4594A"/>
    <w:rsid w:val="00A45EEE"/>
    <w:rsid w:val="00A4643D"/>
    <w:rsid w:val="00A47AA5"/>
    <w:rsid w:val="00A5005B"/>
    <w:rsid w:val="00A50062"/>
    <w:rsid w:val="00A509CC"/>
    <w:rsid w:val="00A519A5"/>
    <w:rsid w:val="00A51AC2"/>
    <w:rsid w:val="00A51B7B"/>
    <w:rsid w:val="00A51E8E"/>
    <w:rsid w:val="00A524DC"/>
    <w:rsid w:val="00A5260D"/>
    <w:rsid w:val="00A52702"/>
    <w:rsid w:val="00A52A5B"/>
    <w:rsid w:val="00A52EE4"/>
    <w:rsid w:val="00A5379A"/>
    <w:rsid w:val="00A537BE"/>
    <w:rsid w:val="00A547D8"/>
    <w:rsid w:val="00A54AE5"/>
    <w:rsid w:val="00A55B71"/>
    <w:rsid w:val="00A55CD5"/>
    <w:rsid w:val="00A55F92"/>
    <w:rsid w:val="00A56154"/>
    <w:rsid w:val="00A56A57"/>
    <w:rsid w:val="00A56D60"/>
    <w:rsid w:val="00A56F94"/>
    <w:rsid w:val="00A5723A"/>
    <w:rsid w:val="00A5794E"/>
    <w:rsid w:val="00A60237"/>
    <w:rsid w:val="00A611BE"/>
    <w:rsid w:val="00A612CE"/>
    <w:rsid w:val="00A6139B"/>
    <w:rsid w:val="00A618F1"/>
    <w:rsid w:val="00A61977"/>
    <w:rsid w:val="00A61C0C"/>
    <w:rsid w:val="00A61CCF"/>
    <w:rsid w:val="00A61F9E"/>
    <w:rsid w:val="00A6237F"/>
    <w:rsid w:val="00A624EA"/>
    <w:rsid w:val="00A62BDF"/>
    <w:rsid w:val="00A62C50"/>
    <w:rsid w:val="00A62DCF"/>
    <w:rsid w:val="00A63392"/>
    <w:rsid w:val="00A638E6"/>
    <w:rsid w:val="00A63A07"/>
    <w:rsid w:val="00A644F9"/>
    <w:rsid w:val="00A64A73"/>
    <w:rsid w:val="00A6599D"/>
    <w:rsid w:val="00A66511"/>
    <w:rsid w:val="00A6658B"/>
    <w:rsid w:val="00A669A2"/>
    <w:rsid w:val="00A66B66"/>
    <w:rsid w:val="00A675B7"/>
    <w:rsid w:val="00A67EC3"/>
    <w:rsid w:val="00A70365"/>
    <w:rsid w:val="00A711BA"/>
    <w:rsid w:val="00A712DE"/>
    <w:rsid w:val="00A713C0"/>
    <w:rsid w:val="00A722CD"/>
    <w:rsid w:val="00A72923"/>
    <w:rsid w:val="00A72B7C"/>
    <w:rsid w:val="00A73C3E"/>
    <w:rsid w:val="00A73F1A"/>
    <w:rsid w:val="00A752D1"/>
    <w:rsid w:val="00A75FDB"/>
    <w:rsid w:val="00A76D34"/>
    <w:rsid w:val="00A77087"/>
    <w:rsid w:val="00A77F83"/>
    <w:rsid w:val="00A80BE6"/>
    <w:rsid w:val="00A80C17"/>
    <w:rsid w:val="00A81C15"/>
    <w:rsid w:val="00A81DDF"/>
    <w:rsid w:val="00A81E1D"/>
    <w:rsid w:val="00A82239"/>
    <w:rsid w:val="00A8258D"/>
    <w:rsid w:val="00A8275D"/>
    <w:rsid w:val="00A831AE"/>
    <w:rsid w:val="00A83845"/>
    <w:rsid w:val="00A8406B"/>
    <w:rsid w:val="00A84115"/>
    <w:rsid w:val="00A849D6"/>
    <w:rsid w:val="00A85590"/>
    <w:rsid w:val="00A85679"/>
    <w:rsid w:val="00A85B3E"/>
    <w:rsid w:val="00A863C6"/>
    <w:rsid w:val="00A869D1"/>
    <w:rsid w:val="00A86B4D"/>
    <w:rsid w:val="00A871DF"/>
    <w:rsid w:val="00A87487"/>
    <w:rsid w:val="00A8797B"/>
    <w:rsid w:val="00A87A40"/>
    <w:rsid w:val="00A87FE8"/>
    <w:rsid w:val="00A9136C"/>
    <w:rsid w:val="00A91CD0"/>
    <w:rsid w:val="00A91DD3"/>
    <w:rsid w:val="00A92644"/>
    <w:rsid w:val="00A9291D"/>
    <w:rsid w:val="00A92B90"/>
    <w:rsid w:val="00A9339C"/>
    <w:rsid w:val="00A935C2"/>
    <w:rsid w:val="00A937B2"/>
    <w:rsid w:val="00A93B08"/>
    <w:rsid w:val="00A93E96"/>
    <w:rsid w:val="00A94291"/>
    <w:rsid w:val="00A94F79"/>
    <w:rsid w:val="00A953A5"/>
    <w:rsid w:val="00A959A4"/>
    <w:rsid w:val="00A95FB9"/>
    <w:rsid w:val="00A96173"/>
    <w:rsid w:val="00A96468"/>
    <w:rsid w:val="00A964CE"/>
    <w:rsid w:val="00A9656B"/>
    <w:rsid w:val="00A9692B"/>
    <w:rsid w:val="00A969AB"/>
    <w:rsid w:val="00A96B92"/>
    <w:rsid w:val="00A96CF0"/>
    <w:rsid w:val="00A96D85"/>
    <w:rsid w:val="00A96E4C"/>
    <w:rsid w:val="00A9719E"/>
    <w:rsid w:val="00A979CE"/>
    <w:rsid w:val="00AA03B2"/>
    <w:rsid w:val="00AA03B5"/>
    <w:rsid w:val="00AA046E"/>
    <w:rsid w:val="00AA073B"/>
    <w:rsid w:val="00AA10D8"/>
    <w:rsid w:val="00AA1F65"/>
    <w:rsid w:val="00AA2090"/>
    <w:rsid w:val="00AA2632"/>
    <w:rsid w:val="00AA2E23"/>
    <w:rsid w:val="00AA341E"/>
    <w:rsid w:val="00AA44BE"/>
    <w:rsid w:val="00AA49C2"/>
    <w:rsid w:val="00AA5847"/>
    <w:rsid w:val="00AA5981"/>
    <w:rsid w:val="00AA6363"/>
    <w:rsid w:val="00AA64D0"/>
    <w:rsid w:val="00AA66CA"/>
    <w:rsid w:val="00AA6F71"/>
    <w:rsid w:val="00AA70BC"/>
    <w:rsid w:val="00AA70F9"/>
    <w:rsid w:val="00AA7897"/>
    <w:rsid w:val="00AA7983"/>
    <w:rsid w:val="00AB0175"/>
    <w:rsid w:val="00AB0375"/>
    <w:rsid w:val="00AB04BF"/>
    <w:rsid w:val="00AB0713"/>
    <w:rsid w:val="00AB20DC"/>
    <w:rsid w:val="00AB2197"/>
    <w:rsid w:val="00AB29C1"/>
    <w:rsid w:val="00AB2FA3"/>
    <w:rsid w:val="00AB35FA"/>
    <w:rsid w:val="00AB44EE"/>
    <w:rsid w:val="00AB5384"/>
    <w:rsid w:val="00AB5955"/>
    <w:rsid w:val="00AB5A84"/>
    <w:rsid w:val="00AB60B5"/>
    <w:rsid w:val="00AB6232"/>
    <w:rsid w:val="00AB634B"/>
    <w:rsid w:val="00AB6AF3"/>
    <w:rsid w:val="00AB6C07"/>
    <w:rsid w:val="00AB6CAF"/>
    <w:rsid w:val="00AB6EF3"/>
    <w:rsid w:val="00AB761D"/>
    <w:rsid w:val="00AC0493"/>
    <w:rsid w:val="00AC08A8"/>
    <w:rsid w:val="00AC0D5E"/>
    <w:rsid w:val="00AC1D36"/>
    <w:rsid w:val="00AC203D"/>
    <w:rsid w:val="00AC30D4"/>
    <w:rsid w:val="00AC39D1"/>
    <w:rsid w:val="00AC3C2B"/>
    <w:rsid w:val="00AC3D15"/>
    <w:rsid w:val="00AC41DA"/>
    <w:rsid w:val="00AC4264"/>
    <w:rsid w:val="00AC467D"/>
    <w:rsid w:val="00AC481A"/>
    <w:rsid w:val="00AC4DDC"/>
    <w:rsid w:val="00AC4F8C"/>
    <w:rsid w:val="00AC4FDA"/>
    <w:rsid w:val="00AC6609"/>
    <w:rsid w:val="00AC6770"/>
    <w:rsid w:val="00AC6B32"/>
    <w:rsid w:val="00AC6B3F"/>
    <w:rsid w:val="00AC6D41"/>
    <w:rsid w:val="00AC7077"/>
    <w:rsid w:val="00AC7576"/>
    <w:rsid w:val="00AD03E1"/>
    <w:rsid w:val="00AD09D8"/>
    <w:rsid w:val="00AD11D9"/>
    <w:rsid w:val="00AD181F"/>
    <w:rsid w:val="00AD24A6"/>
    <w:rsid w:val="00AD33A6"/>
    <w:rsid w:val="00AD394B"/>
    <w:rsid w:val="00AD3A76"/>
    <w:rsid w:val="00AD40B7"/>
    <w:rsid w:val="00AD44A2"/>
    <w:rsid w:val="00AD4CE2"/>
    <w:rsid w:val="00AD4EA5"/>
    <w:rsid w:val="00AD5159"/>
    <w:rsid w:val="00AD55A5"/>
    <w:rsid w:val="00AD55C8"/>
    <w:rsid w:val="00AD5A41"/>
    <w:rsid w:val="00AD609B"/>
    <w:rsid w:val="00AD611E"/>
    <w:rsid w:val="00AD674C"/>
    <w:rsid w:val="00AD6D59"/>
    <w:rsid w:val="00AD6EEE"/>
    <w:rsid w:val="00AD7D88"/>
    <w:rsid w:val="00AE0854"/>
    <w:rsid w:val="00AE0A4B"/>
    <w:rsid w:val="00AE0E4F"/>
    <w:rsid w:val="00AE12FB"/>
    <w:rsid w:val="00AE13FE"/>
    <w:rsid w:val="00AE174E"/>
    <w:rsid w:val="00AE17BD"/>
    <w:rsid w:val="00AE1B3D"/>
    <w:rsid w:val="00AE2085"/>
    <w:rsid w:val="00AE20A8"/>
    <w:rsid w:val="00AE229A"/>
    <w:rsid w:val="00AE2B96"/>
    <w:rsid w:val="00AE2E88"/>
    <w:rsid w:val="00AE3777"/>
    <w:rsid w:val="00AE3800"/>
    <w:rsid w:val="00AE3BF7"/>
    <w:rsid w:val="00AE3D40"/>
    <w:rsid w:val="00AE45C5"/>
    <w:rsid w:val="00AE48EB"/>
    <w:rsid w:val="00AE4A94"/>
    <w:rsid w:val="00AE4FD8"/>
    <w:rsid w:val="00AE5070"/>
    <w:rsid w:val="00AE530E"/>
    <w:rsid w:val="00AE5982"/>
    <w:rsid w:val="00AE5BB9"/>
    <w:rsid w:val="00AE7B0F"/>
    <w:rsid w:val="00AF0218"/>
    <w:rsid w:val="00AF034C"/>
    <w:rsid w:val="00AF0648"/>
    <w:rsid w:val="00AF0B26"/>
    <w:rsid w:val="00AF1465"/>
    <w:rsid w:val="00AF16A0"/>
    <w:rsid w:val="00AF1EC8"/>
    <w:rsid w:val="00AF2209"/>
    <w:rsid w:val="00AF266B"/>
    <w:rsid w:val="00AF2A04"/>
    <w:rsid w:val="00AF44C9"/>
    <w:rsid w:val="00AF475D"/>
    <w:rsid w:val="00AF5C85"/>
    <w:rsid w:val="00AF636C"/>
    <w:rsid w:val="00AF76C8"/>
    <w:rsid w:val="00AF7733"/>
    <w:rsid w:val="00AF79FD"/>
    <w:rsid w:val="00AF7DCC"/>
    <w:rsid w:val="00B0025D"/>
    <w:rsid w:val="00B002E4"/>
    <w:rsid w:val="00B00995"/>
    <w:rsid w:val="00B00EEB"/>
    <w:rsid w:val="00B01D19"/>
    <w:rsid w:val="00B01DDB"/>
    <w:rsid w:val="00B020B1"/>
    <w:rsid w:val="00B0215D"/>
    <w:rsid w:val="00B02327"/>
    <w:rsid w:val="00B02483"/>
    <w:rsid w:val="00B02498"/>
    <w:rsid w:val="00B024C3"/>
    <w:rsid w:val="00B02B11"/>
    <w:rsid w:val="00B02B5E"/>
    <w:rsid w:val="00B037CB"/>
    <w:rsid w:val="00B037F9"/>
    <w:rsid w:val="00B03D97"/>
    <w:rsid w:val="00B0449E"/>
    <w:rsid w:val="00B04AD5"/>
    <w:rsid w:val="00B04C9F"/>
    <w:rsid w:val="00B050CA"/>
    <w:rsid w:val="00B052D5"/>
    <w:rsid w:val="00B0574B"/>
    <w:rsid w:val="00B05FA3"/>
    <w:rsid w:val="00B06569"/>
    <w:rsid w:val="00B0687D"/>
    <w:rsid w:val="00B07287"/>
    <w:rsid w:val="00B07864"/>
    <w:rsid w:val="00B07C69"/>
    <w:rsid w:val="00B07DA3"/>
    <w:rsid w:val="00B10018"/>
    <w:rsid w:val="00B1015E"/>
    <w:rsid w:val="00B103F3"/>
    <w:rsid w:val="00B10AFE"/>
    <w:rsid w:val="00B11241"/>
    <w:rsid w:val="00B11428"/>
    <w:rsid w:val="00B11AB8"/>
    <w:rsid w:val="00B11D05"/>
    <w:rsid w:val="00B11F94"/>
    <w:rsid w:val="00B12243"/>
    <w:rsid w:val="00B1230B"/>
    <w:rsid w:val="00B1238A"/>
    <w:rsid w:val="00B12740"/>
    <w:rsid w:val="00B1299F"/>
    <w:rsid w:val="00B12BA1"/>
    <w:rsid w:val="00B13690"/>
    <w:rsid w:val="00B138AC"/>
    <w:rsid w:val="00B138DA"/>
    <w:rsid w:val="00B13A46"/>
    <w:rsid w:val="00B13D76"/>
    <w:rsid w:val="00B1440B"/>
    <w:rsid w:val="00B14F36"/>
    <w:rsid w:val="00B152C3"/>
    <w:rsid w:val="00B15572"/>
    <w:rsid w:val="00B15695"/>
    <w:rsid w:val="00B1599D"/>
    <w:rsid w:val="00B16683"/>
    <w:rsid w:val="00B1690F"/>
    <w:rsid w:val="00B16C99"/>
    <w:rsid w:val="00B17328"/>
    <w:rsid w:val="00B17716"/>
    <w:rsid w:val="00B2040A"/>
    <w:rsid w:val="00B21563"/>
    <w:rsid w:val="00B21652"/>
    <w:rsid w:val="00B218F5"/>
    <w:rsid w:val="00B221F9"/>
    <w:rsid w:val="00B22690"/>
    <w:rsid w:val="00B22B9C"/>
    <w:rsid w:val="00B22E52"/>
    <w:rsid w:val="00B23493"/>
    <w:rsid w:val="00B237D2"/>
    <w:rsid w:val="00B23C81"/>
    <w:rsid w:val="00B240C3"/>
    <w:rsid w:val="00B24C41"/>
    <w:rsid w:val="00B24DFF"/>
    <w:rsid w:val="00B25371"/>
    <w:rsid w:val="00B2649E"/>
    <w:rsid w:val="00B26B2B"/>
    <w:rsid w:val="00B26FBD"/>
    <w:rsid w:val="00B272DB"/>
    <w:rsid w:val="00B276DA"/>
    <w:rsid w:val="00B2770B"/>
    <w:rsid w:val="00B27720"/>
    <w:rsid w:val="00B30143"/>
    <w:rsid w:val="00B3038D"/>
    <w:rsid w:val="00B30459"/>
    <w:rsid w:val="00B31116"/>
    <w:rsid w:val="00B319E6"/>
    <w:rsid w:val="00B32476"/>
    <w:rsid w:val="00B3288F"/>
    <w:rsid w:val="00B32AF8"/>
    <w:rsid w:val="00B32B3F"/>
    <w:rsid w:val="00B330BA"/>
    <w:rsid w:val="00B3399E"/>
    <w:rsid w:val="00B340F2"/>
    <w:rsid w:val="00B3624D"/>
    <w:rsid w:val="00B367CA"/>
    <w:rsid w:val="00B36E3E"/>
    <w:rsid w:val="00B3714E"/>
    <w:rsid w:val="00B37193"/>
    <w:rsid w:val="00B372F9"/>
    <w:rsid w:val="00B37360"/>
    <w:rsid w:val="00B37785"/>
    <w:rsid w:val="00B378D1"/>
    <w:rsid w:val="00B40EF6"/>
    <w:rsid w:val="00B41249"/>
    <w:rsid w:val="00B41F4A"/>
    <w:rsid w:val="00B42705"/>
    <w:rsid w:val="00B42A38"/>
    <w:rsid w:val="00B43020"/>
    <w:rsid w:val="00B435AA"/>
    <w:rsid w:val="00B4406F"/>
    <w:rsid w:val="00B44325"/>
    <w:rsid w:val="00B44F55"/>
    <w:rsid w:val="00B452B7"/>
    <w:rsid w:val="00B452C4"/>
    <w:rsid w:val="00B452E4"/>
    <w:rsid w:val="00B45AA5"/>
    <w:rsid w:val="00B45B53"/>
    <w:rsid w:val="00B45DAE"/>
    <w:rsid w:val="00B46178"/>
    <w:rsid w:val="00B46BE9"/>
    <w:rsid w:val="00B478CC"/>
    <w:rsid w:val="00B502A0"/>
    <w:rsid w:val="00B507BF"/>
    <w:rsid w:val="00B507D7"/>
    <w:rsid w:val="00B50D86"/>
    <w:rsid w:val="00B50D96"/>
    <w:rsid w:val="00B50DFC"/>
    <w:rsid w:val="00B50E89"/>
    <w:rsid w:val="00B51769"/>
    <w:rsid w:val="00B51EBA"/>
    <w:rsid w:val="00B51F7A"/>
    <w:rsid w:val="00B5211C"/>
    <w:rsid w:val="00B524AA"/>
    <w:rsid w:val="00B52508"/>
    <w:rsid w:val="00B52ACB"/>
    <w:rsid w:val="00B52B35"/>
    <w:rsid w:val="00B534E2"/>
    <w:rsid w:val="00B5394A"/>
    <w:rsid w:val="00B5524B"/>
    <w:rsid w:val="00B558C2"/>
    <w:rsid w:val="00B558C6"/>
    <w:rsid w:val="00B55B6D"/>
    <w:rsid w:val="00B55DED"/>
    <w:rsid w:val="00B56119"/>
    <w:rsid w:val="00B56B6C"/>
    <w:rsid w:val="00B57C54"/>
    <w:rsid w:val="00B57C64"/>
    <w:rsid w:val="00B57C8A"/>
    <w:rsid w:val="00B57D7D"/>
    <w:rsid w:val="00B601F4"/>
    <w:rsid w:val="00B60215"/>
    <w:rsid w:val="00B6044B"/>
    <w:rsid w:val="00B604A0"/>
    <w:rsid w:val="00B60BB7"/>
    <w:rsid w:val="00B60DE2"/>
    <w:rsid w:val="00B60EE8"/>
    <w:rsid w:val="00B60F39"/>
    <w:rsid w:val="00B612FB"/>
    <w:rsid w:val="00B62018"/>
    <w:rsid w:val="00B625DE"/>
    <w:rsid w:val="00B62952"/>
    <w:rsid w:val="00B629C5"/>
    <w:rsid w:val="00B631B1"/>
    <w:rsid w:val="00B636C6"/>
    <w:rsid w:val="00B63920"/>
    <w:rsid w:val="00B64715"/>
    <w:rsid w:val="00B64A14"/>
    <w:rsid w:val="00B64ADB"/>
    <w:rsid w:val="00B64C01"/>
    <w:rsid w:val="00B65349"/>
    <w:rsid w:val="00B65C2E"/>
    <w:rsid w:val="00B65E9D"/>
    <w:rsid w:val="00B66001"/>
    <w:rsid w:val="00B66486"/>
    <w:rsid w:val="00B664EC"/>
    <w:rsid w:val="00B665A4"/>
    <w:rsid w:val="00B6695C"/>
    <w:rsid w:val="00B66F69"/>
    <w:rsid w:val="00B6750B"/>
    <w:rsid w:val="00B67544"/>
    <w:rsid w:val="00B67971"/>
    <w:rsid w:val="00B67A54"/>
    <w:rsid w:val="00B67BA1"/>
    <w:rsid w:val="00B67BC9"/>
    <w:rsid w:val="00B7044C"/>
    <w:rsid w:val="00B708BD"/>
    <w:rsid w:val="00B7136B"/>
    <w:rsid w:val="00B714C7"/>
    <w:rsid w:val="00B71E9B"/>
    <w:rsid w:val="00B71EE8"/>
    <w:rsid w:val="00B721D4"/>
    <w:rsid w:val="00B72EC1"/>
    <w:rsid w:val="00B73291"/>
    <w:rsid w:val="00B732D5"/>
    <w:rsid w:val="00B7350F"/>
    <w:rsid w:val="00B73A9B"/>
    <w:rsid w:val="00B742A0"/>
    <w:rsid w:val="00B75065"/>
    <w:rsid w:val="00B75652"/>
    <w:rsid w:val="00B76C53"/>
    <w:rsid w:val="00B76ECD"/>
    <w:rsid w:val="00B76EFB"/>
    <w:rsid w:val="00B77462"/>
    <w:rsid w:val="00B77470"/>
    <w:rsid w:val="00B80E23"/>
    <w:rsid w:val="00B81501"/>
    <w:rsid w:val="00B81947"/>
    <w:rsid w:val="00B81A26"/>
    <w:rsid w:val="00B81BE8"/>
    <w:rsid w:val="00B81E1B"/>
    <w:rsid w:val="00B82483"/>
    <w:rsid w:val="00B831CD"/>
    <w:rsid w:val="00B83F15"/>
    <w:rsid w:val="00B84484"/>
    <w:rsid w:val="00B844E7"/>
    <w:rsid w:val="00B8484F"/>
    <w:rsid w:val="00B8486E"/>
    <w:rsid w:val="00B84ACF"/>
    <w:rsid w:val="00B857BE"/>
    <w:rsid w:val="00B85D50"/>
    <w:rsid w:val="00B8604A"/>
    <w:rsid w:val="00B86539"/>
    <w:rsid w:val="00B87148"/>
    <w:rsid w:val="00B87186"/>
    <w:rsid w:val="00B8779B"/>
    <w:rsid w:val="00B914A7"/>
    <w:rsid w:val="00B9166E"/>
    <w:rsid w:val="00B918CF"/>
    <w:rsid w:val="00B91A28"/>
    <w:rsid w:val="00B92926"/>
    <w:rsid w:val="00B92B7C"/>
    <w:rsid w:val="00B9304C"/>
    <w:rsid w:val="00B9399C"/>
    <w:rsid w:val="00B93CBF"/>
    <w:rsid w:val="00B94080"/>
    <w:rsid w:val="00B9409B"/>
    <w:rsid w:val="00B942DD"/>
    <w:rsid w:val="00B94CCA"/>
    <w:rsid w:val="00B94DA5"/>
    <w:rsid w:val="00B95238"/>
    <w:rsid w:val="00B95521"/>
    <w:rsid w:val="00B95816"/>
    <w:rsid w:val="00B95FA2"/>
    <w:rsid w:val="00B960AF"/>
    <w:rsid w:val="00B96A3E"/>
    <w:rsid w:val="00B977E2"/>
    <w:rsid w:val="00BA0BCB"/>
    <w:rsid w:val="00BA0D4D"/>
    <w:rsid w:val="00BA0DCC"/>
    <w:rsid w:val="00BA0F45"/>
    <w:rsid w:val="00BA0F61"/>
    <w:rsid w:val="00BA128D"/>
    <w:rsid w:val="00BA1AA2"/>
    <w:rsid w:val="00BA1D58"/>
    <w:rsid w:val="00BA1DF4"/>
    <w:rsid w:val="00BA1F36"/>
    <w:rsid w:val="00BA1F3D"/>
    <w:rsid w:val="00BA21AE"/>
    <w:rsid w:val="00BA24DA"/>
    <w:rsid w:val="00BA44E2"/>
    <w:rsid w:val="00BA50DD"/>
    <w:rsid w:val="00BA63FF"/>
    <w:rsid w:val="00BA658A"/>
    <w:rsid w:val="00BA68A2"/>
    <w:rsid w:val="00BA68B0"/>
    <w:rsid w:val="00BA69C5"/>
    <w:rsid w:val="00BA6AD0"/>
    <w:rsid w:val="00BA6CA7"/>
    <w:rsid w:val="00BA74C8"/>
    <w:rsid w:val="00BB0C5B"/>
    <w:rsid w:val="00BB0C5D"/>
    <w:rsid w:val="00BB0D7F"/>
    <w:rsid w:val="00BB1095"/>
    <w:rsid w:val="00BB1DCC"/>
    <w:rsid w:val="00BB2150"/>
    <w:rsid w:val="00BB2EA0"/>
    <w:rsid w:val="00BB32A2"/>
    <w:rsid w:val="00BB3CAC"/>
    <w:rsid w:val="00BB4EAF"/>
    <w:rsid w:val="00BB528E"/>
    <w:rsid w:val="00BB5DDC"/>
    <w:rsid w:val="00BB6A34"/>
    <w:rsid w:val="00BB6A92"/>
    <w:rsid w:val="00BB71AB"/>
    <w:rsid w:val="00BB7289"/>
    <w:rsid w:val="00BB773A"/>
    <w:rsid w:val="00BB7C0F"/>
    <w:rsid w:val="00BB7D77"/>
    <w:rsid w:val="00BB7F6D"/>
    <w:rsid w:val="00BC0107"/>
    <w:rsid w:val="00BC018F"/>
    <w:rsid w:val="00BC03C2"/>
    <w:rsid w:val="00BC03DF"/>
    <w:rsid w:val="00BC0CDA"/>
    <w:rsid w:val="00BC1C8F"/>
    <w:rsid w:val="00BC1CE7"/>
    <w:rsid w:val="00BC3451"/>
    <w:rsid w:val="00BC35D7"/>
    <w:rsid w:val="00BC3651"/>
    <w:rsid w:val="00BC501C"/>
    <w:rsid w:val="00BC5246"/>
    <w:rsid w:val="00BC5418"/>
    <w:rsid w:val="00BC566E"/>
    <w:rsid w:val="00BC5682"/>
    <w:rsid w:val="00BC5DAE"/>
    <w:rsid w:val="00BC6048"/>
    <w:rsid w:val="00BC62F2"/>
    <w:rsid w:val="00BC695A"/>
    <w:rsid w:val="00BC6E84"/>
    <w:rsid w:val="00BC6F37"/>
    <w:rsid w:val="00BC7614"/>
    <w:rsid w:val="00BC7A63"/>
    <w:rsid w:val="00BD0799"/>
    <w:rsid w:val="00BD0F25"/>
    <w:rsid w:val="00BD102E"/>
    <w:rsid w:val="00BD2A6C"/>
    <w:rsid w:val="00BD3DC5"/>
    <w:rsid w:val="00BD3F32"/>
    <w:rsid w:val="00BD417E"/>
    <w:rsid w:val="00BD4222"/>
    <w:rsid w:val="00BD49B1"/>
    <w:rsid w:val="00BD501D"/>
    <w:rsid w:val="00BD541F"/>
    <w:rsid w:val="00BD57D0"/>
    <w:rsid w:val="00BD5D97"/>
    <w:rsid w:val="00BD5FF7"/>
    <w:rsid w:val="00BD6278"/>
    <w:rsid w:val="00BD6B71"/>
    <w:rsid w:val="00BD6CB7"/>
    <w:rsid w:val="00BD7565"/>
    <w:rsid w:val="00BD7DF8"/>
    <w:rsid w:val="00BD7E2E"/>
    <w:rsid w:val="00BE0664"/>
    <w:rsid w:val="00BE096E"/>
    <w:rsid w:val="00BE09C8"/>
    <w:rsid w:val="00BE0AC4"/>
    <w:rsid w:val="00BE0B1F"/>
    <w:rsid w:val="00BE0D67"/>
    <w:rsid w:val="00BE0F46"/>
    <w:rsid w:val="00BE0F57"/>
    <w:rsid w:val="00BE0F5E"/>
    <w:rsid w:val="00BE1007"/>
    <w:rsid w:val="00BE186F"/>
    <w:rsid w:val="00BE19B7"/>
    <w:rsid w:val="00BE1D3A"/>
    <w:rsid w:val="00BE1D80"/>
    <w:rsid w:val="00BE2311"/>
    <w:rsid w:val="00BE2702"/>
    <w:rsid w:val="00BE282C"/>
    <w:rsid w:val="00BE3673"/>
    <w:rsid w:val="00BE3997"/>
    <w:rsid w:val="00BE3CD7"/>
    <w:rsid w:val="00BE4D3F"/>
    <w:rsid w:val="00BE634B"/>
    <w:rsid w:val="00BE64D6"/>
    <w:rsid w:val="00BE6AFC"/>
    <w:rsid w:val="00BE6C40"/>
    <w:rsid w:val="00BE710C"/>
    <w:rsid w:val="00BE721D"/>
    <w:rsid w:val="00BE7515"/>
    <w:rsid w:val="00BE7A85"/>
    <w:rsid w:val="00BF0107"/>
    <w:rsid w:val="00BF047B"/>
    <w:rsid w:val="00BF0FE3"/>
    <w:rsid w:val="00BF1382"/>
    <w:rsid w:val="00BF1D19"/>
    <w:rsid w:val="00BF217F"/>
    <w:rsid w:val="00BF25C1"/>
    <w:rsid w:val="00BF283D"/>
    <w:rsid w:val="00BF2BF7"/>
    <w:rsid w:val="00BF2C05"/>
    <w:rsid w:val="00BF2D13"/>
    <w:rsid w:val="00BF3060"/>
    <w:rsid w:val="00BF3234"/>
    <w:rsid w:val="00BF3841"/>
    <w:rsid w:val="00BF3941"/>
    <w:rsid w:val="00BF3DBE"/>
    <w:rsid w:val="00BF3EAC"/>
    <w:rsid w:val="00BF407E"/>
    <w:rsid w:val="00BF4D61"/>
    <w:rsid w:val="00BF4FA0"/>
    <w:rsid w:val="00BF4FA4"/>
    <w:rsid w:val="00BF62E9"/>
    <w:rsid w:val="00BF63EB"/>
    <w:rsid w:val="00BF6B10"/>
    <w:rsid w:val="00BF7489"/>
    <w:rsid w:val="00BF76E1"/>
    <w:rsid w:val="00BF78C6"/>
    <w:rsid w:val="00C0005F"/>
    <w:rsid w:val="00C00AED"/>
    <w:rsid w:val="00C00BEA"/>
    <w:rsid w:val="00C010C6"/>
    <w:rsid w:val="00C0193D"/>
    <w:rsid w:val="00C02593"/>
    <w:rsid w:val="00C02CE8"/>
    <w:rsid w:val="00C02FB8"/>
    <w:rsid w:val="00C03053"/>
    <w:rsid w:val="00C03278"/>
    <w:rsid w:val="00C0367E"/>
    <w:rsid w:val="00C03B4D"/>
    <w:rsid w:val="00C03E35"/>
    <w:rsid w:val="00C0438F"/>
    <w:rsid w:val="00C04E20"/>
    <w:rsid w:val="00C0544E"/>
    <w:rsid w:val="00C05528"/>
    <w:rsid w:val="00C05D3C"/>
    <w:rsid w:val="00C05E0D"/>
    <w:rsid w:val="00C06D73"/>
    <w:rsid w:val="00C07195"/>
    <w:rsid w:val="00C07207"/>
    <w:rsid w:val="00C07CD2"/>
    <w:rsid w:val="00C101EB"/>
    <w:rsid w:val="00C10585"/>
    <w:rsid w:val="00C119BC"/>
    <w:rsid w:val="00C1263C"/>
    <w:rsid w:val="00C12BE8"/>
    <w:rsid w:val="00C12DDA"/>
    <w:rsid w:val="00C13660"/>
    <w:rsid w:val="00C13967"/>
    <w:rsid w:val="00C13A82"/>
    <w:rsid w:val="00C150FC"/>
    <w:rsid w:val="00C1516E"/>
    <w:rsid w:val="00C157A3"/>
    <w:rsid w:val="00C15A5A"/>
    <w:rsid w:val="00C15A85"/>
    <w:rsid w:val="00C15E77"/>
    <w:rsid w:val="00C162CC"/>
    <w:rsid w:val="00C16638"/>
    <w:rsid w:val="00C166D5"/>
    <w:rsid w:val="00C17AB1"/>
    <w:rsid w:val="00C17D05"/>
    <w:rsid w:val="00C200BC"/>
    <w:rsid w:val="00C20D9C"/>
    <w:rsid w:val="00C2122E"/>
    <w:rsid w:val="00C2126D"/>
    <w:rsid w:val="00C2144F"/>
    <w:rsid w:val="00C21941"/>
    <w:rsid w:val="00C21C6C"/>
    <w:rsid w:val="00C21E7F"/>
    <w:rsid w:val="00C221DA"/>
    <w:rsid w:val="00C23715"/>
    <w:rsid w:val="00C23DA6"/>
    <w:rsid w:val="00C2428B"/>
    <w:rsid w:val="00C24962"/>
    <w:rsid w:val="00C25140"/>
    <w:rsid w:val="00C251AE"/>
    <w:rsid w:val="00C2557E"/>
    <w:rsid w:val="00C25F95"/>
    <w:rsid w:val="00C2648F"/>
    <w:rsid w:val="00C26712"/>
    <w:rsid w:val="00C26D60"/>
    <w:rsid w:val="00C27CDC"/>
    <w:rsid w:val="00C30989"/>
    <w:rsid w:val="00C30C10"/>
    <w:rsid w:val="00C30EDA"/>
    <w:rsid w:val="00C3147E"/>
    <w:rsid w:val="00C316F6"/>
    <w:rsid w:val="00C31924"/>
    <w:rsid w:val="00C3207A"/>
    <w:rsid w:val="00C328A2"/>
    <w:rsid w:val="00C32F7E"/>
    <w:rsid w:val="00C33562"/>
    <w:rsid w:val="00C33A8E"/>
    <w:rsid w:val="00C33B3C"/>
    <w:rsid w:val="00C33E3C"/>
    <w:rsid w:val="00C34050"/>
    <w:rsid w:val="00C345EC"/>
    <w:rsid w:val="00C3477A"/>
    <w:rsid w:val="00C3539D"/>
    <w:rsid w:val="00C35431"/>
    <w:rsid w:val="00C35DB9"/>
    <w:rsid w:val="00C36389"/>
    <w:rsid w:val="00C367A3"/>
    <w:rsid w:val="00C36BCC"/>
    <w:rsid w:val="00C374B6"/>
    <w:rsid w:val="00C37833"/>
    <w:rsid w:val="00C37C1A"/>
    <w:rsid w:val="00C37C3F"/>
    <w:rsid w:val="00C37F4F"/>
    <w:rsid w:val="00C408EE"/>
    <w:rsid w:val="00C40E54"/>
    <w:rsid w:val="00C40FB2"/>
    <w:rsid w:val="00C418E8"/>
    <w:rsid w:val="00C41EF2"/>
    <w:rsid w:val="00C420DD"/>
    <w:rsid w:val="00C42520"/>
    <w:rsid w:val="00C42830"/>
    <w:rsid w:val="00C42CB2"/>
    <w:rsid w:val="00C42F64"/>
    <w:rsid w:val="00C42F65"/>
    <w:rsid w:val="00C433CD"/>
    <w:rsid w:val="00C43BE2"/>
    <w:rsid w:val="00C4491F"/>
    <w:rsid w:val="00C449D0"/>
    <w:rsid w:val="00C44BC3"/>
    <w:rsid w:val="00C44CD3"/>
    <w:rsid w:val="00C44CF8"/>
    <w:rsid w:val="00C44E94"/>
    <w:rsid w:val="00C45A8E"/>
    <w:rsid w:val="00C46C5F"/>
    <w:rsid w:val="00C46E0B"/>
    <w:rsid w:val="00C47220"/>
    <w:rsid w:val="00C50052"/>
    <w:rsid w:val="00C5017A"/>
    <w:rsid w:val="00C5050C"/>
    <w:rsid w:val="00C506FB"/>
    <w:rsid w:val="00C50801"/>
    <w:rsid w:val="00C50821"/>
    <w:rsid w:val="00C50FA6"/>
    <w:rsid w:val="00C5179A"/>
    <w:rsid w:val="00C51E95"/>
    <w:rsid w:val="00C526E0"/>
    <w:rsid w:val="00C52D62"/>
    <w:rsid w:val="00C53D07"/>
    <w:rsid w:val="00C53E6C"/>
    <w:rsid w:val="00C54533"/>
    <w:rsid w:val="00C5517D"/>
    <w:rsid w:val="00C552A2"/>
    <w:rsid w:val="00C554EC"/>
    <w:rsid w:val="00C55B03"/>
    <w:rsid w:val="00C55DAC"/>
    <w:rsid w:val="00C56197"/>
    <w:rsid w:val="00C5619E"/>
    <w:rsid w:val="00C56B50"/>
    <w:rsid w:val="00C56BDD"/>
    <w:rsid w:val="00C56C12"/>
    <w:rsid w:val="00C56F8E"/>
    <w:rsid w:val="00C574EB"/>
    <w:rsid w:val="00C57695"/>
    <w:rsid w:val="00C57883"/>
    <w:rsid w:val="00C57B54"/>
    <w:rsid w:val="00C57CBF"/>
    <w:rsid w:val="00C60249"/>
    <w:rsid w:val="00C60293"/>
    <w:rsid w:val="00C6084F"/>
    <w:rsid w:val="00C60BA7"/>
    <w:rsid w:val="00C60CCB"/>
    <w:rsid w:val="00C614E8"/>
    <w:rsid w:val="00C62014"/>
    <w:rsid w:val="00C6211A"/>
    <w:rsid w:val="00C625CF"/>
    <w:rsid w:val="00C62664"/>
    <w:rsid w:val="00C626DA"/>
    <w:rsid w:val="00C62704"/>
    <w:rsid w:val="00C62D58"/>
    <w:rsid w:val="00C63062"/>
    <w:rsid w:val="00C63E7D"/>
    <w:rsid w:val="00C63F70"/>
    <w:rsid w:val="00C640DA"/>
    <w:rsid w:val="00C648C3"/>
    <w:rsid w:val="00C649D1"/>
    <w:rsid w:val="00C64BBB"/>
    <w:rsid w:val="00C64E50"/>
    <w:rsid w:val="00C650A8"/>
    <w:rsid w:val="00C661AB"/>
    <w:rsid w:val="00C66387"/>
    <w:rsid w:val="00C66901"/>
    <w:rsid w:val="00C6690F"/>
    <w:rsid w:val="00C669F9"/>
    <w:rsid w:val="00C66FBE"/>
    <w:rsid w:val="00C671CA"/>
    <w:rsid w:val="00C67731"/>
    <w:rsid w:val="00C67C8E"/>
    <w:rsid w:val="00C700B3"/>
    <w:rsid w:val="00C70123"/>
    <w:rsid w:val="00C70254"/>
    <w:rsid w:val="00C702D9"/>
    <w:rsid w:val="00C704F7"/>
    <w:rsid w:val="00C715A6"/>
    <w:rsid w:val="00C71D24"/>
    <w:rsid w:val="00C72317"/>
    <w:rsid w:val="00C724C1"/>
    <w:rsid w:val="00C7269E"/>
    <w:rsid w:val="00C72CB5"/>
    <w:rsid w:val="00C73086"/>
    <w:rsid w:val="00C73199"/>
    <w:rsid w:val="00C73888"/>
    <w:rsid w:val="00C74060"/>
    <w:rsid w:val="00C743E0"/>
    <w:rsid w:val="00C7543C"/>
    <w:rsid w:val="00C755CE"/>
    <w:rsid w:val="00C75974"/>
    <w:rsid w:val="00C75AF1"/>
    <w:rsid w:val="00C75D96"/>
    <w:rsid w:val="00C760B5"/>
    <w:rsid w:val="00C76240"/>
    <w:rsid w:val="00C76B56"/>
    <w:rsid w:val="00C76D17"/>
    <w:rsid w:val="00C77897"/>
    <w:rsid w:val="00C80EE2"/>
    <w:rsid w:val="00C8152F"/>
    <w:rsid w:val="00C8161E"/>
    <w:rsid w:val="00C81637"/>
    <w:rsid w:val="00C827D4"/>
    <w:rsid w:val="00C82DED"/>
    <w:rsid w:val="00C831F0"/>
    <w:rsid w:val="00C834E9"/>
    <w:rsid w:val="00C8363D"/>
    <w:rsid w:val="00C8385E"/>
    <w:rsid w:val="00C83E6F"/>
    <w:rsid w:val="00C84627"/>
    <w:rsid w:val="00C84FDD"/>
    <w:rsid w:val="00C8513D"/>
    <w:rsid w:val="00C856C2"/>
    <w:rsid w:val="00C85AEA"/>
    <w:rsid w:val="00C85E4B"/>
    <w:rsid w:val="00C86695"/>
    <w:rsid w:val="00C86A42"/>
    <w:rsid w:val="00C86B71"/>
    <w:rsid w:val="00C871C6"/>
    <w:rsid w:val="00C87423"/>
    <w:rsid w:val="00C8766F"/>
    <w:rsid w:val="00C879ED"/>
    <w:rsid w:val="00C87B66"/>
    <w:rsid w:val="00C87B9E"/>
    <w:rsid w:val="00C9068A"/>
    <w:rsid w:val="00C9083E"/>
    <w:rsid w:val="00C90B08"/>
    <w:rsid w:val="00C90DA9"/>
    <w:rsid w:val="00C90F28"/>
    <w:rsid w:val="00C9152F"/>
    <w:rsid w:val="00C915DA"/>
    <w:rsid w:val="00C91723"/>
    <w:rsid w:val="00C91C76"/>
    <w:rsid w:val="00C92A65"/>
    <w:rsid w:val="00C92DCC"/>
    <w:rsid w:val="00C931E2"/>
    <w:rsid w:val="00C93B47"/>
    <w:rsid w:val="00C93CFC"/>
    <w:rsid w:val="00C93DF9"/>
    <w:rsid w:val="00C93FDC"/>
    <w:rsid w:val="00C952AC"/>
    <w:rsid w:val="00C9538E"/>
    <w:rsid w:val="00C95C24"/>
    <w:rsid w:val="00C962E5"/>
    <w:rsid w:val="00C965C9"/>
    <w:rsid w:val="00C96F9B"/>
    <w:rsid w:val="00C97026"/>
    <w:rsid w:val="00C9709F"/>
    <w:rsid w:val="00C971B4"/>
    <w:rsid w:val="00C97A48"/>
    <w:rsid w:val="00C97F37"/>
    <w:rsid w:val="00CA007E"/>
    <w:rsid w:val="00CA0615"/>
    <w:rsid w:val="00CA06AA"/>
    <w:rsid w:val="00CA06F3"/>
    <w:rsid w:val="00CA11D3"/>
    <w:rsid w:val="00CA13FA"/>
    <w:rsid w:val="00CA29D3"/>
    <w:rsid w:val="00CA2B28"/>
    <w:rsid w:val="00CA2CAF"/>
    <w:rsid w:val="00CA39C0"/>
    <w:rsid w:val="00CA3A71"/>
    <w:rsid w:val="00CA41D3"/>
    <w:rsid w:val="00CA4752"/>
    <w:rsid w:val="00CA4CCA"/>
    <w:rsid w:val="00CA4F4D"/>
    <w:rsid w:val="00CA4F83"/>
    <w:rsid w:val="00CA5340"/>
    <w:rsid w:val="00CA5654"/>
    <w:rsid w:val="00CA590B"/>
    <w:rsid w:val="00CA62B7"/>
    <w:rsid w:val="00CA6749"/>
    <w:rsid w:val="00CA6C36"/>
    <w:rsid w:val="00CA729D"/>
    <w:rsid w:val="00CA739B"/>
    <w:rsid w:val="00CA7739"/>
    <w:rsid w:val="00CA7805"/>
    <w:rsid w:val="00CA7860"/>
    <w:rsid w:val="00CA7BF7"/>
    <w:rsid w:val="00CB0190"/>
    <w:rsid w:val="00CB05EB"/>
    <w:rsid w:val="00CB060C"/>
    <w:rsid w:val="00CB0891"/>
    <w:rsid w:val="00CB0ABB"/>
    <w:rsid w:val="00CB1AA2"/>
    <w:rsid w:val="00CB28CB"/>
    <w:rsid w:val="00CB2E64"/>
    <w:rsid w:val="00CB3302"/>
    <w:rsid w:val="00CB347E"/>
    <w:rsid w:val="00CB34A0"/>
    <w:rsid w:val="00CB354F"/>
    <w:rsid w:val="00CB3675"/>
    <w:rsid w:val="00CB370D"/>
    <w:rsid w:val="00CB3FE4"/>
    <w:rsid w:val="00CB4026"/>
    <w:rsid w:val="00CB4400"/>
    <w:rsid w:val="00CB459F"/>
    <w:rsid w:val="00CB45E7"/>
    <w:rsid w:val="00CB46FB"/>
    <w:rsid w:val="00CB4E0E"/>
    <w:rsid w:val="00CB5756"/>
    <w:rsid w:val="00CB5F39"/>
    <w:rsid w:val="00CB6DF9"/>
    <w:rsid w:val="00CB7488"/>
    <w:rsid w:val="00CB76A9"/>
    <w:rsid w:val="00CB7726"/>
    <w:rsid w:val="00CB7A3E"/>
    <w:rsid w:val="00CB7D02"/>
    <w:rsid w:val="00CB7DD2"/>
    <w:rsid w:val="00CB7E7F"/>
    <w:rsid w:val="00CB7EFC"/>
    <w:rsid w:val="00CC08EB"/>
    <w:rsid w:val="00CC127D"/>
    <w:rsid w:val="00CC136F"/>
    <w:rsid w:val="00CC16D9"/>
    <w:rsid w:val="00CC1BBA"/>
    <w:rsid w:val="00CC20D3"/>
    <w:rsid w:val="00CC2291"/>
    <w:rsid w:val="00CC242A"/>
    <w:rsid w:val="00CC263E"/>
    <w:rsid w:val="00CC377A"/>
    <w:rsid w:val="00CC38E1"/>
    <w:rsid w:val="00CC3B58"/>
    <w:rsid w:val="00CC3D5F"/>
    <w:rsid w:val="00CC402D"/>
    <w:rsid w:val="00CC4114"/>
    <w:rsid w:val="00CC422F"/>
    <w:rsid w:val="00CC4D5F"/>
    <w:rsid w:val="00CC4DE3"/>
    <w:rsid w:val="00CC523C"/>
    <w:rsid w:val="00CC58B5"/>
    <w:rsid w:val="00CC5D2D"/>
    <w:rsid w:val="00CC5EB6"/>
    <w:rsid w:val="00CC600C"/>
    <w:rsid w:val="00CC730D"/>
    <w:rsid w:val="00CC7D0E"/>
    <w:rsid w:val="00CC7E67"/>
    <w:rsid w:val="00CD041D"/>
    <w:rsid w:val="00CD0D75"/>
    <w:rsid w:val="00CD0F8B"/>
    <w:rsid w:val="00CD13D2"/>
    <w:rsid w:val="00CD19A7"/>
    <w:rsid w:val="00CD19EF"/>
    <w:rsid w:val="00CD24A7"/>
    <w:rsid w:val="00CD2EDB"/>
    <w:rsid w:val="00CD40EA"/>
    <w:rsid w:val="00CD46F4"/>
    <w:rsid w:val="00CD4A83"/>
    <w:rsid w:val="00CD6130"/>
    <w:rsid w:val="00CD62F6"/>
    <w:rsid w:val="00CD63EC"/>
    <w:rsid w:val="00CD6A7E"/>
    <w:rsid w:val="00CD6ABA"/>
    <w:rsid w:val="00CD6B9B"/>
    <w:rsid w:val="00CD6FB0"/>
    <w:rsid w:val="00CD7344"/>
    <w:rsid w:val="00CD75DB"/>
    <w:rsid w:val="00CD77BF"/>
    <w:rsid w:val="00CD7805"/>
    <w:rsid w:val="00CD78BF"/>
    <w:rsid w:val="00CD79A2"/>
    <w:rsid w:val="00CD7B62"/>
    <w:rsid w:val="00CD7C2B"/>
    <w:rsid w:val="00CD7C68"/>
    <w:rsid w:val="00CD7D0B"/>
    <w:rsid w:val="00CE0343"/>
    <w:rsid w:val="00CE04ED"/>
    <w:rsid w:val="00CE0523"/>
    <w:rsid w:val="00CE0696"/>
    <w:rsid w:val="00CE09FA"/>
    <w:rsid w:val="00CE0A19"/>
    <w:rsid w:val="00CE0B51"/>
    <w:rsid w:val="00CE0C09"/>
    <w:rsid w:val="00CE0C61"/>
    <w:rsid w:val="00CE1299"/>
    <w:rsid w:val="00CE2F85"/>
    <w:rsid w:val="00CE3549"/>
    <w:rsid w:val="00CE3743"/>
    <w:rsid w:val="00CE386B"/>
    <w:rsid w:val="00CE3AA8"/>
    <w:rsid w:val="00CE419A"/>
    <w:rsid w:val="00CE47F3"/>
    <w:rsid w:val="00CE4D22"/>
    <w:rsid w:val="00CE5032"/>
    <w:rsid w:val="00CE56E9"/>
    <w:rsid w:val="00CE572B"/>
    <w:rsid w:val="00CE5921"/>
    <w:rsid w:val="00CE5D5A"/>
    <w:rsid w:val="00CE6FB0"/>
    <w:rsid w:val="00CE7053"/>
    <w:rsid w:val="00CE781A"/>
    <w:rsid w:val="00CE79C5"/>
    <w:rsid w:val="00CF031B"/>
    <w:rsid w:val="00CF04C4"/>
    <w:rsid w:val="00CF0AE5"/>
    <w:rsid w:val="00CF0B68"/>
    <w:rsid w:val="00CF0E95"/>
    <w:rsid w:val="00CF10CE"/>
    <w:rsid w:val="00CF116B"/>
    <w:rsid w:val="00CF1861"/>
    <w:rsid w:val="00CF1915"/>
    <w:rsid w:val="00CF1ECB"/>
    <w:rsid w:val="00CF1F04"/>
    <w:rsid w:val="00CF2192"/>
    <w:rsid w:val="00CF288F"/>
    <w:rsid w:val="00CF2FCB"/>
    <w:rsid w:val="00CF32FD"/>
    <w:rsid w:val="00CF34A2"/>
    <w:rsid w:val="00CF37BE"/>
    <w:rsid w:val="00CF3F1E"/>
    <w:rsid w:val="00CF4158"/>
    <w:rsid w:val="00CF5438"/>
    <w:rsid w:val="00CF5A39"/>
    <w:rsid w:val="00CF6134"/>
    <w:rsid w:val="00CF7207"/>
    <w:rsid w:val="00CF7BC4"/>
    <w:rsid w:val="00D00BB2"/>
    <w:rsid w:val="00D0100E"/>
    <w:rsid w:val="00D014E3"/>
    <w:rsid w:val="00D0167C"/>
    <w:rsid w:val="00D0175B"/>
    <w:rsid w:val="00D01B98"/>
    <w:rsid w:val="00D01F50"/>
    <w:rsid w:val="00D023EC"/>
    <w:rsid w:val="00D024BF"/>
    <w:rsid w:val="00D02709"/>
    <w:rsid w:val="00D0281D"/>
    <w:rsid w:val="00D03AC2"/>
    <w:rsid w:val="00D03E5E"/>
    <w:rsid w:val="00D04874"/>
    <w:rsid w:val="00D048AD"/>
    <w:rsid w:val="00D04A98"/>
    <w:rsid w:val="00D04CF8"/>
    <w:rsid w:val="00D04D3F"/>
    <w:rsid w:val="00D0504A"/>
    <w:rsid w:val="00D05157"/>
    <w:rsid w:val="00D0526E"/>
    <w:rsid w:val="00D052AC"/>
    <w:rsid w:val="00D0554B"/>
    <w:rsid w:val="00D05627"/>
    <w:rsid w:val="00D057CA"/>
    <w:rsid w:val="00D064EC"/>
    <w:rsid w:val="00D06ADF"/>
    <w:rsid w:val="00D074A2"/>
    <w:rsid w:val="00D07BBE"/>
    <w:rsid w:val="00D07CBD"/>
    <w:rsid w:val="00D101C9"/>
    <w:rsid w:val="00D1053E"/>
    <w:rsid w:val="00D10A3D"/>
    <w:rsid w:val="00D10EEB"/>
    <w:rsid w:val="00D111CC"/>
    <w:rsid w:val="00D11203"/>
    <w:rsid w:val="00D112F1"/>
    <w:rsid w:val="00D11385"/>
    <w:rsid w:val="00D11866"/>
    <w:rsid w:val="00D119EE"/>
    <w:rsid w:val="00D12577"/>
    <w:rsid w:val="00D12963"/>
    <w:rsid w:val="00D12A3C"/>
    <w:rsid w:val="00D12DC2"/>
    <w:rsid w:val="00D12E23"/>
    <w:rsid w:val="00D12E64"/>
    <w:rsid w:val="00D12F22"/>
    <w:rsid w:val="00D1309D"/>
    <w:rsid w:val="00D130C1"/>
    <w:rsid w:val="00D13101"/>
    <w:rsid w:val="00D13557"/>
    <w:rsid w:val="00D138E6"/>
    <w:rsid w:val="00D13C70"/>
    <w:rsid w:val="00D13CB5"/>
    <w:rsid w:val="00D13E1D"/>
    <w:rsid w:val="00D154BF"/>
    <w:rsid w:val="00D156A3"/>
    <w:rsid w:val="00D161F6"/>
    <w:rsid w:val="00D163D9"/>
    <w:rsid w:val="00D1640C"/>
    <w:rsid w:val="00D1653C"/>
    <w:rsid w:val="00D1688C"/>
    <w:rsid w:val="00D169ED"/>
    <w:rsid w:val="00D16DD4"/>
    <w:rsid w:val="00D17E69"/>
    <w:rsid w:val="00D17EA4"/>
    <w:rsid w:val="00D17FE4"/>
    <w:rsid w:val="00D2018D"/>
    <w:rsid w:val="00D20552"/>
    <w:rsid w:val="00D20D0D"/>
    <w:rsid w:val="00D21A5E"/>
    <w:rsid w:val="00D22B4A"/>
    <w:rsid w:val="00D22E6A"/>
    <w:rsid w:val="00D2350C"/>
    <w:rsid w:val="00D237D6"/>
    <w:rsid w:val="00D24029"/>
    <w:rsid w:val="00D24843"/>
    <w:rsid w:val="00D24AD4"/>
    <w:rsid w:val="00D25201"/>
    <w:rsid w:val="00D25357"/>
    <w:rsid w:val="00D255A1"/>
    <w:rsid w:val="00D258FB"/>
    <w:rsid w:val="00D267E2"/>
    <w:rsid w:val="00D26F15"/>
    <w:rsid w:val="00D270F8"/>
    <w:rsid w:val="00D2737B"/>
    <w:rsid w:val="00D276C2"/>
    <w:rsid w:val="00D27802"/>
    <w:rsid w:val="00D27C37"/>
    <w:rsid w:val="00D27DE2"/>
    <w:rsid w:val="00D30071"/>
    <w:rsid w:val="00D3018A"/>
    <w:rsid w:val="00D30850"/>
    <w:rsid w:val="00D30DB4"/>
    <w:rsid w:val="00D31300"/>
    <w:rsid w:val="00D318C6"/>
    <w:rsid w:val="00D31AD8"/>
    <w:rsid w:val="00D31B33"/>
    <w:rsid w:val="00D32103"/>
    <w:rsid w:val="00D32298"/>
    <w:rsid w:val="00D326BD"/>
    <w:rsid w:val="00D328C8"/>
    <w:rsid w:val="00D329D8"/>
    <w:rsid w:val="00D32B18"/>
    <w:rsid w:val="00D32D0E"/>
    <w:rsid w:val="00D33267"/>
    <w:rsid w:val="00D33C77"/>
    <w:rsid w:val="00D33DDA"/>
    <w:rsid w:val="00D34BA1"/>
    <w:rsid w:val="00D34BC5"/>
    <w:rsid w:val="00D34BE8"/>
    <w:rsid w:val="00D34C9D"/>
    <w:rsid w:val="00D34EA0"/>
    <w:rsid w:val="00D35B49"/>
    <w:rsid w:val="00D361BC"/>
    <w:rsid w:val="00D363D6"/>
    <w:rsid w:val="00D365BC"/>
    <w:rsid w:val="00D36BA7"/>
    <w:rsid w:val="00D3739D"/>
    <w:rsid w:val="00D37509"/>
    <w:rsid w:val="00D37DB5"/>
    <w:rsid w:val="00D37EA2"/>
    <w:rsid w:val="00D407AB"/>
    <w:rsid w:val="00D40DFD"/>
    <w:rsid w:val="00D40F7E"/>
    <w:rsid w:val="00D41B58"/>
    <w:rsid w:val="00D42819"/>
    <w:rsid w:val="00D42BAF"/>
    <w:rsid w:val="00D43623"/>
    <w:rsid w:val="00D43A74"/>
    <w:rsid w:val="00D44390"/>
    <w:rsid w:val="00D44640"/>
    <w:rsid w:val="00D4488E"/>
    <w:rsid w:val="00D44B78"/>
    <w:rsid w:val="00D45255"/>
    <w:rsid w:val="00D45384"/>
    <w:rsid w:val="00D45575"/>
    <w:rsid w:val="00D4572B"/>
    <w:rsid w:val="00D459D7"/>
    <w:rsid w:val="00D45E6F"/>
    <w:rsid w:val="00D46052"/>
    <w:rsid w:val="00D4638E"/>
    <w:rsid w:val="00D467B1"/>
    <w:rsid w:val="00D469DF"/>
    <w:rsid w:val="00D4740B"/>
    <w:rsid w:val="00D47D83"/>
    <w:rsid w:val="00D51200"/>
    <w:rsid w:val="00D5152B"/>
    <w:rsid w:val="00D51961"/>
    <w:rsid w:val="00D519D4"/>
    <w:rsid w:val="00D519FA"/>
    <w:rsid w:val="00D51AEB"/>
    <w:rsid w:val="00D51E54"/>
    <w:rsid w:val="00D51E72"/>
    <w:rsid w:val="00D52143"/>
    <w:rsid w:val="00D52970"/>
    <w:rsid w:val="00D53194"/>
    <w:rsid w:val="00D531ED"/>
    <w:rsid w:val="00D5325F"/>
    <w:rsid w:val="00D54D3D"/>
    <w:rsid w:val="00D5511A"/>
    <w:rsid w:val="00D552CA"/>
    <w:rsid w:val="00D5558D"/>
    <w:rsid w:val="00D555B3"/>
    <w:rsid w:val="00D55C7D"/>
    <w:rsid w:val="00D55CFA"/>
    <w:rsid w:val="00D55F12"/>
    <w:rsid w:val="00D56013"/>
    <w:rsid w:val="00D56340"/>
    <w:rsid w:val="00D5653D"/>
    <w:rsid w:val="00D56D30"/>
    <w:rsid w:val="00D57143"/>
    <w:rsid w:val="00D57B6A"/>
    <w:rsid w:val="00D57D1C"/>
    <w:rsid w:val="00D57DD7"/>
    <w:rsid w:val="00D602C6"/>
    <w:rsid w:val="00D60745"/>
    <w:rsid w:val="00D60A44"/>
    <w:rsid w:val="00D61016"/>
    <w:rsid w:val="00D6128F"/>
    <w:rsid w:val="00D615AA"/>
    <w:rsid w:val="00D6183A"/>
    <w:rsid w:val="00D619A4"/>
    <w:rsid w:val="00D61BC5"/>
    <w:rsid w:val="00D61CC0"/>
    <w:rsid w:val="00D62F61"/>
    <w:rsid w:val="00D6350E"/>
    <w:rsid w:val="00D63659"/>
    <w:rsid w:val="00D63C73"/>
    <w:rsid w:val="00D640C0"/>
    <w:rsid w:val="00D6440B"/>
    <w:rsid w:val="00D64494"/>
    <w:rsid w:val="00D64A03"/>
    <w:rsid w:val="00D64A6B"/>
    <w:rsid w:val="00D6591A"/>
    <w:rsid w:val="00D65A59"/>
    <w:rsid w:val="00D65EA5"/>
    <w:rsid w:val="00D6602A"/>
    <w:rsid w:val="00D6797D"/>
    <w:rsid w:val="00D67DB1"/>
    <w:rsid w:val="00D67F38"/>
    <w:rsid w:val="00D70596"/>
    <w:rsid w:val="00D70B71"/>
    <w:rsid w:val="00D70D49"/>
    <w:rsid w:val="00D70E59"/>
    <w:rsid w:val="00D71067"/>
    <w:rsid w:val="00D71438"/>
    <w:rsid w:val="00D71651"/>
    <w:rsid w:val="00D71A66"/>
    <w:rsid w:val="00D721A5"/>
    <w:rsid w:val="00D72436"/>
    <w:rsid w:val="00D7318D"/>
    <w:rsid w:val="00D731C3"/>
    <w:rsid w:val="00D731EF"/>
    <w:rsid w:val="00D7377A"/>
    <w:rsid w:val="00D737B4"/>
    <w:rsid w:val="00D744A0"/>
    <w:rsid w:val="00D74BC2"/>
    <w:rsid w:val="00D74DCF"/>
    <w:rsid w:val="00D75993"/>
    <w:rsid w:val="00D75AC6"/>
    <w:rsid w:val="00D762F5"/>
    <w:rsid w:val="00D77F5C"/>
    <w:rsid w:val="00D80063"/>
    <w:rsid w:val="00D8042F"/>
    <w:rsid w:val="00D81742"/>
    <w:rsid w:val="00D81A78"/>
    <w:rsid w:val="00D82477"/>
    <w:rsid w:val="00D82AFE"/>
    <w:rsid w:val="00D83928"/>
    <w:rsid w:val="00D83CB0"/>
    <w:rsid w:val="00D84491"/>
    <w:rsid w:val="00D847F4"/>
    <w:rsid w:val="00D8489A"/>
    <w:rsid w:val="00D84A91"/>
    <w:rsid w:val="00D84AA3"/>
    <w:rsid w:val="00D84E21"/>
    <w:rsid w:val="00D855D1"/>
    <w:rsid w:val="00D8567A"/>
    <w:rsid w:val="00D857D4"/>
    <w:rsid w:val="00D85889"/>
    <w:rsid w:val="00D85BB0"/>
    <w:rsid w:val="00D85CB1"/>
    <w:rsid w:val="00D85EA5"/>
    <w:rsid w:val="00D86431"/>
    <w:rsid w:val="00D86888"/>
    <w:rsid w:val="00D8698C"/>
    <w:rsid w:val="00D86F34"/>
    <w:rsid w:val="00D87350"/>
    <w:rsid w:val="00D87456"/>
    <w:rsid w:val="00D8781C"/>
    <w:rsid w:val="00D8794A"/>
    <w:rsid w:val="00D87AF8"/>
    <w:rsid w:val="00D87F00"/>
    <w:rsid w:val="00D900A3"/>
    <w:rsid w:val="00D90A9C"/>
    <w:rsid w:val="00D90F74"/>
    <w:rsid w:val="00D92677"/>
    <w:rsid w:val="00D92EEF"/>
    <w:rsid w:val="00D9335C"/>
    <w:rsid w:val="00D93D88"/>
    <w:rsid w:val="00D93E73"/>
    <w:rsid w:val="00D93ED8"/>
    <w:rsid w:val="00D94129"/>
    <w:rsid w:val="00D94B2A"/>
    <w:rsid w:val="00D94C05"/>
    <w:rsid w:val="00D950E7"/>
    <w:rsid w:val="00D95CE0"/>
    <w:rsid w:val="00D95DA1"/>
    <w:rsid w:val="00D95FD1"/>
    <w:rsid w:val="00D960AE"/>
    <w:rsid w:val="00D9674E"/>
    <w:rsid w:val="00D96998"/>
    <w:rsid w:val="00D9740F"/>
    <w:rsid w:val="00D9792A"/>
    <w:rsid w:val="00DA00FE"/>
    <w:rsid w:val="00DA01A5"/>
    <w:rsid w:val="00DA0467"/>
    <w:rsid w:val="00DA08C6"/>
    <w:rsid w:val="00DA0C4F"/>
    <w:rsid w:val="00DA21CC"/>
    <w:rsid w:val="00DA2662"/>
    <w:rsid w:val="00DA281B"/>
    <w:rsid w:val="00DA302A"/>
    <w:rsid w:val="00DA3355"/>
    <w:rsid w:val="00DA3639"/>
    <w:rsid w:val="00DA3658"/>
    <w:rsid w:val="00DA3E1F"/>
    <w:rsid w:val="00DA3F5E"/>
    <w:rsid w:val="00DA4680"/>
    <w:rsid w:val="00DA509D"/>
    <w:rsid w:val="00DA5194"/>
    <w:rsid w:val="00DA5742"/>
    <w:rsid w:val="00DA5869"/>
    <w:rsid w:val="00DA6635"/>
    <w:rsid w:val="00DA6B1F"/>
    <w:rsid w:val="00DA7814"/>
    <w:rsid w:val="00DA7C27"/>
    <w:rsid w:val="00DA7DF8"/>
    <w:rsid w:val="00DB01A8"/>
    <w:rsid w:val="00DB0888"/>
    <w:rsid w:val="00DB0D62"/>
    <w:rsid w:val="00DB1310"/>
    <w:rsid w:val="00DB1420"/>
    <w:rsid w:val="00DB14AC"/>
    <w:rsid w:val="00DB17E8"/>
    <w:rsid w:val="00DB1E0B"/>
    <w:rsid w:val="00DB2D07"/>
    <w:rsid w:val="00DB3094"/>
    <w:rsid w:val="00DB31B9"/>
    <w:rsid w:val="00DB3482"/>
    <w:rsid w:val="00DB3ACD"/>
    <w:rsid w:val="00DB3B31"/>
    <w:rsid w:val="00DB4004"/>
    <w:rsid w:val="00DB4343"/>
    <w:rsid w:val="00DB4A19"/>
    <w:rsid w:val="00DB4C82"/>
    <w:rsid w:val="00DB4CED"/>
    <w:rsid w:val="00DB4DE1"/>
    <w:rsid w:val="00DB5433"/>
    <w:rsid w:val="00DB565F"/>
    <w:rsid w:val="00DB5F85"/>
    <w:rsid w:val="00DB601A"/>
    <w:rsid w:val="00DB639B"/>
    <w:rsid w:val="00DB6DC9"/>
    <w:rsid w:val="00DB6DD7"/>
    <w:rsid w:val="00DB70E5"/>
    <w:rsid w:val="00DB7492"/>
    <w:rsid w:val="00DB75EA"/>
    <w:rsid w:val="00DB7628"/>
    <w:rsid w:val="00DB76F4"/>
    <w:rsid w:val="00DB7C1F"/>
    <w:rsid w:val="00DC044B"/>
    <w:rsid w:val="00DC08F8"/>
    <w:rsid w:val="00DC1522"/>
    <w:rsid w:val="00DC1622"/>
    <w:rsid w:val="00DC228C"/>
    <w:rsid w:val="00DC29ED"/>
    <w:rsid w:val="00DC2D0B"/>
    <w:rsid w:val="00DC4189"/>
    <w:rsid w:val="00DC44D4"/>
    <w:rsid w:val="00DC4A23"/>
    <w:rsid w:val="00DC6AF0"/>
    <w:rsid w:val="00DC6BFE"/>
    <w:rsid w:val="00DC6C4D"/>
    <w:rsid w:val="00DC6EFE"/>
    <w:rsid w:val="00DC711E"/>
    <w:rsid w:val="00DC7520"/>
    <w:rsid w:val="00DC7865"/>
    <w:rsid w:val="00DC7D32"/>
    <w:rsid w:val="00DC7E9C"/>
    <w:rsid w:val="00DD0160"/>
    <w:rsid w:val="00DD06D8"/>
    <w:rsid w:val="00DD181F"/>
    <w:rsid w:val="00DD1D9E"/>
    <w:rsid w:val="00DD229C"/>
    <w:rsid w:val="00DD2653"/>
    <w:rsid w:val="00DD2A57"/>
    <w:rsid w:val="00DD2C68"/>
    <w:rsid w:val="00DD3403"/>
    <w:rsid w:val="00DD372B"/>
    <w:rsid w:val="00DD3C18"/>
    <w:rsid w:val="00DD4648"/>
    <w:rsid w:val="00DD4A69"/>
    <w:rsid w:val="00DD4B71"/>
    <w:rsid w:val="00DD5579"/>
    <w:rsid w:val="00DD5F6D"/>
    <w:rsid w:val="00DD60B4"/>
    <w:rsid w:val="00DD66C3"/>
    <w:rsid w:val="00DD6A24"/>
    <w:rsid w:val="00DD6DA4"/>
    <w:rsid w:val="00DD70B5"/>
    <w:rsid w:val="00DD7293"/>
    <w:rsid w:val="00DD72C5"/>
    <w:rsid w:val="00DD7536"/>
    <w:rsid w:val="00DD7C27"/>
    <w:rsid w:val="00DE12C7"/>
    <w:rsid w:val="00DE1DE0"/>
    <w:rsid w:val="00DE2013"/>
    <w:rsid w:val="00DE25B8"/>
    <w:rsid w:val="00DE2AFF"/>
    <w:rsid w:val="00DE32C8"/>
    <w:rsid w:val="00DE3AC1"/>
    <w:rsid w:val="00DE3C18"/>
    <w:rsid w:val="00DE3E62"/>
    <w:rsid w:val="00DE4018"/>
    <w:rsid w:val="00DE4640"/>
    <w:rsid w:val="00DE4C2E"/>
    <w:rsid w:val="00DE4E43"/>
    <w:rsid w:val="00DE607E"/>
    <w:rsid w:val="00DE67B0"/>
    <w:rsid w:val="00DE716E"/>
    <w:rsid w:val="00DE73DF"/>
    <w:rsid w:val="00DF0F9D"/>
    <w:rsid w:val="00DF1334"/>
    <w:rsid w:val="00DF148D"/>
    <w:rsid w:val="00DF1BC6"/>
    <w:rsid w:val="00DF206D"/>
    <w:rsid w:val="00DF2556"/>
    <w:rsid w:val="00DF278F"/>
    <w:rsid w:val="00DF355E"/>
    <w:rsid w:val="00DF3A43"/>
    <w:rsid w:val="00DF3C6B"/>
    <w:rsid w:val="00DF407D"/>
    <w:rsid w:val="00DF43EA"/>
    <w:rsid w:val="00DF5146"/>
    <w:rsid w:val="00DF553A"/>
    <w:rsid w:val="00DF555D"/>
    <w:rsid w:val="00DF59BD"/>
    <w:rsid w:val="00DF5F65"/>
    <w:rsid w:val="00DF60EE"/>
    <w:rsid w:val="00DF6795"/>
    <w:rsid w:val="00DF68BB"/>
    <w:rsid w:val="00DF6A97"/>
    <w:rsid w:val="00DF74B6"/>
    <w:rsid w:val="00E00499"/>
    <w:rsid w:val="00E00545"/>
    <w:rsid w:val="00E0152B"/>
    <w:rsid w:val="00E01749"/>
    <w:rsid w:val="00E01BCA"/>
    <w:rsid w:val="00E01CF9"/>
    <w:rsid w:val="00E01F4B"/>
    <w:rsid w:val="00E02340"/>
    <w:rsid w:val="00E02A38"/>
    <w:rsid w:val="00E02CF3"/>
    <w:rsid w:val="00E02D74"/>
    <w:rsid w:val="00E0301C"/>
    <w:rsid w:val="00E037C3"/>
    <w:rsid w:val="00E03C8C"/>
    <w:rsid w:val="00E03FDD"/>
    <w:rsid w:val="00E04028"/>
    <w:rsid w:val="00E04212"/>
    <w:rsid w:val="00E04900"/>
    <w:rsid w:val="00E05441"/>
    <w:rsid w:val="00E054B1"/>
    <w:rsid w:val="00E056B5"/>
    <w:rsid w:val="00E056C9"/>
    <w:rsid w:val="00E0596D"/>
    <w:rsid w:val="00E05E26"/>
    <w:rsid w:val="00E07581"/>
    <w:rsid w:val="00E077F8"/>
    <w:rsid w:val="00E07C44"/>
    <w:rsid w:val="00E07CDB"/>
    <w:rsid w:val="00E1038C"/>
    <w:rsid w:val="00E10555"/>
    <w:rsid w:val="00E10BB4"/>
    <w:rsid w:val="00E10C43"/>
    <w:rsid w:val="00E10FF3"/>
    <w:rsid w:val="00E11AB3"/>
    <w:rsid w:val="00E11DFF"/>
    <w:rsid w:val="00E11E76"/>
    <w:rsid w:val="00E12106"/>
    <w:rsid w:val="00E12233"/>
    <w:rsid w:val="00E1259B"/>
    <w:rsid w:val="00E128F2"/>
    <w:rsid w:val="00E12E64"/>
    <w:rsid w:val="00E12ED6"/>
    <w:rsid w:val="00E132D9"/>
    <w:rsid w:val="00E13890"/>
    <w:rsid w:val="00E13BBD"/>
    <w:rsid w:val="00E13FC7"/>
    <w:rsid w:val="00E13FF6"/>
    <w:rsid w:val="00E1419D"/>
    <w:rsid w:val="00E145A4"/>
    <w:rsid w:val="00E14FF3"/>
    <w:rsid w:val="00E15BC0"/>
    <w:rsid w:val="00E16271"/>
    <w:rsid w:val="00E167D2"/>
    <w:rsid w:val="00E169D2"/>
    <w:rsid w:val="00E16B7B"/>
    <w:rsid w:val="00E16E06"/>
    <w:rsid w:val="00E16F00"/>
    <w:rsid w:val="00E17669"/>
    <w:rsid w:val="00E17A1F"/>
    <w:rsid w:val="00E2003A"/>
    <w:rsid w:val="00E2061F"/>
    <w:rsid w:val="00E20F4A"/>
    <w:rsid w:val="00E21BBB"/>
    <w:rsid w:val="00E22920"/>
    <w:rsid w:val="00E22C5F"/>
    <w:rsid w:val="00E230DF"/>
    <w:rsid w:val="00E23652"/>
    <w:rsid w:val="00E23920"/>
    <w:rsid w:val="00E24684"/>
    <w:rsid w:val="00E24B83"/>
    <w:rsid w:val="00E251F1"/>
    <w:rsid w:val="00E256AB"/>
    <w:rsid w:val="00E25BF7"/>
    <w:rsid w:val="00E25EC3"/>
    <w:rsid w:val="00E263FC"/>
    <w:rsid w:val="00E267B4"/>
    <w:rsid w:val="00E27300"/>
    <w:rsid w:val="00E27997"/>
    <w:rsid w:val="00E30116"/>
    <w:rsid w:val="00E304C6"/>
    <w:rsid w:val="00E30770"/>
    <w:rsid w:val="00E30F9A"/>
    <w:rsid w:val="00E32245"/>
    <w:rsid w:val="00E3273A"/>
    <w:rsid w:val="00E32EC9"/>
    <w:rsid w:val="00E32F4A"/>
    <w:rsid w:val="00E3324E"/>
    <w:rsid w:val="00E337D9"/>
    <w:rsid w:val="00E33E4D"/>
    <w:rsid w:val="00E347AB"/>
    <w:rsid w:val="00E348B2"/>
    <w:rsid w:val="00E34F76"/>
    <w:rsid w:val="00E35C2C"/>
    <w:rsid w:val="00E35F9A"/>
    <w:rsid w:val="00E36257"/>
    <w:rsid w:val="00E3628B"/>
    <w:rsid w:val="00E3648B"/>
    <w:rsid w:val="00E3733D"/>
    <w:rsid w:val="00E3737B"/>
    <w:rsid w:val="00E373E2"/>
    <w:rsid w:val="00E374B5"/>
    <w:rsid w:val="00E377D4"/>
    <w:rsid w:val="00E40161"/>
    <w:rsid w:val="00E402AE"/>
    <w:rsid w:val="00E402DC"/>
    <w:rsid w:val="00E4034B"/>
    <w:rsid w:val="00E40492"/>
    <w:rsid w:val="00E404A2"/>
    <w:rsid w:val="00E4068B"/>
    <w:rsid w:val="00E40AAA"/>
    <w:rsid w:val="00E40BEE"/>
    <w:rsid w:val="00E410A0"/>
    <w:rsid w:val="00E4115E"/>
    <w:rsid w:val="00E415DC"/>
    <w:rsid w:val="00E4177B"/>
    <w:rsid w:val="00E41858"/>
    <w:rsid w:val="00E421CA"/>
    <w:rsid w:val="00E42B65"/>
    <w:rsid w:val="00E435D6"/>
    <w:rsid w:val="00E43826"/>
    <w:rsid w:val="00E43CEA"/>
    <w:rsid w:val="00E445DB"/>
    <w:rsid w:val="00E4491A"/>
    <w:rsid w:val="00E449BD"/>
    <w:rsid w:val="00E44A41"/>
    <w:rsid w:val="00E44B00"/>
    <w:rsid w:val="00E457A0"/>
    <w:rsid w:val="00E45BAC"/>
    <w:rsid w:val="00E45E1F"/>
    <w:rsid w:val="00E461A1"/>
    <w:rsid w:val="00E46FFF"/>
    <w:rsid w:val="00E4782F"/>
    <w:rsid w:val="00E4792A"/>
    <w:rsid w:val="00E47BF5"/>
    <w:rsid w:val="00E47D9B"/>
    <w:rsid w:val="00E47F0C"/>
    <w:rsid w:val="00E500A6"/>
    <w:rsid w:val="00E5028E"/>
    <w:rsid w:val="00E503BD"/>
    <w:rsid w:val="00E50766"/>
    <w:rsid w:val="00E51324"/>
    <w:rsid w:val="00E51769"/>
    <w:rsid w:val="00E5190A"/>
    <w:rsid w:val="00E51EE5"/>
    <w:rsid w:val="00E52289"/>
    <w:rsid w:val="00E523F2"/>
    <w:rsid w:val="00E5262F"/>
    <w:rsid w:val="00E52C40"/>
    <w:rsid w:val="00E52F9A"/>
    <w:rsid w:val="00E53008"/>
    <w:rsid w:val="00E5316D"/>
    <w:rsid w:val="00E5382E"/>
    <w:rsid w:val="00E54543"/>
    <w:rsid w:val="00E556DC"/>
    <w:rsid w:val="00E5573B"/>
    <w:rsid w:val="00E557BC"/>
    <w:rsid w:val="00E5598A"/>
    <w:rsid w:val="00E5652E"/>
    <w:rsid w:val="00E569C1"/>
    <w:rsid w:val="00E56A57"/>
    <w:rsid w:val="00E56E2E"/>
    <w:rsid w:val="00E57434"/>
    <w:rsid w:val="00E57924"/>
    <w:rsid w:val="00E57ACD"/>
    <w:rsid w:val="00E57AF4"/>
    <w:rsid w:val="00E57B68"/>
    <w:rsid w:val="00E60242"/>
    <w:rsid w:val="00E60442"/>
    <w:rsid w:val="00E60545"/>
    <w:rsid w:val="00E616B5"/>
    <w:rsid w:val="00E616C6"/>
    <w:rsid w:val="00E61853"/>
    <w:rsid w:val="00E6275A"/>
    <w:rsid w:val="00E62763"/>
    <w:rsid w:val="00E62FCA"/>
    <w:rsid w:val="00E63156"/>
    <w:rsid w:val="00E63434"/>
    <w:rsid w:val="00E63FF6"/>
    <w:rsid w:val="00E642BF"/>
    <w:rsid w:val="00E64352"/>
    <w:rsid w:val="00E647CE"/>
    <w:rsid w:val="00E64960"/>
    <w:rsid w:val="00E64F52"/>
    <w:rsid w:val="00E64FCA"/>
    <w:rsid w:val="00E65BBE"/>
    <w:rsid w:val="00E70449"/>
    <w:rsid w:val="00E70755"/>
    <w:rsid w:val="00E70921"/>
    <w:rsid w:val="00E70CC8"/>
    <w:rsid w:val="00E70E4F"/>
    <w:rsid w:val="00E718FD"/>
    <w:rsid w:val="00E71945"/>
    <w:rsid w:val="00E71BA0"/>
    <w:rsid w:val="00E71E9D"/>
    <w:rsid w:val="00E71FFE"/>
    <w:rsid w:val="00E726B4"/>
    <w:rsid w:val="00E72D55"/>
    <w:rsid w:val="00E73314"/>
    <w:rsid w:val="00E7378D"/>
    <w:rsid w:val="00E739C6"/>
    <w:rsid w:val="00E73D0B"/>
    <w:rsid w:val="00E73D9F"/>
    <w:rsid w:val="00E73F58"/>
    <w:rsid w:val="00E742F4"/>
    <w:rsid w:val="00E745F1"/>
    <w:rsid w:val="00E74A84"/>
    <w:rsid w:val="00E74CC7"/>
    <w:rsid w:val="00E75DBE"/>
    <w:rsid w:val="00E77C05"/>
    <w:rsid w:val="00E77C72"/>
    <w:rsid w:val="00E80B93"/>
    <w:rsid w:val="00E80F7A"/>
    <w:rsid w:val="00E81075"/>
    <w:rsid w:val="00E8129B"/>
    <w:rsid w:val="00E813F0"/>
    <w:rsid w:val="00E81A6B"/>
    <w:rsid w:val="00E81AE7"/>
    <w:rsid w:val="00E8237D"/>
    <w:rsid w:val="00E82818"/>
    <w:rsid w:val="00E833A4"/>
    <w:rsid w:val="00E83443"/>
    <w:rsid w:val="00E83756"/>
    <w:rsid w:val="00E84458"/>
    <w:rsid w:val="00E84479"/>
    <w:rsid w:val="00E8466A"/>
    <w:rsid w:val="00E8470A"/>
    <w:rsid w:val="00E848BC"/>
    <w:rsid w:val="00E84ED9"/>
    <w:rsid w:val="00E850AD"/>
    <w:rsid w:val="00E8518D"/>
    <w:rsid w:val="00E85AEE"/>
    <w:rsid w:val="00E85E16"/>
    <w:rsid w:val="00E86066"/>
    <w:rsid w:val="00E8606A"/>
    <w:rsid w:val="00E860F4"/>
    <w:rsid w:val="00E86A66"/>
    <w:rsid w:val="00E86AAA"/>
    <w:rsid w:val="00E874DA"/>
    <w:rsid w:val="00E87BFF"/>
    <w:rsid w:val="00E87E8C"/>
    <w:rsid w:val="00E900BC"/>
    <w:rsid w:val="00E902A1"/>
    <w:rsid w:val="00E9067F"/>
    <w:rsid w:val="00E908F5"/>
    <w:rsid w:val="00E90A4F"/>
    <w:rsid w:val="00E911FC"/>
    <w:rsid w:val="00E91416"/>
    <w:rsid w:val="00E916E2"/>
    <w:rsid w:val="00E91726"/>
    <w:rsid w:val="00E917E9"/>
    <w:rsid w:val="00E91E2E"/>
    <w:rsid w:val="00E92353"/>
    <w:rsid w:val="00E92A82"/>
    <w:rsid w:val="00E93FFD"/>
    <w:rsid w:val="00E945BD"/>
    <w:rsid w:val="00E94655"/>
    <w:rsid w:val="00E94863"/>
    <w:rsid w:val="00E95397"/>
    <w:rsid w:val="00E95B1A"/>
    <w:rsid w:val="00E95E5C"/>
    <w:rsid w:val="00E96053"/>
    <w:rsid w:val="00E960E4"/>
    <w:rsid w:val="00E96A38"/>
    <w:rsid w:val="00E96D33"/>
    <w:rsid w:val="00E96DF1"/>
    <w:rsid w:val="00E97322"/>
    <w:rsid w:val="00E973C5"/>
    <w:rsid w:val="00E97618"/>
    <w:rsid w:val="00EA0486"/>
    <w:rsid w:val="00EA0560"/>
    <w:rsid w:val="00EA0B98"/>
    <w:rsid w:val="00EA1185"/>
    <w:rsid w:val="00EA127C"/>
    <w:rsid w:val="00EA12A1"/>
    <w:rsid w:val="00EA1EAF"/>
    <w:rsid w:val="00EA2348"/>
    <w:rsid w:val="00EA2682"/>
    <w:rsid w:val="00EA291B"/>
    <w:rsid w:val="00EA2960"/>
    <w:rsid w:val="00EA39EB"/>
    <w:rsid w:val="00EA3CA2"/>
    <w:rsid w:val="00EA3E81"/>
    <w:rsid w:val="00EA41AF"/>
    <w:rsid w:val="00EA4EC8"/>
    <w:rsid w:val="00EA5D91"/>
    <w:rsid w:val="00EA666A"/>
    <w:rsid w:val="00EA670F"/>
    <w:rsid w:val="00EA6720"/>
    <w:rsid w:val="00EA7CE5"/>
    <w:rsid w:val="00EB02C1"/>
    <w:rsid w:val="00EB1715"/>
    <w:rsid w:val="00EB1E24"/>
    <w:rsid w:val="00EB22B7"/>
    <w:rsid w:val="00EB25AE"/>
    <w:rsid w:val="00EB2849"/>
    <w:rsid w:val="00EB2D0D"/>
    <w:rsid w:val="00EB2E62"/>
    <w:rsid w:val="00EB2FE3"/>
    <w:rsid w:val="00EB3053"/>
    <w:rsid w:val="00EB33CC"/>
    <w:rsid w:val="00EB39F7"/>
    <w:rsid w:val="00EB3F11"/>
    <w:rsid w:val="00EB4622"/>
    <w:rsid w:val="00EB4792"/>
    <w:rsid w:val="00EB5247"/>
    <w:rsid w:val="00EB54BD"/>
    <w:rsid w:val="00EB59C2"/>
    <w:rsid w:val="00EB5BC2"/>
    <w:rsid w:val="00EB5C90"/>
    <w:rsid w:val="00EB68EA"/>
    <w:rsid w:val="00EB6C1C"/>
    <w:rsid w:val="00EB75BD"/>
    <w:rsid w:val="00EB7812"/>
    <w:rsid w:val="00EB7878"/>
    <w:rsid w:val="00EB792C"/>
    <w:rsid w:val="00EB7BEE"/>
    <w:rsid w:val="00EB7DDD"/>
    <w:rsid w:val="00EC0545"/>
    <w:rsid w:val="00EC06A0"/>
    <w:rsid w:val="00EC09DE"/>
    <w:rsid w:val="00EC0E5D"/>
    <w:rsid w:val="00EC10BC"/>
    <w:rsid w:val="00EC1105"/>
    <w:rsid w:val="00EC1489"/>
    <w:rsid w:val="00EC1584"/>
    <w:rsid w:val="00EC178A"/>
    <w:rsid w:val="00EC18A0"/>
    <w:rsid w:val="00EC1A9D"/>
    <w:rsid w:val="00EC1AAA"/>
    <w:rsid w:val="00EC28D3"/>
    <w:rsid w:val="00EC330E"/>
    <w:rsid w:val="00EC3573"/>
    <w:rsid w:val="00EC36B7"/>
    <w:rsid w:val="00EC3BDD"/>
    <w:rsid w:val="00EC3C78"/>
    <w:rsid w:val="00EC4612"/>
    <w:rsid w:val="00EC4EE7"/>
    <w:rsid w:val="00EC51D6"/>
    <w:rsid w:val="00EC5A4C"/>
    <w:rsid w:val="00EC5B87"/>
    <w:rsid w:val="00EC5DBC"/>
    <w:rsid w:val="00EC6773"/>
    <w:rsid w:val="00EC6BAD"/>
    <w:rsid w:val="00EC6C06"/>
    <w:rsid w:val="00EC7595"/>
    <w:rsid w:val="00EC7C8C"/>
    <w:rsid w:val="00EC7ECB"/>
    <w:rsid w:val="00EC7F6E"/>
    <w:rsid w:val="00ED00B5"/>
    <w:rsid w:val="00ED043C"/>
    <w:rsid w:val="00ED0A42"/>
    <w:rsid w:val="00ED0AD3"/>
    <w:rsid w:val="00ED0D9D"/>
    <w:rsid w:val="00ED1227"/>
    <w:rsid w:val="00ED1476"/>
    <w:rsid w:val="00ED1AAF"/>
    <w:rsid w:val="00ED278E"/>
    <w:rsid w:val="00ED35DB"/>
    <w:rsid w:val="00ED38A5"/>
    <w:rsid w:val="00ED3C0D"/>
    <w:rsid w:val="00ED3C24"/>
    <w:rsid w:val="00ED41C1"/>
    <w:rsid w:val="00ED42DA"/>
    <w:rsid w:val="00ED48DA"/>
    <w:rsid w:val="00ED4C6D"/>
    <w:rsid w:val="00ED4D51"/>
    <w:rsid w:val="00ED4E94"/>
    <w:rsid w:val="00ED55AC"/>
    <w:rsid w:val="00ED5CFA"/>
    <w:rsid w:val="00ED6A74"/>
    <w:rsid w:val="00ED6BD7"/>
    <w:rsid w:val="00ED7188"/>
    <w:rsid w:val="00ED71B5"/>
    <w:rsid w:val="00ED72F4"/>
    <w:rsid w:val="00ED732C"/>
    <w:rsid w:val="00ED76FD"/>
    <w:rsid w:val="00ED7B9D"/>
    <w:rsid w:val="00ED7D9C"/>
    <w:rsid w:val="00EE05A9"/>
    <w:rsid w:val="00EE0B49"/>
    <w:rsid w:val="00EE0C2C"/>
    <w:rsid w:val="00EE0CB7"/>
    <w:rsid w:val="00EE0E16"/>
    <w:rsid w:val="00EE1A70"/>
    <w:rsid w:val="00EE1E73"/>
    <w:rsid w:val="00EE2991"/>
    <w:rsid w:val="00EE353C"/>
    <w:rsid w:val="00EE35AB"/>
    <w:rsid w:val="00EE3A87"/>
    <w:rsid w:val="00EE3ECF"/>
    <w:rsid w:val="00EE4D41"/>
    <w:rsid w:val="00EE50AA"/>
    <w:rsid w:val="00EE5884"/>
    <w:rsid w:val="00EE58B4"/>
    <w:rsid w:val="00EE62E0"/>
    <w:rsid w:val="00EE6CBC"/>
    <w:rsid w:val="00EE6D2C"/>
    <w:rsid w:val="00EE701A"/>
    <w:rsid w:val="00EE7107"/>
    <w:rsid w:val="00EE7C4C"/>
    <w:rsid w:val="00EE7E5D"/>
    <w:rsid w:val="00EF08BE"/>
    <w:rsid w:val="00EF09DE"/>
    <w:rsid w:val="00EF09E9"/>
    <w:rsid w:val="00EF0D53"/>
    <w:rsid w:val="00EF0E45"/>
    <w:rsid w:val="00EF1340"/>
    <w:rsid w:val="00EF14A8"/>
    <w:rsid w:val="00EF16B8"/>
    <w:rsid w:val="00EF2A18"/>
    <w:rsid w:val="00EF3339"/>
    <w:rsid w:val="00EF3B00"/>
    <w:rsid w:val="00EF3BE9"/>
    <w:rsid w:val="00EF3DAC"/>
    <w:rsid w:val="00EF495B"/>
    <w:rsid w:val="00EF4BA8"/>
    <w:rsid w:val="00EF5506"/>
    <w:rsid w:val="00EF56EE"/>
    <w:rsid w:val="00EF5BF7"/>
    <w:rsid w:val="00EF5C34"/>
    <w:rsid w:val="00EF651A"/>
    <w:rsid w:val="00EF6D82"/>
    <w:rsid w:val="00EF7011"/>
    <w:rsid w:val="00EF7EFE"/>
    <w:rsid w:val="00F001DA"/>
    <w:rsid w:val="00F006C6"/>
    <w:rsid w:val="00F007A3"/>
    <w:rsid w:val="00F0085E"/>
    <w:rsid w:val="00F01931"/>
    <w:rsid w:val="00F0194D"/>
    <w:rsid w:val="00F01D73"/>
    <w:rsid w:val="00F0209B"/>
    <w:rsid w:val="00F02DBA"/>
    <w:rsid w:val="00F0320C"/>
    <w:rsid w:val="00F040FF"/>
    <w:rsid w:val="00F048CF"/>
    <w:rsid w:val="00F0535A"/>
    <w:rsid w:val="00F057CC"/>
    <w:rsid w:val="00F05B17"/>
    <w:rsid w:val="00F060A1"/>
    <w:rsid w:val="00F06550"/>
    <w:rsid w:val="00F06985"/>
    <w:rsid w:val="00F06A97"/>
    <w:rsid w:val="00F06DFE"/>
    <w:rsid w:val="00F06FEB"/>
    <w:rsid w:val="00F07C80"/>
    <w:rsid w:val="00F07F97"/>
    <w:rsid w:val="00F10D3C"/>
    <w:rsid w:val="00F114C2"/>
    <w:rsid w:val="00F1156D"/>
    <w:rsid w:val="00F1162B"/>
    <w:rsid w:val="00F11D77"/>
    <w:rsid w:val="00F1208D"/>
    <w:rsid w:val="00F1212B"/>
    <w:rsid w:val="00F12591"/>
    <w:rsid w:val="00F128F1"/>
    <w:rsid w:val="00F12B07"/>
    <w:rsid w:val="00F12E42"/>
    <w:rsid w:val="00F13120"/>
    <w:rsid w:val="00F133C9"/>
    <w:rsid w:val="00F138AF"/>
    <w:rsid w:val="00F13915"/>
    <w:rsid w:val="00F1475C"/>
    <w:rsid w:val="00F14812"/>
    <w:rsid w:val="00F14C9A"/>
    <w:rsid w:val="00F14DC1"/>
    <w:rsid w:val="00F15359"/>
    <w:rsid w:val="00F154E1"/>
    <w:rsid w:val="00F155E6"/>
    <w:rsid w:val="00F162F9"/>
    <w:rsid w:val="00F1722F"/>
    <w:rsid w:val="00F175EE"/>
    <w:rsid w:val="00F20771"/>
    <w:rsid w:val="00F20C6D"/>
    <w:rsid w:val="00F20EB8"/>
    <w:rsid w:val="00F210BC"/>
    <w:rsid w:val="00F22B6F"/>
    <w:rsid w:val="00F22BEA"/>
    <w:rsid w:val="00F22C6B"/>
    <w:rsid w:val="00F22D27"/>
    <w:rsid w:val="00F231E3"/>
    <w:rsid w:val="00F233F9"/>
    <w:rsid w:val="00F23CD8"/>
    <w:rsid w:val="00F23D21"/>
    <w:rsid w:val="00F23F5B"/>
    <w:rsid w:val="00F2429A"/>
    <w:rsid w:val="00F24E1D"/>
    <w:rsid w:val="00F253A0"/>
    <w:rsid w:val="00F258B6"/>
    <w:rsid w:val="00F25C63"/>
    <w:rsid w:val="00F25C81"/>
    <w:rsid w:val="00F2652F"/>
    <w:rsid w:val="00F266E2"/>
    <w:rsid w:val="00F26717"/>
    <w:rsid w:val="00F26769"/>
    <w:rsid w:val="00F26C87"/>
    <w:rsid w:val="00F26EEC"/>
    <w:rsid w:val="00F275CE"/>
    <w:rsid w:val="00F27809"/>
    <w:rsid w:val="00F27E40"/>
    <w:rsid w:val="00F27F5C"/>
    <w:rsid w:val="00F30101"/>
    <w:rsid w:val="00F301CF"/>
    <w:rsid w:val="00F30547"/>
    <w:rsid w:val="00F3067E"/>
    <w:rsid w:val="00F30CD9"/>
    <w:rsid w:val="00F31407"/>
    <w:rsid w:val="00F31B89"/>
    <w:rsid w:val="00F323AB"/>
    <w:rsid w:val="00F3275E"/>
    <w:rsid w:val="00F32B30"/>
    <w:rsid w:val="00F33A82"/>
    <w:rsid w:val="00F3405E"/>
    <w:rsid w:val="00F345E3"/>
    <w:rsid w:val="00F346EC"/>
    <w:rsid w:val="00F34EB4"/>
    <w:rsid w:val="00F35288"/>
    <w:rsid w:val="00F355CB"/>
    <w:rsid w:val="00F35EC1"/>
    <w:rsid w:val="00F371F8"/>
    <w:rsid w:val="00F37413"/>
    <w:rsid w:val="00F3795D"/>
    <w:rsid w:val="00F379D8"/>
    <w:rsid w:val="00F37B7E"/>
    <w:rsid w:val="00F37D2D"/>
    <w:rsid w:val="00F37D2F"/>
    <w:rsid w:val="00F37D51"/>
    <w:rsid w:val="00F37EB0"/>
    <w:rsid w:val="00F40340"/>
    <w:rsid w:val="00F4131E"/>
    <w:rsid w:val="00F4139A"/>
    <w:rsid w:val="00F415AA"/>
    <w:rsid w:val="00F416E4"/>
    <w:rsid w:val="00F419FC"/>
    <w:rsid w:val="00F41E24"/>
    <w:rsid w:val="00F42727"/>
    <w:rsid w:val="00F4274A"/>
    <w:rsid w:val="00F42916"/>
    <w:rsid w:val="00F4294A"/>
    <w:rsid w:val="00F42D1C"/>
    <w:rsid w:val="00F42D78"/>
    <w:rsid w:val="00F432A0"/>
    <w:rsid w:val="00F4367A"/>
    <w:rsid w:val="00F43DBB"/>
    <w:rsid w:val="00F44154"/>
    <w:rsid w:val="00F44B2F"/>
    <w:rsid w:val="00F44C5D"/>
    <w:rsid w:val="00F46297"/>
    <w:rsid w:val="00F467D6"/>
    <w:rsid w:val="00F46B38"/>
    <w:rsid w:val="00F477ED"/>
    <w:rsid w:val="00F47D62"/>
    <w:rsid w:val="00F503A0"/>
    <w:rsid w:val="00F50CCE"/>
    <w:rsid w:val="00F51234"/>
    <w:rsid w:val="00F5174D"/>
    <w:rsid w:val="00F51E81"/>
    <w:rsid w:val="00F51F9B"/>
    <w:rsid w:val="00F5266B"/>
    <w:rsid w:val="00F52ACB"/>
    <w:rsid w:val="00F53180"/>
    <w:rsid w:val="00F5327B"/>
    <w:rsid w:val="00F5494F"/>
    <w:rsid w:val="00F5495E"/>
    <w:rsid w:val="00F55101"/>
    <w:rsid w:val="00F55940"/>
    <w:rsid w:val="00F55BFC"/>
    <w:rsid w:val="00F57877"/>
    <w:rsid w:val="00F57988"/>
    <w:rsid w:val="00F57BD7"/>
    <w:rsid w:val="00F57E21"/>
    <w:rsid w:val="00F57E70"/>
    <w:rsid w:val="00F618A2"/>
    <w:rsid w:val="00F6200A"/>
    <w:rsid w:val="00F6228C"/>
    <w:rsid w:val="00F62478"/>
    <w:rsid w:val="00F62603"/>
    <w:rsid w:val="00F62640"/>
    <w:rsid w:val="00F63A2B"/>
    <w:rsid w:val="00F646C8"/>
    <w:rsid w:val="00F64C44"/>
    <w:rsid w:val="00F650AA"/>
    <w:rsid w:val="00F65389"/>
    <w:rsid w:val="00F65E06"/>
    <w:rsid w:val="00F6601A"/>
    <w:rsid w:val="00F6612D"/>
    <w:rsid w:val="00F66449"/>
    <w:rsid w:val="00F6661B"/>
    <w:rsid w:val="00F667AF"/>
    <w:rsid w:val="00F67C60"/>
    <w:rsid w:val="00F67DF7"/>
    <w:rsid w:val="00F7032E"/>
    <w:rsid w:val="00F706C8"/>
    <w:rsid w:val="00F70A2E"/>
    <w:rsid w:val="00F70B4F"/>
    <w:rsid w:val="00F716F4"/>
    <w:rsid w:val="00F71E07"/>
    <w:rsid w:val="00F72E4A"/>
    <w:rsid w:val="00F73307"/>
    <w:rsid w:val="00F7397F"/>
    <w:rsid w:val="00F74939"/>
    <w:rsid w:val="00F74F1A"/>
    <w:rsid w:val="00F759DE"/>
    <w:rsid w:val="00F75E28"/>
    <w:rsid w:val="00F76170"/>
    <w:rsid w:val="00F76519"/>
    <w:rsid w:val="00F76614"/>
    <w:rsid w:val="00F76FD9"/>
    <w:rsid w:val="00F7747D"/>
    <w:rsid w:val="00F7770A"/>
    <w:rsid w:val="00F779BB"/>
    <w:rsid w:val="00F77B99"/>
    <w:rsid w:val="00F77EA0"/>
    <w:rsid w:val="00F80C8B"/>
    <w:rsid w:val="00F81B5A"/>
    <w:rsid w:val="00F81CE6"/>
    <w:rsid w:val="00F82261"/>
    <w:rsid w:val="00F82E36"/>
    <w:rsid w:val="00F83B8A"/>
    <w:rsid w:val="00F84257"/>
    <w:rsid w:val="00F8427A"/>
    <w:rsid w:val="00F84713"/>
    <w:rsid w:val="00F84B95"/>
    <w:rsid w:val="00F84D72"/>
    <w:rsid w:val="00F8506D"/>
    <w:rsid w:val="00F85251"/>
    <w:rsid w:val="00F85EA8"/>
    <w:rsid w:val="00F8648B"/>
    <w:rsid w:val="00F864E5"/>
    <w:rsid w:val="00F866F1"/>
    <w:rsid w:val="00F86EDC"/>
    <w:rsid w:val="00F9005D"/>
    <w:rsid w:val="00F90806"/>
    <w:rsid w:val="00F90989"/>
    <w:rsid w:val="00F90A7E"/>
    <w:rsid w:val="00F90AA1"/>
    <w:rsid w:val="00F90F4A"/>
    <w:rsid w:val="00F91371"/>
    <w:rsid w:val="00F9156C"/>
    <w:rsid w:val="00F917FF"/>
    <w:rsid w:val="00F918A7"/>
    <w:rsid w:val="00F91931"/>
    <w:rsid w:val="00F91A27"/>
    <w:rsid w:val="00F9208A"/>
    <w:rsid w:val="00F92106"/>
    <w:rsid w:val="00F925F3"/>
    <w:rsid w:val="00F92CAE"/>
    <w:rsid w:val="00F932B9"/>
    <w:rsid w:val="00F934AC"/>
    <w:rsid w:val="00F9362E"/>
    <w:rsid w:val="00F940D5"/>
    <w:rsid w:val="00F9436E"/>
    <w:rsid w:val="00F94E26"/>
    <w:rsid w:val="00F959AF"/>
    <w:rsid w:val="00F95AAA"/>
    <w:rsid w:val="00F9600B"/>
    <w:rsid w:val="00F9606F"/>
    <w:rsid w:val="00F960C9"/>
    <w:rsid w:val="00F963B4"/>
    <w:rsid w:val="00F9660A"/>
    <w:rsid w:val="00F96EC0"/>
    <w:rsid w:val="00F97A31"/>
    <w:rsid w:val="00FA02FE"/>
    <w:rsid w:val="00FA0463"/>
    <w:rsid w:val="00FA07B8"/>
    <w:rsid w:val="00FA0E66"/>
    <w:rsid w:val="00FA0F57"/>
    <w:rsid w:val="00FA1194"/>
    <w:rsid w:val="00FA11F0"/>
    <w:rsid w:val="00FA13DC"/>
    <w:rsid w:val="00FA1D7D"/>
    <w:rsid w:val="00FA23C4"/>
    <w:rsid w:val="00FA2BCC"/>
    <w:rsid w:val="00FA2F12"/>
    <w:rsid w:val="00FA3715"/>
    <w:rsid w:val="00FA378C"/>
    <w:rsid w:val="00FA3B83"/>
    <w:rsid w:val="00FA45F4"/>
    <w:rsid w:val="00FA4A53"/>
    <w:rsid w:val="00FA4BCA"/>
    <w:rsid w:val="00FA4F26"/>
    <w:rsid w:val="00FA4FDC"/>
    <w:rsid w:val="00FA555E"/>
    <w:rsid w:val="00FA6056"/>
    <w:rsid w:val="00FA6158"/>
    <w:rsid w:val="00FA62A9"/>
    <w:rsid w:val="00FA649D"/>
    <w:rsid w:val="00FA66B6"/>
    <w:rsid w:val="00FA6BA3"/>
    <w:rsid w:val="00FA70E9"/>
    <w:rsid w:val="00FA71C2"/>
    <w:rsid w:val="00FA7E52"/>
    <w:rsid w:val="00FB0102"/>
    <w:rsid w:val="00FB01AD"/>
    <w:rsid w:val="00FB03EB"/>
    <w:rsid w:val="00FB06BD"/>
    <w:rsid w:val="00FB1196"/>
    <w:rsid w:val="00FB136B"/>
    <w:rsid w:val="00FB29C8"/>
    <w:rsid w:val="00FB33AA"/>
    <w:rsid w:val="00FB3CA3"/>
    <w:rsid w:val="00FB419D"/>
    <w:rsid w:val="00FB47B4"/>
    <w:rsid w:val="00FB4B61"/>
    <w:rsid w:val="00FB5485"/>
    <w:rsid w:val="00FB5C8C"/>
    <w:rsid w:val="00FB5F3E"/>
    <w:rsid w:val="00FB65DD"/>
    <w:rsid w:val="00FB68E9"/>
    <w:rsid w:val="00FB714C"/>
    <w:rsid w:val="00FB741F"/>
    <w:rsid w:val="00FB76A6"/>
    <w:rsid w:val="00FB7DF1"/>
    <w:rsid w:val="00FC002D"/>
    <w:rsid w:val="00FC0477"/>
    <w:rsid w:val="00FC0827"/>
    <w:rsid w:val="00FC0A7A"/>
    <w:rsid w:val="00FC0D3A"/>
    <w:rsid w:val="00FC121A"/>
    <w:rsid w:val="00FC13AC"/>
    <w:rsid w:val="00FC161B"/>
    <w:rsid w:val="00FC16C1"/>
    <w:rsid w:val="00FC1DD1"/>
    <w:rsid w:val="00FC20EF"/>
    <w:rsid w:val="00FC290D"/>
    <w:rsid w:val="00FC2EE4"/>
    <w:rsid w:val="00FC3BB3"/>
    <w:rsid w:val="00FC3D22"/>
    <w:rsid w:val="00FC46EA"/>
    <w:rsid w:val="00FC4F65"/>
    <w:rsid w:val="00FC51D9"/>
    <w:rsid w:val="00FC550B"/>
    <w:rsid w:val="00FC5995"/>
    <w:rsid w:val="00FC5E50"/>
    <w:rsid w:val="00FC72EE"/>
    <w:rsid w:val="00FC777E"/>
    <w:rsid w:val="00FC7849"/>
    <w:rsid w:val="00FD0296"/>
    <w:rsid w:val="00FD0ACC"/>
    <w:rsid w:val="00FD0BB2"/>
    <w:rsid w:val="00FD10BC"/>
    <w:rsid w:val="00FD17C0"/>
    <w:rsid w:val="00FD196B"/>
    <w:rsid w:val="00FD19D4"/>
    <w:rsid w:val="00FD1A54"/>
    <w:rsid w:val="00FD24C0"/>
    <w:rsid w:val="00FD33AA"/>
    <w:rsid w:val="00FD3A75"/>
    <w:rsid w:val="00FD3CB0"/>
    <w:rsid w:val="00FD4BE3"/>
    <w:rsid w:val="00FD4E24"/>
    <w:rsid w:val="00FD4FDB"/>
    <w:rsid w:val="00FD63F7"/>
    <w:rsid w:val="00FD6BBC"/>
    <w:rsid w:val="00FD6F5C"/>
    <w:rsid w:val="00FD72ED"/>
    <w:rsid w:val="00FD7460"/>
    <w:rsid w:val="00FD7661"/>
    <w:rsid w:val="00FD77A1"/>
    <w:rsid w:val="00FE02D9"/>
    <w:rsid w:val="00FE03D8"/>
    <w:rsid w:val="00FE0DE0"/>
    <w:rsid w:val="00FE1B35"/>
    <w:rsid w:val="00FE1C7A"/>
    <w:rsid w:val="00FE20AA"/>
    <w:rsid w:val="00FE2267"/>
    <w:rsid w:val="00FE2652"/>
    <w:rsid w:val="00FE26E5"/>
    <w:rsid w:val="00FE2744"/>
    <w:rsid w:val="00FE3391"/>
    <w:rsid w:val="00FE383C"/>
    <w:rsid w:val="00FE39C8"/>
    <w:rsid w:val="00FE3A18"/>
    <w:rsid w:val="00FE3FED"/>
    <w:rsid w:val="00FE471E"/>
    <w:rsid w:val="00FE49DA"/>
    <w:rsid w:val="00FE4D9B"/>
    <w:rsid w:val="00FE4EF1"/>
    <w:rsid w:val="00FE5048"/>
    <w:rsid w:val="00FE6344"/>
    <w:rsid w:val="00FE66CF"/>
    <w:rsid w:val="00FE69BF"/>
    <w:rsid w:val="00FE7E91"/>
    <w:rsid w:val="00FF040A"/>
    <w:rsid w:val="00FF097B"/>
    <w:rsid w:val="00FF0B6A"/>
    <w:rsid w:val="00FF1430"/>
    <w:rsid w:val="00FF1A1F"/>
    <w:rsid w:val="00FF27E2"/>
    <w:rsid w:val="00FF285D"/>
    <w:rsid w:val="00FF296D"/>
    <w:rsid w:val="00FF2C23"/>
    <w:rsid w:val="00FF2C6E"/>
    <w:rsid w:val="00FF3B09"/>
    <w:rsid w:val="00FF496D"/>
    <w:rsid w:val="00FF5218"/>
    <w:rsid w:val="00FF574A"/>
    <w:rsid w:val="00FF57AD"/>
    <w:rsid w:val="00FF5DBC"/>
    <w:rsid w:val="00FF6811"/>
    <w:rsid w:val="00FF6CBD"/>
    <w:rsid w:val="00FF71FF"/>
    <w:rsid w:val="00FF745D"/>
    <w:rsid w:val="0109089D"/>
    <w:rsid w:val="02043111"/>
    <w:rsid w:val="02220F3B"/>
    <w:rsid w:val="04371B8C"/>
    <w:rsid w:val="059A1135"/>
    <w:rsid w:val="05CF6ABC"/>
    <w:rsid w:val="06D365C6"/>
    <w:rsid w:val="07786A7D"/>
    <w:rsid w:val="07F74041"/>
    <w:rsid w:val="080B04A2"/>
    <w:rsid w:val="092327A5"/>
    <w:rsid w:val="094B4E30"/>
    <w:rsid w:val="09C503ED"/>
    <w:rsid w:val="09F6176F"/>
    <w:rsid w:val="0A0D2727"/>
    <w:rsid w:val="0A0E6852"/>
    <w:rsid w:val="0A261180"/>
    <w:rsid w:val="0BE751D0"/>
    <w:rsid w:val="0BE919DD"/>
    <w:rsid w:val="0C3D4967"/>
    <w:rsid w:val="0D74600D"/>
    <w:rsid w:val="0D8A35B9"/>
    <w:rsid w:val="0D8B4519"/>
    <w:rsid w:val="0E2C792C"/>
    <w:rsid w:val="0E3866AF"/>
    <w:rsid w:val="0E595227"/>
    <w:rsid w:val="0ED70451"/>
    <w:rsid w:val="0F7F650F"/>
    <w:rsid w:val="11342721"/>
    <w:rsid w:val="118C758E"/>
    <w:rsid w:val="11FC18EF"/>
    <w:rsid w:val="120306C6"/>
    <w:rsid w:val="12474073"/>
    <w:rsid w:val="12C96D65"/>
    <w:rsid w:val="13363F99"/>
    <w:rsid w:val="13AC143B"/>
    <w:rsid w:val="140B37E8"/>
    <w:rsid w:val="14985C84"/>
    <w:rsid w:val="14C00F10"/>
    <w:rsid w:val="150943E2"/>
    <w:rsid w:val="15851D1F"/>
    <w:rsid w:val="15AF53D6"/>
    <w:rsid w:val="1689543E"/>
    <w:rsid w:val="16A9292F"/>
    <w:rsid w:val="171945F1"/>
    <w:rsid w:val="17EC654D"/>
    <w:rsid w:val="191004A3"/>
    <w:rsid w:val="19CF6590"/>
    <w:rsid w:val="19E575BC"/>
    <w:rsid w:val="1A6A32D6"/>
    <w:rsid w:val="1A7D5A4B"/>
    <w:rsid w:val="1B51485E"/>
    <w:rsid w:val="1C4E04C9"/>
    <w:rsid w:val="1C9C1934"/>
    <w:rsid w:val="1E5B409C"/>
    <w:rsid w:val="1E8E0086"/>
    <w:rsid w:val="1ECC7AFC"/>
    <w:rsid w:val="1F013624"/>
    <w:rsid w:val="1F4C30E4"/>
    <w:rsid w:val="203A3A6D"/>
    <w:rsid w:val="204C5AEF"/>
    <w:rsid w:val="206B0F7D"/>
    <w:rsid w:val="20807E00"/>
    <w:rsid w:val="222D60A6"/>
    <w:rsid w:val="226F4BA6"/>
    <w:rsid w:val="232E1998"/>
    <w:rsid w:val="23E5059E"/>
    <w:rsid w:val="24220604"/>
    <w:rsid w:val="248C6B3E"/>
    <w:rsid w:val="24EE3205"/>
    <w:rsid w:val="250B62A6"/>
    <w:rsid w:val="25591174"/>
    <w:rsid w:val="259C1062"/>
    <w:rsid w:val="25C9139A"/>
    <w:rsid w:val="25DD7F05"/>
    <w:rsid w:val="26076F45"/>
    <w:rsid w:val="265261C6"/>
    <w:rsid w:val="267072D5"/>
    <w:rsid w:val="26F42C7D"/>
    <w:rsid w:val="275E62EB"/>
    <w:rsid w:val="27B818BE"/>
    <w:rsid w:val="27BF77E7"/>
    <w:rsid w:val="27FD71DB"/>
    <w:rsid w:val="28122CD1"/>
    <w:rsid w:val="28557BC2"/>
    <w:rsid w:val="287C0CB3"/>
    <w:rsid w:val="288551A1"/>
    <w:rsid w:val="28C809C2"/>
    <w:rsid w:val="29975F4F"/>
    <w:rsid w:val="29C421AE"/>
    <w:rsid w:val="2A835D4B"/>
    <w:rsid w:val="2B625DFE"/>
    <w:rsid w:val="2BD71972"/>
    <w:rsid w:val="2C5A5BE0"/>
    <w:rsid w:val="2CC501C8"/>
    <w:rsid w:val="2CF47C24"/>
    <w:rsid w:val="2D5A3896"/>
    <w:rsid w:val="2D837D18"/>
    <w:rsid w:val="2DA42115"/>
    <w:rsid w:val="2DE076D3"/>
    <w:rsid w:val="2DF126DA"/>
    <w:rsid w:val="2EC04676"/>
    <w:rsid w:val="2F21777E"/>
    <w:rsid w:val="2F856E99"/>
    <w:rsid w:val="2FDD0A99"/>
    <w:rsid w:val="30CE6E65"/>
    <w:rsid w:val="311302ED"/>
    <w:rsid w:val="3169107F"/>
    <w:rsid w:val="31B55BF9"/>
    <w:rsid w:val="32770935"/>
    <w:rsid w:val="328536C0"/>
    <w:rsid w:val="32E35FBA"/>
    <w:rsid w:val="335F656E"/>
    <w:rsid w:val="346A46D4"/>
    <w:rsid w:val="34F66FB1"/>
    <w:rsid w:val="36693D8A"/>
    <w:rsid w:val="37242C33"/>
    <w:rsid w:val="37356FFF"/>
    <w:rsid w:val="380C11A2"/>
    <w:rsid w:val="380D18CB"/>
    <w:rsid w:val="3815344C"/>
    <w:rsid w:val="3864024E"/>
    <w:rsid w:val="387D61C1"/>
    <w:rsid w:val="387E4FC8"/>
    <w:rsid w:val="38C23010"/>
    <w:rsid w:val="38DF1F56"/>
    <w:rsid w:val="38EF1DC1"/>
    <w:rsid w:val="39112367"/>
    <w:rsid w:val="396C2B91"/>
    <w:rsid w:val="398113DA"/>
    <w:rsid w:val="3AC6609A"/>
    <w:rsid w:val="3BE2228B"/>
    <w:rsid w:val="3D7760A2"/>
    <w:rsid w:val="3D7F5E51"/>
    <w:rsid w:val="3D9A44A2"/>
    <w:rsid w:val="3E0319CB"/>
    <w:rsid w:val="3E966621"/>
    <w:rsid w:val="3F20674B"/>
    <w:rsid w:val="3F5F7868"/>
    <w:rsid w:val="408A721D"/>
    <w:rsid w:val="40EC5E9D"/>
    <w:rsid w:val="41056BC3"/>
    <w:rsid w:val="414726C5"/>
    <w:rsid w:val="422D3D48"/>
    <w:rsid w:val="4392473B"/>
    <w:rsid w:val="449561D5"/>
    <w:rsid w:val="44AA0500"/>
    <w:rsid w:val="44C95064"/>
    <w:rsid w:val="44FA07CD"/>
    <w:rsid w:val="45342234"/>
    <w:rsid w:val="45463402"/>
    <w:rsid w:val="454E73BF"/>
    <w:rsid w:val="476A0338"/>
    <w:rsid w:val="476D49F1"/>
    <w:rsid w:val="47C13CDC"/>
    <w:rsid w:val="48F20C5B"/>
    <w:rsid w:val="49816AD6"/>
    <w:rsid w:val="499D79F2"/>
    <w:rsid w:val="49AA2457"/>
    <w:rsid w:val="49D54557"/>
    <w:rsid w:val="4A664B65"/>
    <w:rsid w:val="4A70385F"/>
    <w:rsid w:val="4A880AE7"/>
    <w:rsid w:val="4ACB6427"/>
    <w:rsid w:val="4ACF1B4F"/>
    <w:rsid w:val="4AE53290"/>
    <w:rsid w:val="4B087C22"/>
    <w:rsid w:val="4BAF7806"/>
    <w:rsid w:val="4C75435D"/>
    <w:rsid w:val="4E341AD5"/>
    <w:rsid w:val="4E7A0A45"/>
    <w:rsid w:val="4EF437E6"/>
    <w:rsid w:val="4FF21C92"/>
    <w:rsid w:val="502A62C6"/>
    <w:rsid w:val="50DC443D"/>
    <w:rsid w:val="512F2D3D"/>
    <w:rsid w:val="51AB1814"/>
    <w:rsid w:val="51E26E80"/>
    <w:rsid w:val="521A20A5"/>
    <w:rsid w:val="531B1FAB"/>
    <w:rsid w:val="5351163E"/>
    <w:rsid w:val="53C9437F"/>
    <w:rsid w:val="53EE0119"/>
    <w:rsid w:val="53FD699A"/>
    <w:rsid w:val="551D6732"/>
    <w:rsid w:val="5694112D"/>
    <w:rsid w:val="57471680"/>
    <w:rsid w:val="57493EF2"/>
    <w:rsid w:val="579A4402"/>
    <w:rsid w:val="583C20F3"/>
    <w:rsid w:val="58A505B1"/>
    <w:rsid w:val="5AE52C6B"/>
    <w:rsid w:val="5B6A61D5"/>
    <w:rsid w:val="5B976FF9"/>
    <w:rsid w:val="5C331233"/>
    <w:rsid w:val="5CA81784"/>
    <w:rsid w:val="5DCD7B8B"/>
    <w:rsid w:val="5EAC5F24"/>
    <w:rsid w:val="5F4D0380"/>
    <w:rsid w:val="5F665DE5"/>
    <w:rsid w:val="5F9F3455"/>
    <w:rsid w:val="60986BD8"/>
    <w:rsid w:val="609D298D"/>
    <w:rsid w:val="61451D8E"/>
    <w:rsid w:val="615909B9"/>
    <w:rsid w:val="61E7491D"/>
    <w:rsid w:val="61F16D9D"/>
    <w:rsid w:val="625D049D"/>
    <w:rsid w:val="628A0FC9"/>
    <w:rsid w:val="62DD508A"/>
    <w:rsid w:val="63145A4F"/>
    <w:rsid w:val="63E36C90"/>
    <w:rsid w:val="63FA625C"/>
    <w:rsid w:val="64871188"/>
    <w:rsid w:val="64B60F5A"/>
    <w:rsid w:val="650238B5"/>
    <w:rsid w:val="65A21532"/>
    <w:rsid w:val="66414EE5"/>
    <w:rsid w:val="67BE79B9"/>
    <w:rsid w:val="688E55F1"/>
    <w:rsid w:val="696A0EF3"/>
    <w:rsid w:val="69857CA1"/>
    <w:rsid w:val="6ACE3D1B"/>
    <w:rsid w:val="6BF97D0C"/>
    <w:rsid w:val="6CB008D8"/>
    <w:rsid w:val="6CD71C00"/>
    <w:rsid w:val="6D5109E9"/>
    <w:rsid w:val="6E45689C"/>
    <w:rsid w:val="6EA9281E"/>
    <w:rsid w:val="6EDD46AE"/>
    <w:rsid w:val="6F530378"/>
    <w:rsid w:val="6FD40D63"/>
    <w:rsid w:val="70033FBA"/>
    <w:rsid w:val="708134B0"/>
    <w:rsid w:val="70853BB7"/>
    <w:rsid w:val="709829FD"/>
    <w:rsid w:val="70C13D2D"/>
    <w:rsid w:val="70EE78D9"/>
    <w:rsid w:val="71624D42"/>
    <w:rsid w:val="71FB3AAE"/>
    <w:rsid w:val="723B7E8F"/>
    <w:rsid w:val="726175C4"/>
    <w:rsid w:val="73710C23"/>
    <w:rsid w:val="753F6955"/>
    <w:rsid w:val="755F4B32"/>
    <w:rsid w:val="75FC3666"/>
    <w:rsid w:val="75FD5F62"/>
    <w:rsid w:val="76BE3055"/>
    <w:rsid w:val="786169AA"/>
    <w:rsid w:val="7877534E"/>
    <w:rsid w:val="787F5DD8"/>
    <w:rsid w:val="79477170"/>
    <w:rsid w:val="79991871"/>
    <w:rsid w:val="79A56ADE"/>
    <w:rsid w:val="79F83C70"/>
    <w:rsid w:val="7A1263AB"/>
    <w:rsid w:val="7A2C2BCE"/>
    <w:rsid w:val="7AE07509"/>
    <w:rsid w:val="7AF15637"/>
    <w:rsid w:val="7B1333C4"/>
    <w:rsid w:val="7B8432B9"/>
    <w:rsid w:val="7B8701C0"/>
    <w:rsid w:val="7C0573AD"/>
    <w:rsid w:val="7C671510"/>
    <w:rsid w:val="7C7E758A"/>
    <w:rsid w:val="7CC806EB"/>
    <w:rsid w:val="7D112530"/>
    <w:rsid w:val="7D3C4728"/>
    <w:rsid w:val="7DDA7833"/>
    <w:rsid w:val="7E3050B4"/>
    <w:rsid w:val="7E4E2FD9"/>
    <w:rsid w:val="7FDD075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200" w:firstLineChars="200"/>
      <w:jc w:val="both"/>
    </w:pPr>
    <w:rPr>
      <w:rFonts w:ascii="Times New Roman" w:hAnsi="Times New Roman" w:eastAsia="仿宋_GB2312" w:cs="Times New Roman"/>
      <w:color w:val="000000"/>
      <w:kern w:val="2"/>
      <w:sz w:val="32"/>
      <w:szCs w:val="32"/>
      <w:lang w:val="en-US" w:eastAsia="zh-CN" w:bidi="ar-SA"/>
    </w:rPr>
  </w:style>
  <w:style w:type="paragraph" w:styleId="2">
    <w:name w:val="heading 1"/>
    <w:basedOn w:val="1"/>
    <w:next w:val="1"/>
    <w:link w:val="35"/>
    <w:qFormat/>
    <w:uiPriority w:val="9"/>
    <w:pPr>
      <w:spacing w:after="217" w:afterLines="50"/>
      <w:ind w:firstLine="0" w:firstLineChars="0"/>
      <w:jc w:val="center"/>
      <w:outlineLvl w:val="0"/>
    </w:pPr>
    <w:rPr>
      <w:rFonts w:eastAsia="黑体" w:cs="黑体"/>
      <w:lang w:val="zh-CN"/>
    </w:rPr>
  </w:style>
  <w:style w:type="paragraph" w:styleId="3">
    <w:name w:val="heading 2"/>
    <w:basedOn w:val="1"/>
    <w:next w:val="1"/>
    <w:link w:val="36"/>
    <w:qFormat/>
    <w:uiPriority w:val="9"/>
    <w:pPr>
      <w:spacing w:before="50" w:beforeLines="50" w:after="50" w:afterLines="50"/>
      <w:ind w:firstLine="0" w:firstLineChars="0"/>
      <w:jc w:val="center"/>
      <w:outlineLvl w:val="1"/>
    </w:pPr>
    <w:rPr>
      <w:rFonts w:eastAsia="楷体_GB2312" w:cs="楷体_GB2312"/>
      <w:b/>
      <w:bCs/>
    </w:rPr>
  </w:style>
  <w:style w:type="paragraph" w:styleId="4">
    <w:name w:val="heading 3"/>
    <w:basedOn w:val="1"/>
    <w:next w:val="1"/>
    <w:link w:val="37"/>
    <w:qFormat/>
    <w:uiPriority w:val="9"/>
    <w:pPr>
      <w:keepNext/>
      <w:keepLines/>
      <w:spacing w:line="560" w:lineRule="atLeast"/>
      <w:outlineLvl w:val="2"/>
    </w:pPr>
    <w:rPr>
      <w:b/>
      <w:bCs/>
    </w:rPr>
  </w:style>
  <w:style w:type="character" w:default="1" w:styleId="27">
    <w:name w:val="Default Paragraph Font"/>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qFormat/>
    <w:uiPriority w:val="0"/>
    <w:pPr>
      <w:snapToGrid/>
      <w:spacing w:line="240" w:lineRule="auto"/>
      <w:ind w:firstLine="420"/>
    </w:pPr>
    <w:rPr>
      <w:rFonts w:ascii="Calibri" w:hAnsi="Calibri" w:eastAsia="宋体"/>
      <w:color w:val="auto"/>
      <w:sz w:val="21"/>
      <w:szCs w:val="22"/>
    </w:rPr>
  </w:style>
  <w:style w:type="paragraph" w:styleId="6">
    <w:name w:val="annotation text"/>
    <w:basedOn w:val="1"/>
    <w:link w:val="39"/>
    <w:unhideWhenUsed/>
    <w:qFormat/>
    <w:uiPriority w:val="99"/>
    <w:pPr>
      <w:snapToGrid/>
      <w:spacing w:line="240" w:lineRule="auto"/>
      <w:ind w:firstLine="0" w:firstLineChars="0"/>
      <w:jc w:val="left"/>
    </w:pPr>
    <w:rPr>
      <w:rFonts w:ascii="等线" w:hAnsi="等线" w:eastAsia="等线" w:cs="Mongolian Baiti"/>
      <w:color w:val="auto"/>
      <w:sz w:val="21"/>
      <w:szCs w:val="22"/>
    </w:rPr>
  </w:style>
  <w:style w:type="paragraph" w:styleId="7">
    <w:name w:val="Body Text"/>
    <w:basedOn w:val="1"/>
    <w:next w:val="8"/>
    <w:link w:val="38"/>
    <w:unhideWhenUsed/>
    <w:uiPriority w:val="99"/>
    <w:pPr>
      <w:spacing w:after="120"/>
    </w:pPr>
  </w:style>
  <w:style w:type="paragraph" w:styleId="8">
    <w:name w:val="toc 5"/>
    <w:basedOn w:val="1"/>
    <w:next w:val="1"/>
    <w:uiPriority w:val="39"/>
    <w:pPr>
      <w:ind w:left="1680" w:leftChars="800"/>
    </w:pPr>
  </w:style>
  <w:style w:type="paragraph" w:styleId="9">
    <w:name w:val="Body Text Indent"/>
    <w:basedOn w:val="1"/>
    <w:qFormat/>
    <w:uiPriority w:val="0"/>
    <w:pPr>
      <w:ind w:firstLine="600"/>
      <w:outlineLvl w:val="0"/>
    </w:pPr>
    <w:rPr>
      <w:rFonts w:ascii="仿宋_GB2312"/>
      <w:sz w:val="30"/>
    </w:rPr>
  </w:style>
  <w:style w:type="paragraph" w:styleId="10">
    <w:name w:val="toc 3"/>
    <w:basedOn w:val="1"/>
    <w:next w:val="1"/>
    <w:unhideWhenUsed/>
    <w:qFormat/>
    <w:uiPriority w:val="39"/>
    <w:pPr>
      <w:ind w:left="840" w:leftChars="400"/>
    </w:pPr>
  </w:style>
  <w:style w:type="paragraph" w:styleId="11">
    <w:name w:val="Plain Text"/>
    <w:basedOn w:val="1"/>
    <w:link w:val="40"/>
    <w:qFormat/>
    <w:uiPriority w:val="0"/>
    <w:pPr>
      <w:snapToGrid/>
      <w:spacing w:line="240" w:lineRule="auto"/>
      <w:ind w:firstLine="0" w:firstLineChars="0"/>
    </w:pPr>
    <w:rPr>
      <w:rFonts w:ascii="宋体" w:hAnsi="Courier New" w:eastAsia="宋体" w:cs="Courier New"/>
      <w:color w:val="auto"/>
      <w:sz w:val="21"/>
      <w:szCs w:val="21"/>
      <w:lang w:bidi="mn-Mong-CN"/>
    </w:rPr>
  </w:style>
  <w:style w:type="paragraph" w:styleId="12">
    <w:name w:val="Date"/>
    <w:basedOn w:val="1"/>
    <w:next w:val="1"/>
    <w:link w:val="41"/>
    <w:semiHidden/>
    <w:unhideWhenUsed/>
    <w:qFormat/>
    <w:uiPriority w:val="99"/>
    <w:pPr>
      <w:ind w:left="100" w:leftChars="2500"/>
    </w:pPr>
  </w:style>
  <w:style w:type="paragraph" w:styleId="13">
    <w:name w:val="Body Text Indent 2"/>
    <w:basedOn w:val="1"/>
    <w:qFormat/>
    <w:uiPriority w:val="0"/>
    <w:pPr>
      <w:spacing w:line="600" w:lineRule="exact"/>
      <w:ind w:firstLine="640"/>
    </w:pPr>
    <w:rPr>
      <w:rFonts w:ascii="仿宋_GB2312"/>
      <w:color w:val="FF0000"/>
    </w:rPr>
  </w:style>
  <w:style w:type="paragraph" w:styleId="14">
    <w:name w:val="endnote text"/>
    <w:basedOn w:val="1"/>
    <w:link w:val="147"/>
    <w:semiHidden/>
    <w:unhideWhenUsed/>
    <w:qFormat/>
    <w:uiPriority w:val="99"/>
    <w:pPr>
      <w:jc w:val="left"/>
    </w:pPr>
  </w:style>
  <w:style w:type="paragraph" w:styleId="15">
    <w:name w:val="Balloon Text"/>
    <w:basedOn w:val="1"/>
    <w:link w:val="42"/>
    <w:unhideWhenUsed/>
    <w:qFormat/>
    <w:uiPriority w:val="99"/>
    <w:pPr>
      <w:spacing w:line="240" w:lineRule="auto"/>
    </w:pPr>
    <w:rPr>
      <w:sz w:val="18"/>
      <w:szCs w:val="18"/>
    </w:rPr>
  </w:style>
  <w:style w:type="paragraph" w:styleId="16">
    <w:name w:val="footer"/>
    <w:basedOn w:val="1"/>
    <w:link w:val="43"/>
    <w:qFormat/>
    <w:uiPriority w:val="99"/>
    <w:pPr>
      <w:tabs>
        <w:tab w:val="center" w:pos="4153"/>
        <w:tab w:val="right" w:pos="8306"/>
      </w:tabs>
      <w:jc w:val="left"/>
    </w:pPr>
    <w:rPr>
      <w:sz w:val="18"/>
      <w:szCs w:val="18"/>
    </w:rPr>
  </w:style>
  <w:style w:type="paragraph" w:styleId="17">
    <w:name w:val="header"/>
    <w:basedOn w:val="1"/>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link w:val="44"/>
    <w:unhideWhenUsed/>
    <w:qFormat/>
    <w:uiPriority w:val="39"/>
    <w:pPr>
      <w:tabs>
        <w:tab w:val="right" w:leader="dot" w:pos="8834"/>
      </w:tabs>
      <w:spacing w:line="360" w:lineRule="auto"/>
      <w:ind w:firstLine="0" w:firstLineChars="0"/>
    </w:pPr>
    <w:rPr>
      <w:b/>
      <w:bCs/>
      <w:sz w:val="21"/>
      <w:szCs w:val="21"/>
    </w:rPr>
  </w:style>
  <w:style w:type="paragraph" w:styleId="19">
    <w:name w:val="Subtitle"/>
    <w:basedOn w:val="1"/>
    <w:next w:val="1"/>
    <w:link w:val="156"/>
    <w:qFormat/>
    <w:uiPriority w:val="11"/>
    <w:pPr>
      <w:spacing w:before="240" w:after="60" w:line="312" w:lineRule="atLeast"/>
      <w:jc w:val="center"/>
      <w:outlineLvl w:val="1"/>
    </w:pPr>
    <w:rPr>
      <w:rFonts w:asciiTheme="minorHAnsi" w:hAnsiTheme="minorHAnsi" w:eastAsiaTheme="minorEastAsia" w:cstheme="minorBidi"/>
      <w:b/>
      <w:bCs/>
      <w:kern w:val="28"/>
    </w:rPr>
  </w:style>
  <w:style w:type="paragraph" w:styleId="20">
    <w:name w:val="footnote text"/>
    <w:basedOn w:val="1"/>
    <w:link w:val="45"/>
    <w:semiHidden/>
    <w:unhideWhenUsed/>
    <w:qFormat/>
    <w:uiPriority w:val="99"/>
    <w:pPr>
      <w:jc w:val="left"/>
    </w:pPr>
    <w:rPr>
      <w:sz w:val="18"/>
      <w:szCs w:val="18"/>
    </w:rPr>
  </w:style>
  <w:style w:type="paragraph" w:styleId="21">
    <w:name w:val="toc 2"/>
    <w:basedOn w:val="1"/>
    <w:next w:val="1"/>
    <w:unhideWhenUsed/>
    <w:qFormat/>
    <w:uiPriority w:val="39"/>
    <w:pPr>
      <w:tabs>
        <w:tab w:val="right" w:leader="dot" w:pos="8834"/>
      </w:tabs>
      <w:spacing w:line="312" w:lineRule="auto"/>
      <w:ind w:left="320" w:leftChars="100" w:firstLine="0" w:firstLineChars="0"/>
    </w:pPr>
    <w:rPr>
      <w:color w:val="auto"/>
      <w:sz w:val="28"/>
      <w:szCs w:val="28"/>
    </w:rPr>
  </w:style>
  <w:style w:type="paragraph" w:styleId="22">
    <w:name w:val="Normal (Web)"/>
    <w:basedOn w:val="1"/>
    <w:link w:val="46"/>
    <w:unhideWhenUsed/>
    <w:qFormat/>
    <w:uiPriority w:val="99"/>
    <w:pPr>
      <w:widowControl/>
      <w:snapToGrid/>
      <w:spacing w:before="100" w:beforeAutospacing="1" w:after="100" w:afterAutospacing="1" w:line="240" w:lineRule="auto"/>
      <w:ind w:firstLine="0" w:firstLineChars="0"/>
      <w:jc w:val="left"/>
    </w:pPr>
    <w:rPr>
      <w:rFonts w:ascii="宋体" w:hAnsi="宋体" w:eastAsia="宋体" w:cs="宋体"/>
      <w:color w:val="auto"/>
      <w:kern w:val="0"/>
      <w:sz w:val="24"/>
      <w:szCs w:val="24"/>
      <w:lang w:bidi="mn-Mong-CN"/>
    </w:rPr>
  </w:style>
  <w:style w:type="paragraph" w:styleId="23">
    <w:name w:val="Title"/>
    <w:basedOn w:val="1"/>
    <w:next w:val="1"/>
    <w:link w:val="47"/>
    <w:qFormat/>
    <w:uiPriority w:val="10"/>
    <w:pPr>
      <w:spacing w:before="240" w:after="60"/>
      <w:jc w:val="center"/>
      <w:outlineLvl w:val="0"/>
    </w:pPr>
    <w:rPr>
      <w:rFonts w:ascii="等线 Light" w:hAnsi="等线 Light" w:eastAsia="宋体" w:cs="Mongolian Baiti"/>
      <w:b/>
      <w:bCs/>
    </w:rPr>
  </w:style>
  <w:style w:type="paragraph" w:styleId="24">
    <w:name w:val="annotation subject"/>
    <w:basedOn w:val="6"/>
    <w:next w:val="6"/>
    <w:link w:val="48"/>
    <w:semiHidden/>
    <w:unhideWhenUsed/>
    <w:qFormat/>
    <w:uiPriority w:val="99"/>
    <w:pPr>
      <w:snapToGrid w:val="0"/>
      <w:spacing w:line="560" w:lineRule="exact"/>
      <w:ind w:firstLine="200" w:firstLineChars="200"/>
    </w:pPr>
    <w:rPr>
      <w:rFonts w:ascii="Times New Roman" w:hAnsi="Times New Roman" w:eastAsia="仿宋_GB2312" w:cs="Times New Roman"/>
      <w:b/>
      <w:bCs/>
      <w:color w:val="000000"/>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endnote reference"/>
    <w:basedOn w:val="27"/>
    <w:semiHidden/>
    <w:unhideWhenUsed/>
    <w:qFormat/>
    <w:uiPriority w:val="99"/>
    <w:rPr>
      <w:vertAlign w:val="superscript"/>
    </w:rPr>
  </w:style>
  <w:style w:type="character" w:styleId="29">
    <w:name w:val="page number"/>
    <w:basedOn w:val="27"/>
    <w:qFormat/>
    <w:uiPriority w:val="0"/>
  </w:style>
  <w:style w:type="character" w:styleId="30">
    <w:name w:val="FollowedHyperlink"/>
    <w:basedOn w:val="27"/>
    <w:semiHidden/>
    <w:unhideWhenUsed/>
    <w:qFormat/>
    <w:uiPriority w:val="99"/>
    <w:rPr>
      <w:color w:val="800080"/>
      <w:u w:val="single"/>
    </w:rPr>
  </w:style>
  <w:style w:type="character" w:styleId="31">
    <w:name w:val="Emphasis"/>
    <w:qFormat/>
    <w:uiPriority w:val="20"/>
    <w:rPr>
      <w:i/>
      <w:iCs/>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styleId="34">
    <w:name w:val="footnote reference"/>
    <w:semiHidden/>
    <w:unhideWhenUsed/>
    <w:qFormat/>
    <w:uiPriority w:val="99"/>
    <w:rPr>
      <w:vertAlign w:val="superscript"/>
    </w:rPr>
  </w:style>
  <w:style w:type="character" w:customStyle="1" w:styleId="35">
    <w:name w:val="标题 1 字符"/>
    <w:link w:val="2"/>
    <w:qFormat/>
    <w:uiPriority w:val="9"/>
    <w:rPr>
      <w:rFonts w:eastAsia="黑体" w:cs="黑体"/>
      <w:color w:val="000000"/>
      <w:kern w:val="2"/>
      <w:sz w:val="32"/>
      <w:szCs w:val="32"/>
      <w:lang w:val="zh-CN" w:bidi="ar-SA"/>
    </w:rPr>
  </w:style>
  <w:style w:type="character" w:customStyle="1" w:styleId="36">
    <w:name w:val="标题 2 字符"/>
    <w:link w:val="3"/>
    <w:qFormat/>
    <w:uiPriority w:val="9"/>
    <w:rPr>
      <w:rFonts w:eastAsia="楷体_GB2312" w:cs="楷体_GB2312"/>
      <w:b/>
      <w:bCs/>
      <w:color w:val="000000"/>
      <w:kern w:val="2"/>
      <w:sz w:val="32"/>
      <w:szCs w:val="32"/>
      <w:lang w:bidi="ar-SA"/>
    </w:rPr>
  </w:style>
  <w:style w:type="character" w:customStyle="1" w:styleId="37">
    <w:name w:val="标题 3 字符"/>
    <w:link w:val="4"/>
    <w:qFormat/>
    <w:uiPriority w:val="9"/>
    <w:rPr>
      <w:rFonts w:eastAsia="仿宋_GB2312"/>
      <w:b/>
      <w:bCs/>
      <w:color w:val="000000"/>
      <w:kern w:val="2"/>
      <w:sz w:val="32"/>
      <w:szCs w:val="32"/>
    </w:rPr>
  </w:style>
  <w:style w:type="character" w:customStyle="1" w:styleId="38">
    <w:name w:val="正文文本 字符"/>
    <w:link w:val="7"/>
    <w:qFormat/>
    <w:uiPriority w:val="99"/>
    <w:rPr>
      <w:rFonts w:eastAsia="仿宋_GB2312"/>
      <w:color w:val="000000"/>
      <w:kern w:val="2"/>
      <w:sz w:val="32"/>
      <w:szCs w:val="32"/>
      <w:lang w:bidi="ar-SA"/>
    </w:rPr>
  </w:style>
  <w:style w:type="character" w:customStyle="1" w:styleId="39">
    <w:name w:val="批注文字 字符"/>
    <w:link w:val="6"/>
    <w:qFormat/>
    <w:uiPriority w:val="99"/>
    <w:rPr>
      <w:rFonts w:ascii="等线" w:hAnsi="等线" w:eastAsia="等线" w:cs="Mongolian Baiti"/>
      <w:kern w:val="2"/>
      <w:sz w:val="21"/>
      <w:szCs w:val="22"/>
      <w:lang w:bidi="ar-SA"/>
    </w:rPr>
  </w:style>
  <w:style w:type="character" w:customStyle="1" w:styleId="40">
    <w:name w:val="纯文本 字符"/>
    <w:link w:val="11"/>
    <w:qFormat/>
    <w:locked/>
    <w:uiPriority w:val="0"/>
    <w:rPr>
      <w:rFonts w:ascii="宋体" w:hAnsi="Courier New" w:cs="Courier New"/>
      <w:kern w:val="2"/>
      <w:sz w:val="21"/>
      <w:szCs w:val="21"/>
    </w:rPr>
  </w:style>
  <w:style w:type="character" w:customStyle="1" w:styleId="41">
    <w:name w:val="日期 字符"/>
    <w:basedOn w:val="27"/>
    <w:link w:val="12"/>
    <w:semiHidden/>
    <w:qFormat/>
    <w:uiPriority w:val="99"/>
    <w:rPr>
      <w:rFonts w:eastAsia="仿宋_GB2312"/>
      <w:color w:val="000000"/>
      <w:kern w:val="2"/>
      <w:sz w:val="32"/>
      <w:szCs w:val="32"/>
      <w:lang w:bidi="ar-SA"/>
    </w:rPr>
  </w:style>
  <w:style w:type="character" w:customStyle="1" w:styleId="42">
    <w:name w:val="批注框文本 字符"/>
    <w:link w:val="15"/>
    <w:semiHidden/>
    <w:qFormat/>
    <w:uiPriority w:val="99"/>
    <w:rPr>
      <w:rFonts w:eastAsia="仿宋_GB2312"/>
      <w:color w:val="000000"/>
      <w:kern w:val="2"/>
      <w:sz w:val="18"/>
      <w:szCs w:val="18"/>
    </w:rPr>
  </w:style>
  <w:style w:type="character" w:customStyle="1" w:styleId="43">
    <w:name w:val="页脚 字符"/>
    <w:link w:val="16"/>
    <w:qFormat/>
    <w:uiPriority w:val="99"/>
    <w:rPr>
      <w:rFonts w:eastAsia="仿宋_GB2312"/>
      <w:color w:val="000000"/>
      <w:kern w:val="2"/>
      <w:sz w:val="18"/>
      <w:szCs w:val="18"/>
    </w:rPr>
  </w:style>
  <w:style w:type="character" w:customStyle="1" w:styleId="44">
    <w:name w:val="TOC 1 字符"/>
    <w:basedOn w:val="27"/>
    <w:link w:val="18"/>
    <w:qFormat/>
    <w:uiPriority w:val="39"/>
    <w:rPr>
      <w:rFonts w:eastAsia="仿宋_GB2312"/>
      <w:b/>
      <w:bCs/>
      <w:color w:val="000000"/>
      <w:kern w:val="2"/>
      <w:sz w:val="21"/>
      <w:szCs w:val="21"/>
      <w:lang w:bidi="ar-SA"/>
    </w:rPr>
  </w:style>
  <w:style w:type="character" w:customStyle="1" w:styleId="45">
    <w:name w:val="脚注文本 字符"/>
    <w:link w:val="20"/>
    <w:semiHidden/>
    <w:qFormat/>
    <w:uiPriority w:val="99"/>
    <w:rPr>
      <w:rFonts w:eastAsia="仿宋_GB2312"/>
      <w:color w:val="000000"/>
      <w:kern w:val="2"/>
      <w:sz w:val="18"/>
      <w:szCs w:val="18"/>
      <w:lang w:bidi="ar-SA"/>
    </w:rPr>
  </w:style>
  <w:style w:type="character" w:customStyle="1" w:styleId="46">
    <w:name w:val="普通(网站) 字符"/>
    <w:link w:val="22"/>
    <w:qFormat/>
    <w:locked/>
    <w:uiPriority w:val="99"/>
    <w:rPr>
      <w:rFonts w:ascii="宋体" w:hAnsi="宋体" w:cs="宋体"/>
      <w:sz w:val="24"/>
      <w:szCs w:val="24"/>
    </w:rPr>
  </w:style>
  <w:style w:type="character" w:customStyle="1" w:styleId="47">
    <w:name w:val="标题 字符"/>
    <w:link w:val="23"/>
    <w:qFormat/>
    <w:uiPriority w:val="10"/>
    <w:rPr>
      <w:rFonts w:ascii="等线 Light" w:hAnsi="等线 Light" w:cs="Mongolian Baiti"/>
      <w:b/>
      <w:bCs/>
      <w:color w:val="000000"/>
      <w:kern w:val="2"/>
      <w:sz w:val="32"/>
      <w:szCs w:val="32"/>
      <w:lang w:bidi="ar-SA"/>
    </w:rPr>
  </w:style>
  <w:style w:type="character" w:customStyle="1" w:styleId="48">
    <w:name w:val="批注主题 字符"/>
    <w:basedOn w:val="39"/>
    <w:link w:val="24"/>
    <w:semiHidden/>
    <w:qFormat/>
    <w:uiPriority w:val="99"/>
    <w:rPr>
      <w:rFonts w:ascii="等线" w:hAnsi="等线" w:eastAsia="仿宋_GB2312" w:cs="Mongolian Baiti"/>
      <w:b/>
      <w:bCs/>
      <w:color w:val="000000"/>
      <w:kern w:val="2"/>
      <w:sz w:val="32"/>
      <w:szCs w:val="32"/>
      <w:lang w:bidi="ar-SA"/>
    </w:rPr>
  </w:style>
  <w:style w:type="character" w:customStyle="1" w:styleId="49">
    <w:name w:val="备注 字符"/>
    <w:link w:val="50"/>
    <w:qFormat/>
    <w:uiPriority w:val="0"/>
    <w:rPr>
      <w:rFonts w:eastAsia="仿宋_GB2312"/>
      <w:bCs/>
      <w:kern w:val="2"/>
      <w:sz w:val="21"/>
      <w:szCs w:val="21"/>
      <w:lang w:bidi="ar-SA"/>
    </w:rPr>
  </w:style>
  <w:style w:type="paragraph" w:customStyle="1" w:styleId="50">
    <w:name w:val="备注"/>
    <w:basedOn w:val="1"/>
    <w:link w:val="49"/>
    <w:qFormat/>
    <w:uiPriority w:val="0"/>
    <w:pPr>
      <w:spacing w:line="280" w:lineRule="exact"/>
      <w:ind w:firstLine="0" w:firstLineChars="0"/>
    </w:pPr>
    <w:rPr>
      <w:bCs/>
      <w:color w:val="auto"/>
      <w:sz w:val="21"/>
      <w:szCs w:val="21"/>
    </w:rPr>
  </w:style>
  <w:style w:type="character" w:customStyle="1" w:styleId="51">
    <w:name w:val="font01"/>
    <w:uiPriority w:val="0"/>
    <w:rPr>
      <w:rFonts w:hint="eastAsia" w:ascii="宋体" w:hAnsi="宋体" w:eastAsia="宋体" w:cs="宋体"/>
      <w:color w:val="000000"/>
      <w:sz w:val="24"/>
      <w:szCs w:val="24"/>
      <w:u w:val="none"/>
    </w:rPr>
  </w:style>
  <w:style w:type="character" w:customStyle="1" w:styleId="52">
    <w:name w:val="标题3 字符"/>
    <w:link w:val="53"/>
    <w:qFormat/>
    <w:uiPriority w:val="0"/>
    <w:rPr>
      <w:rFonts w:eastAsia="仿宋_GB2312"/>
      <w:b/>
      <w:bCs/>
      <w:color w:val="000000"/>
      <w:kern w:val="2"/>
      <w:sz w:val="32"/>
      <w:szCs w:val="32"/>
    </w:rPr>
  </w:style>
  <w:style w:type="paragraph" w:customStyle="1" w:styleId="53">
    <w:name w:val="标题3"/>
    <w:basedOn w:val="1"/>
    <w:next w:val="1"/>
    <w:link w:val="52"/>
    <w:qFormat/>
    <w:uiPriority w:val="0"/>
    <w:pPr>
      <w:ind w:firstLine="643"/>
    </w:pPr>
    <w:rPr>
      <w:b/>
      <w:bCs/>
    </w:rPr>
  </w:style>
  <w:style w:type="character" w:customStyle="1" w:styleId="54">
    <w:name w:val="font21"/>
    <w:qFormat/>
    <w:uiPriority w:val="0"/>
    <w:rPr>
      <w:rFonts w:hint="default" w:ascii="Times New Roman" w:hAnsi="Times New Roman" w:cs="Times New Roman"/>
      <w:b/>
      <w:color w:val="000000"/>
      <w:sz w:val="24"/>
      <w:szCs w:val="24"/>
      <w:u w:val="none"/>
    </w:rPr>
  </w:style>
  <w:style w:type="character" w:customStyle="1" w:styleId="55">
    <w:name w:val="表格文字 字符"/>
    <w:link w:val="56"/>
    <w:qFormat/>
    <w:uiPriority w:val="0"/>
    <w:rPr>
      <w:rFonts w:eastAsia="仿宋_GB2312"/>
      <w:bCs/>
      <w:kern w:val="2"/>
      <w:sz w:val="21"/>
      <w:szCs w:val="24"/>
    </w:rPr>
  </w:style>
  <w:style w:type="paragraph" w:customStyle="1" w:styleId="56">
    <w:name w:val="表格文字"/>
    <w:basedOn w:val="1"/>
    <w:link w:val="55"/>
    <w:qFormat/>
    <w:uiPriority w:val="0"/>
    <w:pPr>
      <w:snapToGrid/>
      <w:spacing w:line="240" w:lineRule="auto"/>
      <w:ind w:firstLine="0" w:firstLineChars="0"/>
    </w:pPr>
    <w:rPr>
      <w:bCs/>
      <w:color w:val="auto"/>
      <w:sz w:val="21"/>
      <w:szCs w:val="24"/>
    </w:rPr>
  </w:style>
  <w:style w:type="character" w:customStyle="1" w:styleId="57">
    <w:name w:val="font11"/>
    <w:uiPriority w:val="0"/>
    <w:rPr>
      <w:rFonts w:hint="default" w:ascii="Times New Roman" w:hAnsi="Times New Roman" w:cs="Times New Roman"/>
      <w:color w:val="000000"/>
      <w:sz w:val="24"/>
      <w:szCs w:val="24"/>
      <w:u w:val="none"/>
    </w:rPr>
  </w:style>
  <w:style w:type="character" w:customStyle="1" w:styleId="58">
    <w:name w:val="font31"/>
    <w:uiPriority w:val="0"/>
    <w:rPr>
      <w:rFonts w:hint="eastAsia" w:ascii="宋体" w:hAnsi="宋体" w:eastAsia="宋体" w:cs="宋体"/>
      <w:b/>
      <w:color w:val="000000"/>
      <w:sz w:val="24"/>
      <w:szCs w:val="24"/>
      <w:u w:val="none"/>
    </w:rPr>
  </w:style>
  <w:style w:type="character" w:customStyle="1" w:styleId="59">
    <w:name w:val="表标题 字符"/>
    <w:link w:val="60"/>
    <w:qFormat/>
    <w:uiPriority w:val="0"/>
    <w:rPr>
      <w:rFonts w:eastAsia="仿宋_GB2312" w:cs="仿宋_GB2312"/>
      <w:b/>
      <w:bCs/>
      <w:color w:val="000000"/>
      <w:kern w:val="2"/>
      <w:sz w:val="28"/>
      <w:szCs w:val="28"/>
    </w:rPr>
  </w:style>
  <w:style w:type="paragraph" w:customStyle="1" w:styleId="60">
    <w:name w:val="表标题"/>
    <w:basedOn w:val="1"/>
    <w:link w:val="59"/>
    <w:qFormat/>
    <w:uiPriority w:val="0"/>
    <w:pPr>
      <w:spacing w:line="500" w:lineRule="exact"/>
      <w:ind w:firstLine="0" w:firstLineChars="0"/>
      <w:jc w:val="center"/>
    </w:pPr>
    <w:rPr>
      <w:rFonts w:cs="仿宋_GB2312"/>
      <w:b/>
      <w:bCs/>
      <w:sz w:val="28"/>
      <w:szCs w:val="28"/>
    </w:rPr>
  </w:style>
  <w:style w:type="character" w:customStyle="1" w:styleId="61">
    <w:name w:val="表格内容 字符"/>
    <w:link w:val="62"/>
    <w:qFormat/>
    <w:uiPriority w:val="0"/>
    <w:rPr>
      <w:rFonts w:eastAsia="仿宋_GB2312"/>
      <w:bCs/>
      <w:color w:val="000000"/>
      <w:kern w:val="2"/>
      <w:sz w:val="21"/>
      <w:szCs w:val="21"/>
      <w:lang w:bidi="ar-SA"/>
    </w:rPr>
  </w:style>
  <w:style w:type="paragraph" w:customStyle="1" w:styleId="62">
    <w:name w:val="表格内容"/>
    <w:basedOn w:val="1"/>
    <w:link w:val="61"/>
    <w:qFormat/>
    <w:uiPriority w:val="0"/>
    <w:pPr>
      <w:spacing w:line="240" w:lineRule="auto"/>
      <w:ind w:firstLine="0" w:firstLineChars="0"/>
      <w:jc w:val="center"/>
    </w:pPr>
    <w:rPr>
      <w:bCs/>
      <w:sz w:val="21"/>
      <w:szCs w:val="21"/>
    </w:rPr>
  </w:style>
  <w:style w:type="character" w:customStyle="1" w:styleId="63">
    <w:name w:val="资料来源 字符"/>
    <w:link w:val="64"/>
    <w:qFormat/>
    <w:uiPriority w:val="0"/>
    <w:rPr>
      <w:rFonts w:eastAsia="仿宋_GB2312"/>
      <w:bCs/>
      <w:kern w:val="2"/>
      <w:sz w:val="21"/>
      <w:szCs w:val="24"/>
    </w:rPr>
  </w:style>
  <w:style w:type="paragraph" w:customStyle="1" w:styleId="64">
    <w:name w:val="资料来源"/>
    <w:basedOn w:val="65"/>
    <w:link w:val="63"/>
    <w:qFormat/>
    <w:uiPriority w:val="0"/>
    <w:pPr>
      <w:spacing w:before="0" w:beforeLines="0" w:after="50" w:afterLines="50"/>
    </w:pPr>
    <w:rPr>
      <w:b w:val="0"/>
    </w:rPr>
  </w:style>
  <w:style w:type="paragraph" w:customStyle="1" w:styleId="65">
    <w:name w:val="表格标题"/>
    <w:basedOn w:val="1"/>
    <w:qFormat/>
    <w:uiPriority w:val="0"/>
    <w:pPr>
      <w:snapToGrid/>
      <w:spacing w:before="50" w:beforeLines="50" w:line="240" w:lineRule="auto"/>
      <w:ind w:firstLine="0" w:firstLineChars="0"/>
      <w:jc w:val="center"/>
    </w:pPr>
    <w:rPr>
      <w:b/>
      <w:bCs/>
      <w:color w:val="auto"/>
      <w:sz w:val="21"/>
      <w:szCs w:val="24"/>
    </w:rPr>
  </w:style>
  <w:style w:type="paragraph" w:customStyle="1" w:styleId="66">
    <w:name w:val="Char Char Char Char Char Char1 Char Char Char Char Char Char Char"/>
    <w:basedOn w:val="1"/>
    <w:uiPriority w:val="0"/>
    <w:pPr>
      <w:tabs>
        <w:tab w:val="left" w:pos="425"/>
      </w:tabs>
      <w:ind w:left="425" w:hanging="425"/>
    </w:pPr>
  </w:style>
  <w:style w:type="paragraph" w:customStyle="1" w:styleId="67">
    <w:name w:val="Char"/>
    <w:basedOn w:val="1"/>
    <w:uiPriority w:val="0"/>
    <w:pPr>
      <w:widowControl/>
      <w:spacing w:line="400" w:lineRule="exact"/>
      <w:ind w:firstLine="482"/>
    </w:pPr>
  </w:style>
  <w:style w:type="paragraph" w:customStyle="1" w:styleId="68">
    <w:name w:val="Char1 Char Char Char"/>
    <w:basedOn w:val="1"/>
    <w:uiPriority w:val="0"/>
  </w:style>
  <w:style w:type="paragraph" w:customStyle="1" w:styleId="69">
    <w:name w:val="图题"/>
    <w:basedOn w:val="1"/>
    <w:link w:val="70"/>
    <w:qFormat/>
    <w:uiPriority w:val="0"/>
    <w:pPr>
      <w:spacing w:after="50" w:afterLines="50" w:line="240" w:lineRule="auto"/>
      <w:ind w:firstLine="0" w:firstLineChars="0"/>
      <w:jc w:val="center"/>
    </w:pPr>
    <w:rPr>
      <w:b/>
      <w:sz w:val="21"/>
      <w:szCs w:val="21"/>
    </w:rPr>
  </w:style>
  <w:style w:type="character" w:customStyle="1" w:styleId="70">
    <w:name w:val="图题 字符"/>
    <w:link w:val="69"/>
    <w:qFormat/>
    <w:uiPriority w:val="0"/>
    <w:rPr>
      <w:rFonts w:eastAsia="仿宋_GB2312"/>
      <w:b/>
      <w:color w:val="000000"/>
      <w:kern w:val="2"/>
      <w:sz w:val="21"/>
      <w:szCs w:val="21"/>
    </w:rPr>
  </w:style>
  <w:style w:type="paragraph" w:customStyle="1" w:styleId="71">
    <w:name w:val="总结"/>
    <w:basedOn w:val="1"/>
    <w:link w:val="72"/>
    <w:qFormat/>
    <w:uiPriority w:val="0"/>
    <w:pPr>
      <w:spacing w:before="50" w:beforeLines="50"/>
    </w:pPr>
    <w:rPr>
      <w:rFonts w:eastAsia="楷体_GB2312"/>
    </w:rPr>
  </w:style>
  <w:style w:type="character" w:customStyle="1" w:styleId="72">
    <w:name w:val="总结 字符"/>
    <w:link w:val="71"/>
    <w:qFormat/>
    <w:uiPriority w:val="0"/>
    <w:rPr>
      <w:rFonts w:eastAsia="楷体_GB2312"/>
      <w:color w:val="000000"/>
      <w:kern w:val="2"/>
      <w:sz w:val="32"/>
      <w:szCs w:val="32"/>
    </w:rPr>
  </w:style>
  <w:style w:type="paragraph" w:customStyle="1" w:styleId="73">
    <w:name w:val="图标题"/>
    <w:basedOn w:val="1"/>
    <w:link w:val="74"/>
    <w:qFormat/>
    <w:uiPriority w:val="0"/>
    <w:pPr>
      <w:widowControl/>
      <w:spacing w:before="50" w:beforeLines="50" w:line="240" w:lineRule="auto"/>
      <w:ind w:firstLine="0" w:firstLineChars="0"/>
      <w:jc w:val="center"/>
    </w:pPr>
    <w:rPr>
      <w:rFonts w:cstheme="minorBidi"/>
      <w:b/>
      <w:color w:val="auto"/>
      <w:sz w:val="21"/>
      <w:szCs w:val="22"/>
    </w:rPr>
  </w:style>
  <w:style w:type="character" w:customStyle="1" w:styleId="74">
    <w:name w:val="图标题 字符"/>
    <w:link w:val="73"/>
    <w:qFormat/>
    <w:uiPriority w:val="0"/>
    <w:rPr>
      <w:rFonts w:eastAsia="仿宋_GB2312" w:cstheme="minorBidi"/>
      <w:b/>
      <w:kern w:val="2"/>
      <w:sz w:val="21"/>
      <w:szCs w:val="22"/>
      <w:lang w:bidi="ar-SA"/>
    </w:rPr>
  </w:style>
  <w:style w:type="paragraph" w:customStyle="1" w:styleId="75">
    <w:name w:val="图标题（标杆）"/>
    <w:basedOn w:val="73"/>
    <w:link w:val="76"/>
    <w:qFormat/>
    <w:uiPriority w:val="0"/>
    <w:pPr>
      <w:spacing w:before="0" w:beforeLines="0"/>
    </w:pPr>
  </w:style>
  <w:style w:type="character" w:customStyle="1" w:styleId="76">
    <w:name w:val="图标题（标杆） 字符"/>
    <w:link w:val="75"/>
    <w:qFormat/>
    <w:uiPriority w:val="0"/>
    <w:rPr>
      <w:rFonts w:eastAsia="仿宋_GB2312" w:cstheme="minorBidi"/>
      <w:b/>
      <w:kern w:val="2"/>
      <w:sz w:val="21"/>
      <w:szCs w:val="22"/>
      <w:lang w:bidi="ar-SA"/>
    </w:rPr>
  </w:style>
  <w:style w:type="table" w:customStyle="1" w:styleId="77">
    <w:name w:val="网格型1"/>
    <w:basedOn w:val="25"/>
    <w:qFormat/>
    <w:uiPriority w:val="39"/>
    <w:rPr>
      <w:rFonts w:ascii="等线" w:hAnsi="等线" w:eastAsia="等线" w:cs="Mongolian Baiti"/>
      <w:kern w:val="2"/>
      <w:sz w:val="21"/>
      <w:szCs w:val="22"/>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TOC 标题1"/>
    <w:basedOn w:val="2"/>
    <w:next w:val="1"/>
    <w:unhideWhenUsed/>
    <w:qFormat/>
    <w:uiPriority w:val="39"/>
    <w:pPr>
      <w:keepNext/>
      <w:keepLines/>
      <w:widowControl/>
      <w:snapToGrid/>
      <w:spacing w:before="240" w:line="259" w:lineRule="auto"/>
      <w:outlineLvl w:val="9"/>
    </w:pPr>
    <w:rPr>
      <w:rFonts w:ascii="等线 Light" w:hAnsi="等线 Light" w:eastAsia="等线 Light" w:cs="Mongolian Baiti"/>
      <w:color w:val="2F5496"/>
      <w:kern w:val="0"/>
      <w:lang w:bidi="mn-Mong-CN"/>
    </w:rPr>
  </w:style>
  <w:style w:type="paragraph" w:customStyle="1" w:styleId="79">
    <w:name w:val="Char Char Char Char Char Char Char"/>
    <w:basedOn w:val="1"/>
    <w:uiPriority w:val="0"/>
    <w:pPr>
      <w:snapToGrid/>
      <w:spacing w:line="240" w:lineRule="auto"/>
      <w:ind w:firstLine="0" w:firstLineChars="0"/>
    </w:pPr>
    <w:rPr>
      <w:rFonts w:ascii="Calibri" w:hAnsi="Calibri" w:eastAsia="宋体" w:cs="黑体"/>
      <w:color w:val="auto"/>
      <w:sz w:val="21"/>
      <w:szCs w:val="24"/>
    </w:rPr>
  </w:style>
  <w:style w:type="paragraph" w:customStyle="1" w:styleId="80">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mn-Mong-CN"/>
    </w:rPr>
  </w:style>
  <w:style w:type="character" w:customStyle="1" w:styleId="81">
    <w:name w:val="NormalCharacter"/>
    <w:uiPriority w:val="0"/>
  </w:style>
  <w:style w:type="paragraph" w:customStyle="1" w:styleId="82">
    <w:name w:val="正文-论文"/>
    <w:basedOn w:val="1"/>
    <w:link w:val="83"/>
    <w:qFormat/>
    <w:uiPriority w:val="99"/>
    <w:pPr>
      <w:snapToGrid/>
      <w:spacing w:before="156" w:beforeLines="50" w:after="156" w:afterLines="50" w:line="360" w:lineRule="auto"/>
      <w:ind w:firstLine="480"/>
    </w:pPr>
    <w:rPr>
      <w:rFonts w:eastAsia="宋体"/>
      <w:sz w:val="24"/>
      <w:szCs w:val="24"/>
    </w:rPr>
  </w:style>
  <w:style w:type="character" w:customStyle="1" w:styleId="83">
    <w:name w:val="正文-论文 字符"/>
    <w:link w:val="82"/>
    <w:qFormat/>
    <w:uiPriority w:val="99"/>
    <w:rPr>
      <w:color w:val="000000"/>
      <w:kern w:val="2"/>
      <w:sz w:val="24"/>
      <w:szCs w:val="24"/>
      <w:lang w:bidi="ar-SA"/>
    </w:rPr>
  </w:style>
  <w:style w:type="paragraph" w:styleId="84">
    <w:name w:val="List Paragraph"/>
    <w:basedOn w:val="1"/>
    <w:qFormat/>
    <w:uiPriority w:val="99"/>
    <w:pPr>
      <w:ind w:firstLine="420"/>
    </w:pPr>
  </w:style>
  <w:style w:type="paragraph" w:styleId="85">
    <w:name w:val="Quote"/>
    <w:basedOn w:val="1"/>
    <w:next w:val="1"/>
    <w:link w:val="86"/>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86">
    <w:name w:val="引用 字符"/>
    <w:basedOn w:val="27"/>
    <w:link w:val="85"/>
    <w:qFormat/>
    <w:uiPriority w:val="99"/>
    <w:rPr>
      <w:rFonts w:eastAsia="仿宋_GB2312"/>
      <w:i/>
      <w:iCs/>
      <w:color w:val="404040" w:themeColor="text1" w:themeTint="BF"/>
      <w:kern w:val="2"/>
      <w:sz w:val="32"/>
      <w:szCs w:val="32"/>
      <w:lang w:bidi="ar-SA"/>
      <w14:textFill>
        <w14:solidFill>
          <w14:schemeClr w14:val="tx1">
            <w14:lumMod w14:val="75000"/>
            <w14:lumOff w14:val="25000"/>
          </w14:schemeClr>
        </w14:solidFill>
      </w14:textFill>
    </w:rPr>
  </w:style>
  <w:style w:type="character" w:customStyle="1" w:styleId="87">
    <w:name w:val="未处理的提及1"/>
    <w:basedOn w:val="27"/>
    <w:semiHidden/>
    <w:unhideWhenUsed/>
    <w:qFormat/>
    <w:uiPriority w:val="99"/>
    <w:rPr>
      <w:color w:val="605E5C"/>
      <w:shd w:val="clear" w:color="auto" w:fill="E1DFDD"/>
    </w:rPr>
  </w:style>
  <w:style w:type="table" w:customStyle="1" w:styleId="88">
    <w:name w:val="网格型2"/>
    <w:basedOn w:val="25"/>
    <w:qFormat/>
    <w:uiPriority w:val="39"/>
    <w:rPr>
      <w:rFonts w:asciiTheme="minorHAnsi" w:hAnsiTheme="minorHAnsi" w:eastAsiaTheme="minorEastAsia" w:cstheme="minorBidi"/>
      <w:kern w:val="2"/>
      <w:sz w:val="21"/>
      <w:szCs w:val="22"/>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0"/>
    <w:basedOn w:val="25"/>
    <w:qFormat/>
    <w:uiPriority w:val="59"/>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411"/>
    <w:basedOn w:val="25"/>
    <w:qFormat/>
    <w:uiPriority w:val="39"/>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3"/>
    <w:basedOn w:val="25"/>
    <w:qFormat/>
    <w:uiPriority w:val="39"/>
    <w:rPr>
      <w:rFonts w:asciiTheme="minorHAnsi" w:hAnsiTheme="minorHAnsi" w:eastAsiaTheme="minorEastAsia" w:cstheme="minorBidi"/>
      <w:kern w:val="2"/>
      <w:sz w:val="21"/>
      <w:szCs w:val="22"/>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
    <w:name w:val="正文缩进1"/>
    <w:basedOn w:val="1"/>
    <w:qFormat/>
    <w:uiPriority w:val="0"/>
    <w:pPr>
      <w:snapToGrid/>
      <w:spacing w:line="240" w:lineRule="auto"/>
      <w:ind w:firstLine="420"/>
    </w:pPr>
    <w:rPr>
      <w:rFonts w:asciiTheme="minorHAnsi" w:hAnsiTheme="minorHAnsi" w:eastAsiaTheme="minorEastAsia" w:cstheme="minorBidi"/>
      <w:color w:val="auto"/>
      <w:sz w:val="21"/>
      <w:szCs w:val="24"/>
    </w:rPr>
  </w:style>
  <w:style w:type="paragraph" w:customStyle="1" w:styleId="93">
    <w:name w:val="样式2"/>
    <w:basedOn w:val="3"/>
    <w:link w:val="94"/>
    <w:qFormat/>
    <w:uiPriority w:val="0"/>
    <w:pPr>
      <w:snapToGrid/>
      <w:outlineLvl w:val="9"/>
    </w:pPr>
    <w:rPr>
      <w:rFonts w:eastAsia="仿宋_GB2312" w:cs="仿宋_GB2312"/>
    </w:rPr>
  </w:style>
  <w:style w:type="character" w:customStyle="1" w:styleId="94">
    <w:name w:val="样式2 字符"/>
    <w:basedOn w:val="36"/>
    <w:link w:val="93"/>
    <w:qFormat/>
    <w:uiPriority w:val="0"/>
    <w:rPr>
      <w:rFonts w:eastAsia="仿宋_GB2312" w:cs="仿宋_GB2312"/>
      <w:color w:val="000000"/>
      <w:kern w:val="2"/>
      <w:sz w:val="32"/>
      <w:szCs w:val="32"/>
      <w:lang w:bidi="ar-SA"/>
    </w:rPr>
  </w:style>
  <w:style w:type="table" w:customStyle="1" w:styleId="95">
    <w:name w:val="网格型4"/>
    <w:basedOn w:val="25"/>
    <w:qFormat/>
    <w:uiPriority w:val="59"/>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6"/>
    <w:basedOn w:val="25"/>
    <w:qFormat/>
    <w:uiPriority w:val="39"/>
    <w:rPr>
      <w:rFonts w:asciiTheme="minorHAnsi" w:hAnsiTheme="minorHAnsi" w:eastAsiaTheme="minorEastAsia" w:cstheme="minorBidi"/>
      <w:kern w:val="2"/>
      <w:sz w:val="21"/>
      <w:szCs w:val="22"/>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7">
    <w:name w:val="No Spacing"/>
    <w:qFormat/>
    <w:uiPriority w:val="1"/>
    <w:pPr>
      <w:widowControl w:val="0"/>
      <w:ind w:firstLine="200" w:firstLineChars="200"/>
      <w:jc w:val="both"/>
    </w:pPr>
    <w:rPr>
      <w:rFonts w:ascii="Times New Roman" w:hAnsi="Times New Roman" w:eastAsia="仿宋_GB2312" w:cstheme="minorBidi"/>
      <w:kern w:val="2"/>
      <w:sz w:val="32"/>
      <w:szCs w:val="22"/>
      <w:lang w:val="en-US" w:eastAsia="zh-CN" w:bidi="ar-SA"/>
    </w:rPr>
  </w:style>
  <w:style w:type="table" w:customStyle="1" w:styleId="98">
    <w:name w:val="网格型7"/>
    <w:basedOn w:val="25"/>
    <w:qFormat/>
    <w:uiPriority w:val="39"/>
    <w:rPr>
      <w:rFonts w:asciiTheme="minorHAnsi" w:hAnsiTheme="minorHAnsi" w:eastAsiaTheme="minorEastAsia" w:cstheme="minorBidi"/>
      <w:kern w:val="2"/>
      <w:sz w:val="21"/>
      <w:szCs w:val="22"/>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ng-binding"/>
    <w:basedOn w:val="27"/>
    <w:qFormat/>
    <w:uiPriority w:val="0"/>
  </w:style>
  <w:style w:type="paragraph" w:customStyle="1" w:styleId="100">
    <w:name w:val="Char Char2"/>
    <w:basedOn w:val="1"/>
    <w:qFormat/>
    <w:uiPriority w:val="0"/>
    <w:pPr>
      <w:snapToGrid/>
      <w:spacing w:line="240" w:lineRule="auto"/>
      <w:ind w:firstLine="0" w:firstLineChars="0"/>
    </w:pPr>
    <w:rPr>
      <w:rFonts w:ascii="宋体" w:hAnsi="宋体" w:eastAsia="宋体"/>
      <w:b/>
      <w:color w:val="auto"/>
      <w:sz w:val="28"/>
      <w:szCs w:val="28"/>
    </w:rPr>
  </w:style>
  <w:style w:type="character" w:customStyle="1" w:styleId="101">
    <w:name w:val="纯文本 字符1"/>
    <w:basedOn w:val="27"/>
    <w:semiHidden/>
    <w:qFormat/>
    <w:uiPriority w:val="99"/>
    <w:rPr>
      <w:rFonts w:hAnsi="Courier New" w:cs="Courier New" w:asciiTheme="minorEastAsia" w:eastAsiaTheme="minorEastAsia"/>
      <w:color w:val="000000"/>
      <w:kern w:val="2"/>
      <w:sz w:val="32"/>
      <w:szCs w:val="32"/>
      <w:lang w:bidi="ar-SA"/>
    </w:rPr>
  </w:style>
  <w:style w:type="paragraph" w:customStyle="1" w:styleId="102">
    <w:name w:val="msonormal"/>
    <w:basedOn w:val="1"/>
    <w:qFormat/>
    <w:uiPriority w:val="0"/>
    <w:pPr>
      <w:widowControl/>
      <w:snapToGrid/>
      <w:spacing w:before="100" w:beforeAutospacing="1" w:after="100" w:afterAutospacing="1" w:line="240" w:lineRule="auto"/>
      <w:ind w:firstLine="0" w:firstLineChars="0"/>
      <w:jc w:val="left"/>
    </w:pPr>
    <w:rPr>
      <w:rFonts w:ascii="宋体" w:hAnsi="宋体" w:eastAsia="宋体" w:cs="宋体"/>
      <w:color w:val="auto"/>
      <w:kern w:val="0"/>
      <w:sz w:val="24"/>
      <w:szCs w:val="24"/>
    </w:rPr>
  </w:style>
  <w:style w:type="paragraph" w:customStyle="1" w:styleId="103">
    <w:name w:val="font5"/>
    <w:basedOn w:val="1"/>
    <w:qFormat/>
    <w:uiPriority w:val="0"/>
    <w:pPr>
      <w:widowControl/>
      <w:snapToGrid/>
      <w:spacing w:before="100" w:beforeAutospacing="1" w:after="100" w:afterAutospacing="1" w:line="240" w:lineRule="auto"/>
      <w:ind w:firstLine="0" w:firstLineChars="0"/>
      <w:jc w:val="left"/>
    </w:pPr>
    <w:rPr>
      <w:rFonts w:ascii="仿宋_GB2312" w:hAnsi="宋体" w:cs="宋体"/>
      <w:color w:val="auto"/>
      <w:kern w:val="0"/>
      <w:sz w:val="24"/>
      <w:szCs w:val="24"/>
    </w:rPr>
  </w:style>
  <w:style w:type="paragraph" w:customStyle="1" w:styleId="104">
    <w:name w:val="font6"/>
    <w:basedOn w:val="1"/>
    <w:qFormat/>
    <w:uiPriority w:val="0"/>
    <w:pPr>
      <w:widowControl/>
      <w:snapToGrid/>
      <w:spacing w:before="100" w:beforeAutospacing="1" w:after="100" w:afterAutospacing="1" w:line="240" w:lineRule="auto"/>
      <w:ind w:firstLine="0" w:firstLineChars="0"/>
      <w:jc w:val="left"/>
    </w:pPr>
    <w:rPr>
      <w:rFonts w:ascii="宋体" w:hAnsi="宋体" w:eastAsia="宋体" w:cs="宋体"/>
      <w:color w:val="auto"/>
      <w:kern w:val="0"/>
      <w:sz w:val="24"/>
      <w:szCs w:val="24"/>
    </w:rPr>
  </w:style>
  <w:style w:type="paragraph" w:customStyle="1" w:styleId="105">
    <w:name w:val="xl66"/>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color w:val="auto"/>
      <w:kern w:val="0"/>
      <w:sz w:val="24"/>
      <w:szCs w:val="24"/>
    </w:rPr>
  </w:style>
  <w:style w:type="paragraph" w:customStyle="1" w:styleId="106">
    <w:name w:val="xl67"/>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b/>
      <w:bCs/>
      <w:color w:val="auto"/>
      <w:kern w:val="0"/>
      <w:sz w:val="24"/>
      <w:szCs w:val="24"/>
    </w:rPr>
  </w:style>
  <w:style w:type="paragraph" w:customStyle="1" w:styleId="107">
    <w:name w:val="xl68"/>
    <w:basedOn w:val="1"/>
    <w:qFormat/>
    <w:uiPriority w:val="0"/>
    <w:pPr>
      <w:widowControl/>
      <w:snapToGrid/>
      <w:spacing w:before="100" w:beforeAutospacing="1" w:after="100" w:afterAutospacing="1" w:line="240" w:lineRule="auto"/>
      <w:ind w:firstLine="0" w:firstLineChars="0"/>
      <w:jc w:val="center"/>
    </w:pPr>
    <w:rPr>
      <w:rFonts w:ascii="宋体" w:hAnsi="宋体" w:eastAsia="宋体" w:cs="宋体"/>
      <w:color w:val="auto"/>
      <w:kern w:val="0"/>
      <w:sz w:val="24"/>
      <w:szCs w:val="24"/>
    </w:rPr>
  </w:style>
  <w:style w:type="paragraph" w:customStyle="1" w:styleId="108">
    <w:name w:val="xl69"/>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宋体" w:hAnsi="宋体" w:eastAsia="宋体" w:cs="宋体"/>
      <w:color w:val="auto"/>
      <w:kern w:val="0"/>
      <w:sz w:val="24"/>
      <w:szCs w:val="24"/>
    </w:rPr>
  </w:style>
  <w:style w:type="paragraph" w:customStyle="1" w:styleId="109">
    <w:name w:val="xl70"/>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宋体" w:hAnsi="宋体" w:eastAsia="宋体" w:cs="宋体"/>
      <w:color w:val="auto"/>
      <w:kern w:val="0"/>
      <w:sz w:val="24"/>
      <w:szCs w:val="24"/>
    </w:rPr>
  </w:style>
  <w:style w:type="paragraph" w:customStyle="1" w:styleId="110">
    <w:name w:val="xl71"/>
    <w:basedOn w:val="1"/>
    <w:qFormat/>
    <w:uiPriority w:val="0"/>
    <w:pPr>
      <w:widowControl/>
      <w:snapToGrid/>
      <w:spacing w:before="100" w:beforeAutospacing="1" w:after="100" w:afterAutospacing="1" w:line="240" w:lineRule="auto"/>
      <w:ind w:firstLine="0" w:firstLineChars="0"/>
      <w:jc w:val="center"/>
    </w:pPr>
    <w:rPr>
      <w:rFonts w:ascii="宋体" w:hAnsi="宋体" w:eastAsia="宋体" w:cs="宋体"/>
      <w:b/>
      <w:bCs/>
      <w:color w:val="auto"/>
      <w:kern w:val="0"/>
      <w:sz w:val="36"/>
      <w:szCs w:val="36"/>
    </w:rPr>
  </w:style>
  <w:style w:type="paragraph" w:customStyle="1" w:styleId="111">
    <w:name w:val="xl72"/>
    <w:basedOn w:val="1"/>
    <w:qFormat/>
    <w:uiPriority w:val="0"/>
    <w:pPr>
      <w:widowControl/>
      <w:pBdr>
        <w:top w:val="single" w:color="auto" w:sz="4" w:space="0"/>
        <w:left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color w:val="auto"/>
      <w:kern w:val="0"/>
      <w:sz w:val="24"/>
      <w:szCs w:val="24"/>
    </w:rPr>
  </w:style>
  <w:style w:type="paragraph" w:customStyle="1" w:styleId="112">
    <w:name w:val="xl73"/>
    <w:basedOn w:val="1"/>
    <w:qFormat/>
    <w:uiPriority w:val="0"/>
    <w:pPr>
      <w:widowControl/>
      <w:pBdr>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color w:val="auto"/>
      <w:kern w:val="0"/>
      <w:sz w:val="24"/>
      <w:szCs w:val="24"/>
    </w:rPr>
  </w:style>
  <w:style w:type="paragraph" w:customStyle="1" w:styleId="113">
    <w:name w:val="xl74"/>
    <w:basedOn w:val="1"/>
    <w:qFormat/>
    <w:uiPriority w:val="0"/>
    <w:pPr>
      <w:widowControl/>
      <w:pBdr>
        <w:left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color w:val="auto"/>
      <w:kern w:val="0"/>
      <w:sz w:val="24"/>
      <w:szCs w:val="24"/>
    </w:rPr>
  </w:style>
  <w:style w:type="paragraph" w:customStyle="1" w:styleId="114">
    <w:name w:val="xl75"/>
    <w:basedOn w:val="1"/>
    <w:qFormat/>
    <w:uiPriority w:val="0"/>
    <w:pPr>
      <w:widowControl/>
      <w:pBdr>
        <w:top w:val="single" w:color="auto" w:sz="4" w:space="0"/>
        <w:left w:val="single" w:color="auto" w:sz="4" w:space="0"/>
        <w:right w:val="single" w:color="auto" w:sz="4" w:space="0"/>
      </w:pBdr>
      <w:snapToGrid/>
      <w:spacing w:before="100" w:beforeAutospacing="1" w:after="100" w:afterAutospacing="1" w:line="240" w:lineRule="auto"/>
      <w:ind w:firstLine="0" w:firstLineChars="0"/>
      <w:jc w:val="center"/>
    </w:pPr>
    <w:rPr>
      <w:rFonts w:ascii="宋体" w:hAnsi="宋体" w:eastAsia="宋体" w:cs="宋体"/>
      <w:color w:val="auto"/>
      <w:kern w:val="0"/>
      <w:sz w:val="24"/>
      <w:szCs w:val="24"/>
    </w:rPr>
  </w:style>
  <w:style w:type="paragraph" w:customStyle="1" w:styleId="115">
    <w:name w:val="xl76"/>
    <w:basedOn w:val="1"/>
    <w:qFormat/>
    <w:uiPriority w:val="0"/>
    <w:pPr>
      <w:widowControl/>
      <w:pBdr>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宋体" w:hAnsi="宋体" w:eastAsia="宋体" w:cs="宋体"/>
      <w:color w:val="auto"/>
      <w:kern w:val="0"/>
      <w:sz w:val="24"/>
      <w:szCs w:val="24"/>
    </w:rPr>
  </w:style>
  <w:style w:type="paragraph" w:customStyle="1" w:styleId="116">
    <w:name w:val="xl77"/>
    <w:basedOn w:val="1"/>
    <w:qFormat/>
    <w:uiPriority w:val="0"/>
    <w:pPr>
      <w:widowControl/>
      <w:pBdr>
        <w:left w:val="single" w:color="auto" w:sz="4" w:space="0"/>
        <w:right w:val="single" w:color="auto" w:sz="4" w:space="0"/>
      </w:pBdr>
      <w:snapToGrid/>
      <w:spacing w:before="100" w:beforeAutospacing="1" w:after="100" w:afterAutospacing="1" w:line="240" w:lineRule="auto"/>
      <w:ind w:firstLine="0" w:firstLineChars="0"/>
      <w:jc w:val="center"/>
    </w:pPr>
    <w:rPr>
      <w:rFonts w:ascii="宋体" w:hAnsi="宋体" w:eastAsia="宋体" w:cs="宋体"/>
      <w:color w:val="auto"/>
      <w:kern w:val="0"/>
      <w:sz w:val="24"/>
      <w:szCs w:val="24"/>
    </w:rPr>
  </w:style>
  <w:style w:type="paragraph" w:customStyle="1" w:styleId="117">
    <w:name w:val="font7"/>
    <w:basedOn w:val="1"/>
    <w:qFormat/>
    <w:uiPriority w:val="0"/>
    <w:pPr>
      <w:widowControl/>
      <w:snapToGrid/>
      <w:spacing w:before="100" w:beforeAutospacing="1" w:after="100" w:afterAutospacing="1" w:line="240" w:lineRule="auto"/>
      <w:ind w:firstLine="0" w:firstLineChars="0"/>
      <w:jc w:val="left"/>
    </w:pPr>
    <w:rPr>
      <w:rFonts w:ascii="Arial" w:hAnsi="Arial" w:eastAsia="宋体" w:cs="Arial"/>
      <w:kern w:val="0"/>
      <w:sz w:val="22"/>
      <w:szCs w:val="22"/>
    </w:rPr>
  </w:style>
  <w:style w:type="paragraph" w:customStyle="1" w:styleId="118">
    <w:name w:val="xl65"/>
    <w:basedOn w:val="1"/>
    <w:qFormat/>
    <w:uiPriority w:val="0"/>
    <w:pPr>
      <w:widowControl/>
      <w:snapToGrid/>
      <w:spacing w:before="100" w:beforeAutospacing="1" w:after="100" w:afterAutospacing="1" w:line="240" w:lineRule="auto"/>
      <w:ind w:firstLine="0" w:firstLineChars="0"/>
      <w:jc w:val="center"/>
    </w:pPr>
    <w:rPr>
      <w:rFonts w:ascii="宋体" w:hAnsi="宋体" w:eastAsia="宋体" w:cs="宋体"/>
      <w:color w:val="auto"/>
      <w:kern w:val="0"/>
      <w:sz w:val="24"/>
      <w:szCs w:val="24"/>
    </w:rPr>
  </w:style>
  <w:style w:type="paragraph" w:customStyle="1" w:styleId="119">
    <w:name w:val="font8"/>
    <w:basedOn w:val="1"/>
    <w:qFormat/>
    <w:uiPriority w:val="0"/>
    <w:pPr>
      <w:widowControl/>
      <w:snapToGrid/>
      <w:spacing w:before="100" w:beforeAutospacing="1" w:after="100" w:afterAutospacing="1" w:line="240" w:lineRule="auto"/>
      <w:ind w:firstLine="0" w:firstLineChars="0"/>
      <w:jc w:val="left"/>
    </w:pPr>
    <w:rPr>
      <w:rFonts w:ascii="Arial" w:hAnsi="Arial" w:eastAsia="宋体" w:cs="Arial"/>
      <w:color w:val="auto"/>
      <w:kern w:val="0"/>
      <w:sz w:val="22"/>
      <w:szCs w:val="22"/>
    </w:rPr>
  </w:style>
  <w:style w:type="paragraph" w:customStyle="1" w:styleId="120">
    <w:name w:val="xl120"/>
    <w:basedOn w:val="1"/>
    <w:qFormat/>
    <w:uiPriority w:val="0"/>
    <w:pPr>
      <w:widowControl/>
      <w:snapToGrid/>
      <w:spacing w:before="100" w:beforeAutospacing="1" w:after="100" w:afterAutospacing="1" w:line="240" w:lineRule="auto"/>
      <w:ind w:firstLine="0" w:firstLineChars="0"/>
      <w:jc w:val="left"/>
      <w:textAlignment w:val="top"/>
    </w:pPr>
    <w:rPr>
      <w:rFonts w:ascii="宋体" w:hAnsi="宋体" w:eastAsia="宋体" w:cs="宋体"/>
      <w:color w:val="auto"/>
      <w:kern w:val="0"/>
      <w:sz w:val="24"/>
      <w:szCs w:val="24"/>
    </w:rPr>
  </w:style>
  <w:style w:type="paragraph" w:customStyle="1" w:styleId="121">
    <w:name w:val="xl121"/>
    <w:basedOn w:val="1"/>
    <w:qFormat/>
    <w:uiPriority w:val="0"/>
    <w:pPr>
      <w:widowControl/>
      <w:snapToGrid/>
      <w:spacing w:before="100" w:beforeAutospacing="1" w:after="100" w:afterAutospacing="1" w:line="240" w:lineRule="auto"/>
      <w:ind w:firstLine="0" w:firstLineChars="0"/>
      <w:jc w:val="left"/>
    </w:pPr>
    <w:rPr>
      <w:rFonts w:ascii="宋体" w:hAnsi="宋体" w:eastAsia="宋体" w:cs="宋体"/>
      <w:b/>
      <w:bCs/>
      <w:color w:val="auto"/>
      <w:kern w:val="0"/>
      <w:sz w:val="24"/>
      <w:szCs w:val="24"/>
    </w:rPr>
  </w:style>
  <w:style w:type="paragraph" w:customStyle="1" w:styleId="122">
    <w:name w:val="xl122"/>
    <w:basedOn w:val="1"/>
    <w:qFormat/>
    <w:uiPriority w:val="0"/>
    <w:pPr>
      <w:widowControl/>
      <w:snapToGrid/>
      <w:spacing w:before="100" w:beforeAutospacing="1" w:after="100" w:afterAutospacing="1" w:line="240" w:lineRule="auto"/>
      <w:ind w:firstLine="0" w:firstLineChars="0"/>
      <w:jc w:val="left"/>
    </w:pPr>
    <w:rPr>
      <w:rFonts w:ascii="宋体" w:hAnsi="宋体" w:eastAsia="宋体" w:cs="宋体"/>
      <w:color w:val="auto"/>
      <w:kern w:val="0"/>
      <w:sz w:val="24"/>
      <w:szCs w:val="24"/>
    </w:rPr>
  </w:style>
  <w:style w:type="paragraph" w:customStyle="1" w:styleId="123">
    <w:name w:val="xl123"/>
    <w:basedOn w:val="1"/>
    <w:qFormat/>
    <w:uiPriority w:val="0"/>
    <w:pPr>
      <w:widowControl/>
      <w:snapToGrid/>
      <w:spacing w:before="100" w:beforeAutospacing="1" w:after="100" w:afterAutospacing="1" w:line="240" w:lineRule="auto"/>
      <w:ind w:firstLine="0" w:firstLineChars="0"/>
      <w:jc w:val="center"/>
    </w:pPr>
    <w:rPr>
      <w:rFonts w:ascii="宋体" w:hAnsi="宋体" w:eastAsia="宋体" w:cs="宋体"/>
      <w:color w:val="auto"/>
      <w:kern w:val="0"/>
      <w:sz w:val="24"/>
      <w:szCs w:val="24"/>
    </w:rPr>
  </w:style>
  <w:style w:type="paragraph" w:customStyle="1" w:styleId="124">
    <w:name w:val="xl124"/>
    <w:basedOn w:val="1"/>
    <w:qFormat/>
    <w:uiPriority w:val="0"/>
    <w:pPr>
      <w:widowControl/>
      <w:snapToGrid/>
      <w:spacing w:before="100" w:beforeAutospacing="1" w:after="100" w:afterAutospacing="1" w:line="240" w:lineRule="auto"/>
      <w:ind w:firstLine="0" w:firstLineChars="0"/>
      <w:jc w:val="center"/>
    </w:pPr>
    <w:rPr>
      <w:rFonts w:ascii="宋体" w:hAnsi="宋体" w:eastAsia="宋体" w:cs="宋体"/>
      <w:color w:val="auto"/>
      <w:kern w:val="0"/>
      <w:sz w:val="24"/>
      <w:szCs w:val="24"/>
    </w:rPr>
  </w:style>
  <w:style w:type="paragraph" w:customStyle="1" w:styleId="125">
    <w:name w:val="xl125"/>
    <w:basedOn w:val="1"/>
    <w:qFormat/>
    <w:uiPriority w:val="0"/>
    <w:pPr>
      <w:widowControl/>
      <w:snapToGrid/>
      <w:spacing w:before="100" w:beforeAutospacing="1" w:after="100" w:afterAutospacing="1" w:line="240" w:lineRule="auto"/>
      <w:ind w:firstLine="0" w:firstLineChars="0"/>
    </w:pPr>
    <w:rPr>
      <w:rFonts w:ascii="宋体" w:hAnsi="宋体" w:eastAsia="宋体" w:cs="宋体"/>
      <w:color w:val="auto"/>
      <w:kern w:val="0"/>
      <w:sz w:val="24"/>
      <w:szCs w:val="24"/>
    </w:rPr>
  </w:style>
  <w:style w:type="paragraph" w:customStyle="1" w:styleId="126">
    <w:name w:val="xl126"/>
    <w:basedOn w:val="1"/>
    <w:qFormat/>
    <w:uiPriority w:val="0"/>
    <w:pPr>
      <w:widowControl/>
      <w:pBdr>
        <w:top w:val="single" w:color="auto" w:sz="4" w:space="0"/>
        <w:left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b/>
      <w:bCs/>
      <w:color w:val="auto"/>
      <w:kern w:val="0"/>
      <w:sz w:val="24"/>
      <w:szCs w:val="24"/>
    </w:rPr>
  </w:style>
  <w:style w:type="paragraph" w:customStyle="1" w:styleId="127">
    <w:name w:val="xl127"/>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left"/>
    </w:pPr>
    <w:rPr>
      <w:rFonts w:ascii="仿宋_GB2312" w:hAnsi="宋体" w:cs="宋体"/>
      <w:color w:val="auto"/>
      <w:kern w:val="0"/>
      <w:sz w:val="24"/>
      <w:szCs w:val="24"/>
    </w:rPr>
  </w:style>
  <w:style w:type="paragraph" w:customStyle="1" w:styleId="128">
    <w:name w:val="xl128"/>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color w:val="auto"/>
      <w:kern w:val="0"/>
      <w:sz w:val="24"/>
      <w:szCs w:val="24"/>
    </w:rPr>
  </w:style>
  <w:style w:type="paragraph" w:customStyle="1" w:styleId="129">
    <w:name w:val="xl129"/>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color w:val="auto"/>
      <w:kern w:val="0"/>
      <w:sz w:val="24"/>
      <w:szCs w:val="24"/>
    </w:rPr>
  </w:style>
  <w:style w:type="paragraph" w:customStyle="1" w:styleId="130">
    <w:name w:val="xl130"/>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color w:val="auto"/>
      <w:kern w:val="0"/>
      <w:sz w:val="24"/>
      <w:szCs w:val="24"/>
    </w:rPr>
  </w:style>
  <w:style w:type="paragraph" w:customStyle="1" w:styleId="131">
    <w:name w:val="xl131"/>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color w:val="auto"/>
      <w:kern w:val="0"/>
      <w:sz w:val="24"/>
      <w:szCs w:val="24"/>
    </w:rPr>
  </w:style>
  <w:style w:type="paragraph" w:customStyle="1" w:styleId="132">
    <w:name w:val="xl132"/>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pPr>
    <w:rPr>
      <w:rFonts w:ascii="仿宋_GB2312" w:hAnsi="宋体" w:cs="宋体"/>
      <w:color w:val="auto"/>
      <w:kern w:val="0"/>
      <w:sz w:val="24"/>
      <w:szCs w:val="24"/>
    </w:rPr>
  </w:style>
  <w:style w:type="paragraph" w:customStyle="1" w:styleId="133">
    <w:name w:val="xl133"/>
    <w:basedOn w:val="1"/>
    <w:qFormat/>
    <w:uiPriority w:val="0"/>
    <w:pPr>
      <w:widowControl/>
      <w:snapToGrid/>
      <w:spacing w:before="100" w:beforeAutospacing="1" w:after="100" w:afterAutospacing="1" w:line="240" w:lineRule="auto"/>
      <w:ind w:firstLine="0" w:firstLineChars="0"/>
      <w:jc w:val="center"/>
    </w:pPr>
    <w:rPr>
      <w:rFonts w:ascii="方正小标宋简体" w:hAnsi="宋体" w:eastAsia="方正小标宋简体" w:cs="宋体"/>
      <w:color w:val="auto"/>
      <w:kern w:val="0"/>
    </w:rPr>
  </w:style>
  <w:style w:type="paragraph" w:customStyle="1" w:styleId="134">
    <w:name w:val="xl134"/>
    <w:basedOn w:val="1"/>
    <w:qFormat/>
    <w:uiPriority w:val="0"/>
    <w:pPr>
      <w:widowControl/>
      <w:snapToGrid/>
      <w:spacing w:before="100" w:beforeAutospacing="1" w:after="100" w:afterAutospacing="1" w:line="240" w:lineRule="auto"/>
      <w:ind w:firstLine="0" w:firstLineChars="0"/>
      <w:jc w:val="center"/>
    </w:pPr>
    <w:rPr>
      <w:rFonts w:ascii="方正小标宋简体" w:hAnsi="宋体" w:eastAsia="方正小标宋简体" w:cs="宋体"/>
      <w:b/>
      <w:bCs/>
      <w:color w:val="auto"/>
      <w:kern w:val="0"/>
    </w:rPr>
  </w:style>
  <w:style w:type="paragraph" w:customStyle="1" w:styleId="135">
    <w:name w:val="xl135"/>
    <w:basedOn w:val="1"/>
    <w:qFormat/>
    <w:uiPriority w:val="0"/>
    <w:pPr>
      <w:widowControl/>
      <w:snapToGrid/>
      <w:spacing w:before="100" w:beforeAutospacing="1" w:after="100" w:afterAutospacing="1" w:line="240" w:lineRule="auto"/>
      <w:ind w:firstLine="0" w:firstLineChars="0"/>
    </w:pPr>
    <w:rPr>
      <w:rFonts w:ascii="方正小标宋简体" w:hAnsi="宋体" w:eastAsia="方正小标宋简体" w:cs="宋体"/>
      <w:b/>
      <w:bCs/>
      <w:color w:val="auto"/>
      <w:kern w:val="0"/>
    </w:rPr>
  </w:style>
  <w:style w:type="paragraph" w:customStyle="1" w:styleId="136">
    <w:name w:val="xl136"/>
    <w:basedOn w:val="1"/>
    <w:qFormat/>
    <w:uiPriority w:val="0"/>
    <w:pPr>
      <w:widowControl/>
      <w:snapToGrid/>
      <w:spacing w:before="100" w:beforeAutospacing="1" w:after="100" w:afterAutospacing="1" w:line="240" w:lineRule="auto"/>
      <w:ind w:firstLine="0" w:firstLineChars="0"/>
    </w:pPr>
    <w:rPr>
      <w:rFonts w:ascii="仿宋_GB2312" w:hAnsi="宋体" w:cs="宋体"/>
      <w:color w:val="auto"/>
      <w:kern w:val="0"/>
      <w:sz w:val="24"/>
      <w:szCs w:val="24"/>
    </w:rPr>
  </w:style>
  <w:style w:type="paragraph" w:customStyle="1" w:styleId="137">
    <w:name w:val="xl137"/>
    <w:basedOn w:val="1"/>
    <w:qFormat/>
    <w:uiPriority w:val="0"/>
    <w:pPr>
      <w:widowControl/>
      <w:snapToGrid/>
      <w:spacing w:before="100" w:beforeAutospacing="1" w:after="100" w:afterAutospacing="1" w:line="240" w:lineRule="auto"/>
      <w:ind w:firstLine="0" w:firstLineChars="0"/>
      <w:jc w:val="center"/>
    </w:pPr>
    <w:rPr>
      <w:rFonts w:ascii="仿宋_GB2312" w:hAnsi="宋体" w:cs="宋体"/>
      <w:color w:val="auto"/>
      <w:kern w:val="0"/>
      <w:sz w:val="24"/>
      <w:szCs w:val="24"/>
    </w:rPr>
  </w:style>
  <w:style w:type="paragraph" w:customStyle="1" w:styleId="138">
    <w:name w:val="xl138"/>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b/>
      <w:bCs/>
      <w:color w:val="auto"/>
      <w:kern w:val="0"/>
      <w:sz w:val="24"/>
      <w:szCs w:val="24"/>
    </w:rPr>
  </w:style>
  <w:style w:type="paragraph" w:customStyle="1" w:styleId="139">
    <w:name w:val="xl139"/>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left"/>
    </w:pPr>
    <w:rPr>
      <w:rFonts w:ascii="楷体_GB2312" w:hAnsi="宋体" w:eastAsia="楷体_GB2312" w:cs="宋体"/>
      <w:color w:val="auto"/>
      <w:kern w:val="0"/>
      <w:sz w:val="24"/>
      <w:szCs w:val="24"/>
    </w:rPr>
  </w:style>
  <w:style w:type="paragraph" w:customStyle="1" w:styleId="140">
    <w:name w:val="xl140"/>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left"/>
    </w:pPr>
    <w:rPr>
      <w:rFonts w:ascii="宋体" w:hAnsi="宋体" w:eastAsia="宋体" w:cs="宋体"/>
      <w:color w:val="auto"/>
      <w:kern w:val="0"/>
      <w:sz w:val="24"/>
      <w:szCs w:val="24"/>
    </w:rPr>
  </w:style>
  <w:style w:type="paragraph" w:customStyle="1" w:styleId="141">
    <w:name w:val="xl141"/>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pPr>
    <w:rPr>
      <w:rFonts w:ascii="宋体" w:hAnsi="宋体" w:eastAsia="宋体" w:cs="宋体"/>
      <w:color w:val="auto"/>
      <w:kern w:val="0"/>
      <w:sz w:val="24"/>
      <w:szCs w:val="24"/>
    </w:rPr>
  </w:style>
  <w:style w:type="paragraph" w:customStyle="1" w:styleId="142">
    <w:name w:val="xl142"/>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b/>
      <w:bCs/>
      <w:color w:val="auto"/>
      <w:kern w:val="0"/>
      <w:sz w:val="24"/>
      <w:szCs w:val="24"/>
    </w:rPr>
  </w:style>
  <w:style w:type="paragraph" w:customStyle="1" w:styleId="143">
    <w:name w:val="xl143"/>
    <w:basedOn w:val="1"/>
    <w:qFormat/>
    <w:uiPriority w:val="0"/>
    <w:pPr>
      <w:widowControl/>
      <w:pBdr>
        <w:left w:val="single" w:color="auto" w:sz="4" w:space="0"/>
        <w:right w:val="single" w:color="auto" w:sz="4" w:space="0"/>
      </w:pBdr>
      <w:snapToGrid/>
      <w:spacing w:before="100" w:beforeAutospacing="1" w:after="100" w:afterAutospacing="1" w:line="240" w:lineRule="auto"/>
      <w:ind w:firstLine="0" w:firstLineChars="0"/>
      <w:jc w:val="center"/>
    </w:pPr>
    <w:rPr>
      <w:rFonts w:ascii="仿宋_GB2312" w:hAnsi="宋体" w:cs="宋体"/>
      <w:b/>
      <w:bCs/>
      <w:color w:val="auto"/>
      <w:kern w:val="0"/>
      <w:sz w:val="24"/>
      <w:szCs w:val="24"/>
    </w:rPr>
  </w:style>
  <w:style w:type="paragraph" w:customStyle="1" w:styleId="144">
    <w:name w:val="Revision"/>
    <w:hidden/>
    <w:semiHidden/>
    <w:qFormat/>
    <w:uiPriority w:val="99"/>
    <w:rPr>
      <w:rFonts w:ascii="Times New Roman" w:hAnsi="Times New Roman" w:eastAsia="仿宋_GB2312" w:cs="Times New Roman"/>
      <w:color w:val="000000"/>
      <w:kern w:val="2"/>
      <w:sz w:val="32"/>
      <w:szCs w:val="32"/>
      <w:lang w:val="en-US" w:eastAsia="zh-CN" w:bidi="ar-SA"/>
    </w:rPr>
  </w:style>
  <w:style w:type="paragraph" w:customStyle="1" w:styleId="145">
    <w:name w:val="TOC Heading"/>
    <w:basedOn w:val="2"/>
    <w:next w:val="1"/>
    <w:unhideWhenUsed/>
    <w:qFormat/>
    <w:uiPriority w:val="39"/>
    <w:pPr>
      <w:keepNext/>
      <w:keepLines/>
      <w:widowControl/>
      <w:snapToGrid/>
      <w:spacing w:before="240" w:line="259" w:lineRule="auto"/>
      <w:outlineLvl w:val="9"/>
    </w:pPr>
    <w:rPr>
      <w:rFonts w:asciiTheme="majorHAnsi" w:hAnsiTheme="majorHAnsi" w:eastAsiaTheme="majorEastAsia" w:cstheme="majorBidi"/>
      <w:color w:val="2F5597" w:themeColor="accent1" w:themeShade="BF"/>
      <w:kern w:val="0"/>
      <w:lang w:val="en-US"/>
    </w:rPr>
  </w:style>
  <w:style w:type="character" w:customStyle="1" w:styleId="146">
    <w:name w:val="Unresolved Mention"/>
    <w:basedOn w:val="27"/>
    <w:semiHidden/>
    <w:unhideWhenUsed/>
    <w:qFormat/>
    <w:uiPriority w:val="99"/>
    <w:rPr>
      <w:color w:val="605E5C"/>
      <w:shd w:val="clear" w:color="auto" w:fill="E1DFDD"/>
    </w:rPr>
  </w:style>
  <w:style w:type="character" w:customStyle="1" w:styleId="147">
    <w:name w:val="尾注文本 字符"/>
    <w:basedOn w:val="27"/>
    <w:link w:val="14"/>
    <w:semiHidden/>
    <w:qFormat/>
    <w:uiPriority w:val="99"/>
    <w:rPr>
      <w:rFonts w:eastAsia="仿宋_GB2312"/>
      <w:color w:val="000000"/>
      <w:kern w:val="2"/>
      <w:sz w:val="32"/>
      <w:szCs w:val="32"/>
      <w:lang w:bidi="ar-SA"/>
    </w:rPr>
  </w:style>
  <w:style w:type="character" w:customStyle="1" w:styleId="148">
    <w:name w:val="style4"/>
    <w:basedOn w:val="27"/>
    <w:qFormat/>
    <w:uiPriority w:val="0"/>
  </w:style>
  <w:style w:type="paragraph" w:customStyle="1" w:styleId="149">
    <w:name w:val="标题4"/>
    <w:basedOn w:val="18"/>
    <w:link w:val="150"/>
    <w:qFormat/>
    <w:uiPriority w:val="0"/>
    <w:pPr>
      <w:spacing w:line="560" w:lineRule="exact"/>
      <w:ind w:firstLine="643" w:firstLineChars="200"/>
      <w:outlineLvl w:val="3"/>
    </w:pPr>
    <w:rPr>
      <w:sz w:val="32"/>
      <w:szCs w:val="32"/>
      <w:lang w:val="zh-CN"/>
    </w:rPr>
  </w:style>
  <w:style w:type="character" w:customStyle="1" w:styleId="150">
    <w:name w:val="标题4 字符"/>
    <w:basedOn w:val="44"/>
    <w:link w:val="149"/>
    <w:qFormat/>
    <w:uiPriority w:val="0"/>
    <w:rPr>
      <w:rFonts w:eastAsia="仿宋_GB2312"/>
      <w:color w:val="000000"/>
      <w:kern w:val="2"/>
      <w:sz w:val="32"/>
      <w:szCs w:val="32"/>
      <w:lang w:val="zh-CN" w:bidi="ar-SA"/>
    </w:rPr>
  </w:style>
  <w:style w:type="paragraph" w:customStyle="1" w:styleId="151">
    <w:name w:val="ZW"/>
    <w:basedOn w:val="84"/>
    <w:qFormat/>
    <w:uiPriority w:val="0"/>
    <w:pPr>
      <w:adjustRightInd w:val="0"/>
      <w:spacing w:line="240" w:lineRule="auto"/>
      <w:ind w:firstLine="200"/>
    </w:pPr>
    <w:rPr>
      <w:rFonts w:ascii="Calibri" w:hAnsi="Calibri" w:eastAsia="宋体" w:cs="宋体"/>
      <w:kern w:val="0"/>
      <w:sz w:val="21"/>
    </w:rPr>
  </w:style>
  <w:style w:type="character" w:customStyle="1" w:styleId="152">
    <w:name w:val="fontstyle21"/>
    <w:basedOn w:val="27"/>
    <w:qFormat/>
    <w:uiPriority w:val="0"/>
    <w:rPr>
      <w:rFonts w:hint="eastAsia" w:ascii="仿宋_GB2312" w:eastAsia="仿宋_GB2312"/>
      <w:color w:val="000000"/>
      <w:sz w:val="32"/>
      <w:szCs w:val="32"/>
    </w:rPr>
  </w:style>
  <w:style w:type="paragraph" w:customStyle="1" w:styleId="153">
    <w:name w:val="WPSOffice手动目录 1"/>
    <w:qFormat/>
    <w:uiPriority w:val="0"/>
    <w:rPr>
      <w:rFonts w:ascii="Times New Roman" w:hAnsi="Times New Roman" w:eastAsia="宋体" w:cs="Times New Roman"/>
      <w:lang w:val="en-US" w:eastAsia="zh-CN" w:bidi="ar-SA"/>
    </w:rPr>
  </w:style>
  <w:style w:type="paragraph" w:customStyle="1" w:styleId="154">
    <w:name w:val="专栏文字"/>
    <w:basedOn w:val="75"/>
    <w:link w:val="155"/>
    <w:qFormat/>
    <w:uiPriority w:val="0"/>
    <w:pPr>
      <w:spacing w:before="217" w:beforeLines="50" w:after="217" w:afterLines="50"/>
      <w:jc w:val="both"/>
    </w:pPr>
    <w:rPr>
      <w:b w:val="0"/>
      <w:bCs/>
      <w:sz w:val="24"/>
      <w:szCs w:val="28"/>
    </w:rPr>
  </w:style>
  <w:style w:type="character" w:customStyle="1" w:styleId="155">
    <w:name w:val="专栏文字 字符"/>
    <w:basedOn w:val="76"/>
    <w:link w:val="154"/>
    <w:qFormat/>
    <w:uiPriority w:val="0"/>
    <w:rPr>
      <w:rFonts w:eastAsia="仿宋_GB2312" w:cstheme="minorBidi"/>
      <w:b w:val="0"/>
      <w:bCs/>
      <w:kern w:val="2"/>
      <w:sz w:val="24"/>
      <w:szCs w:val="28"/>
      <w:lang w:bidi="ar-SA"/>
    </w:rPr>
  </w:style>
  <w:style w:type="character" w:customStyle="1" w:styleId="156">
    <w:name w:val="副标题 字符"/>
    <w:basedOn w:val="27"/>
    <w:link w:val="19"/>
    <w:qFormat/>
    <w:uiPriority w:val="11"/>
    <w:rPr>
      <w:rFonts w:asciiTheme="minorHAnsi" w:hAnsiTheme="minorHAnsi" w:eastAsiaTheme="minorEastAsia" w:cstheme="minorBidi"/>
      <w:b/>
      <w:bCs/>
      <w:color w:val="000000"/>
      <w:kern w:val="28"/>
      <w:sz w:val="32"/>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4437E-2E84-4557-9CDB-C3367F6773C4}">
  <ds:schemaRefs/>
</ds:datastoreItem>
</file>

<file path=docProps/app.xml><?xml version="1.0" encoding="utf-8"?>
<Properties xmlns="http://schemas.openxmlformats.org/officeDocument/2006/extended-properties" xmlns:vt="http://schemas.openxmlformats.org/officeDocument/2006/docPropsVTypes">
  <Template>Normal.dotm</Template>
  <Pages>68</Pages>
  <Words>6040</Words>
  <Characters>34433</Characters>
  <Lines>286</Lines>
  <Paragraphs>80</Paragraphs>
  <TotalTime>808</TotalTime>
  <ScaleCrop>false</ScaleCrop>
  <LinksUpToDate>false</LinksUpToDate>
  <CharactersWithSpaces>40393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2022-10-09T13:06:00Z</dcterms:created>
  <dc:creator>中大咨询</dc:creator>
  <cp:lastModifiedBy>he33</cp:lastModifiedBy>
  <cp:lastPrinted>2022-10-08T10:45:00Z</cp:lastPrinted>
  <dcterms:modified xsi:type="dcterms:W3CDTF">2022-10-19T02:13:49Z</dcterms:modified>
  <dc:title>穗府办函〔2006〕号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3DD977C85E0D4642A5C21F1D61669D89</vt:lpwstr>
  </property>
</Properties>
</file>