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40" w:line="360" w:lineRule="auto"/>
        <w:jc w:val="left"/>
        <w:rPr>
          <w:rFonts w:hint="eastAsia" w:ascii="华文中宋" w:eastAsia="华文中宋" w:cs="黑体"/>
          <w:b/>
          <w:spacing w:val="-20"/>
          <w:sz w:val="36"/>
          <w:szCs w:val="36"/>
          <w:lang w:bidi="ar-SA"/>
        </w:rPr>
      </w:pPr>
      <w:bookmarkStart w:id="0" w:name="_Toc465828834"/>
      <w:bookmarkStart w:id="1" w:name="_Toc424498307"/>
      <w:bookmarkStart w:id="2" w:name="_Toc474096404"/>
      <w:bookmarkStart w:id="4" w:name="_GoBack"/>
      <w:bookmarkEnd w:id="4"/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eastAsia="zh-CN" w:bidi="ar-SA"/>
        </w:rPr>
        <w:t>附件</w:t>
      </w:r>
    </w:p>
    <w:p>
      <w:pPr>
        <w:snapToGrid w:val="0"/>
        <w:spacing w:after="24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 w:bidi="ar-SA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bidi="ar-SA"/>
        </w:rPr>
        <w:t>海域使用金征收标准（2022年修订）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" w:eastAsia="仿宋_GB2312" w:cs="??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为充分发挥海域使用金征收标准经济杠杆的调控作用，提高用海生态门槛，引导海域开发利用布局优化和海洋产业结构调整，根据《中华人民共和国海域使用管理法》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及《财政部 国家海洋局印发〈关于调整海域无居民海岛使用金征收标准〉的通知》（财综〔2018〕15号）</w:t>
      </w:r>
      <w:r>
        <w:rPr>
          <w:rFonts w:hint="eastAsia" w:ascii="仿宋_GB2312" w:hAnsi="仿宋" w:eastAsia="仿宋_GB2312" w:cs="宋体"/>
          <w:sz w:val="32"/>
          <w:szCs w:val="32"/>
        </w:rPr>
        <w:t>，现对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我省（不含深圳，下同）</w:t>
      </w:r>
      <w:r>
        <w:rPr>
          <w:rFonts w:hint="eastAsia" w:ascii="仿宋_GB2312" w:hAnsi="仿宋" w:eastAsia="仿宋_GB2312" w:cs="宋体"/>
          <w:sz w:val="32"/>
          <w:szCs w:val="32"/>
        </w:rPr>
        <w:t>海域使用金征收标准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明确</w:t>
      </w:r>
      <w:r>
        <w:rPr>
          <w:rFonts w:hint="eastAsia" w:ascii="仿宋_GB2312" w:hAnsi="仿宋" w:eastAsia="仿宋_GB2312" w:cs="宋体"/>
          <w:sz w:val="32"/>
          <w:szCs w:val="32"/>
        </w:rPr>
        <w:t>如下</w:t>
      </w:r>
      <w:r>
        <w:rPr>
          <w:rFonts w:hint="eastAsia" w:ascii="仿宋_GB2312" w:hAnsi="仿宋" w:eastAsia="仿宋_GB2312" w:cs="??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一、海域等别</w:t>
      </w:r>
      <w:r>
        <w:rPr>
          <w:rFonts w:hint="eastAsia" w:ascii="黑体" w:eastAsia="黑体" w:cs="黑体"/>
          <w:sz w:val="32"/>
          <w:szCs w:val="32"/>
          <w:lang w:eastAsia="zh-CN" w:bidi="ar-SA"/>
        </w:rPr>
        <w:t>和级别划分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  <w:lang w:bidi="ar-SA"/>
        </w:rPr>
        <w:t>根据沿海地区行政区划变化以及海域资源和生态环境、社会经济发展等情况，</w:t>
      </w:r>
      <w:r>
        <w:rPr>
          <w:rFonts w:hint="eastAsia" w:ascii="仿宋_GB2312" w:eastAsia="仿宋_GB2312" w:cs="宋体"/>
          <w:sz w:val="32"/>
          <w:szCs w:val="32"/>
          <w:lang w:eastAsia="zh-CN" w:bidi="ar-SA"/>
        </w:rPr>
        <w:t>我省</w:t>
      </w:r>
      <w:r>
        <w:rPr>
          <w:rFonts w:hint="eastAsia" w:ascii="仿宋_GB2312" w:eastAsia="仿宋_GB2312" w:cs="宋体"/>
          <w:sz w:val="32"/>
          <w:szCs w:val="32"/>
          <w:lang w:bidi="ar-SA"/>
        </w:rPr>
        <w:t>海域等别</w:t>
      </w:r>
      <w:r>
        <w:rPr>
          <w:rFonts w:hint="eastAsia" w:ascii="仿宋_GB2312" w:eastAsia="仿宋_GB2312" w:cs="宋体"/>
          <w:sz w:val="32"/>
          <w:szCs w:val="32"/>
          <w:lang w:eastAsia="zh-CN" w:bidi="ar-SA"/>
        </w:rPr>
        <w:t>和定级分界</w:t>
      </w:r>
      <w:r>
        <w:rPr>
          <w:rFonts w:hint="eastAsia" w:ascii="仿宋_GB2312" w:eastAsia="仿宋_GB2312" w:cs="宋体"/>
          <w:sz w:val="32"/>
          <w:szCs w:val="32"/>
          <w:lang w:bidi="ar-SA"/>
        </w:rPr>
        <w:t>如下：</w:t>
      </w:r>
      <w:r>
        <w:rPr>
          <w:rFonts w:hint="eastAsia" w:ascii="仿宋_GB2312" w:eastAsia="仿宋_GB2312"/>
          <w:b/>
          <w:bCs/>
          <w:sz w:val="32"/>
          <w:szCs w:val="32"/>
        </w:rPr>
        <w:tab/>
      </w:r>
      <w:r>
        <w:rPr>
          <w:rFonts w:hint="eastAsia" w:ascii="仿宋_GB2312" w:eastAsia="仿宋_GB2312"/>
          <w:b/>
          <w:bCs/>
          <w:sz w:val="32"/>
          <w:szCs w:val="32"/>
        </w:rPr>
        <w:tab/>
      </w:r>
    </w:p>
    <w:p>
      <w:pPr>
        <w:tabs>
          <w:tab w:val="left" w:pos="3330"/>
          <w:tab w:val="center" w:pos="4156"/>
        </w:tabs>
        <w:adjustRightInd w:val="0"/>
        <w:snapToGrid w:val="0"/>
        <w:spacing w:line="360" w:lineRule="auto"/>
        <w:ind w:firstLine="626" w:firstLineChars="195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宋体"/>
          <w:b/>
          <w:bCs/>
          <w:sz w:val="32"/>
          <w:szCs w:val="32"/>
          <w:lang w:bidi="ar-SA"/>
        </w:rPr>
        <w:t>海域等别</w:t>
      </w:r>
    </w:p>
    <w:p>
      <w:pPr>
        <w:adjustRightInd w:val="0"/>
        <w:snapToGrid w:val="0"/>
        <w:spacing w:line="360" w:lineRule="auto"/>
        <w:ind w:firstLine="642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宋体"/>
          <w:b/>
          <w:bCs/>
          <w:sz w:val="32"/>
          <w:szCs w:val="32"/>
          <w:lang w:bidi="ar-SA"/>
        </w:rPr>
        <w:t>一等：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sz w:val="32"/>
          <w:szCs w:val="32"/>
          <w:lang w:bidi="ar-SA"/>
        </w:rPr>
        <w:t>广州市（黄埔区 番禺区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>南沙区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>增城区）</w:t>
      </w:r>
    </w:p>
    <w:p>
      <w:pPr>
        <w:adjustRightInd w:val="0"/>
        <w:snapToGrid w:val="0"/>
        <w:spacing w:line="360" w:lineRule="auto"/>
        <w:ind w:firstLine="642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宋体"/>
          <w:b/>
          <w:bCs/>
          <w:sz w:val="32"/>
          <w:szCs w:val="32"/>
          <w:lang w:bidi="ar-SA"/>
        </w:rPr>
        <w:t>二等：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??_GB2312"/>
          <w:sz w:val="32"/>
          <w:szCs w:val="32"/>
          <w:lang w:bidi="ar-SA"/>
        </w:rPr>
      </w:pPr>
      <w:r>
        <w:rPr>
          <w:rFonts w:hint="eastAsia" w:ascii="仿宋_GB2312" w:eastAsia="仿宋_GB2312" w:cs="宋体"/>
          <w:sz w:val="32"/>
          <w:szCs w:val="32"/>
          <w:lang w:bidi="ar-SA"/>
        </w:rPr>
        <w:t>东莞市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>汕头市（龙湖区 金平区 潮阳区）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??_GB231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>中山市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>珠海市（香洲区 斗门区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>金湾区）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</w:p>
    <w:p>
      <w:pPr>
        <w:adjustRightInd w:val="0"/>
        <w:snapToGrid w:val="0"/>
        <w:spacing w:line="360" w:lineRule="auto"/>
        <w:ind w:firstLine="642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宋体"/>
          <w:b/>
          <w:bCs/>
          <w:sz w:val="32"/>
          <w:szCs w:val="32"/>
          <w:lang w:bidi="ar-SA"/>
        </w:rPr>
        <w:t>三等：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??_GB2312"/>
          <w:sz w:val="32"/>
          <w:szCs w:val="32"/>
          <w:lang w:bidi="ar-SA"/>
        </w:rPr>
      </w:pPr>
      <w:r>
        <w:rPr>
          <w:rFonts w:hint="eastAsia" w:ascii="仿宋_GB2312" w:eastAsia="仿宋_GB2312" w:cs="宋体"/>
          <w:sz w:val="32"/>
          <w:szCs w:val="32"/>
          <w:lang w:bidi="ar-SA"/>
        </w:rPr>
        <w:t>汕头市（濠江区 潮南区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 xml:space="preserve">澄海区） 江门市新会区 </w:t>
      </w:r>
      <w:r>
        <w:rPr>
          <w:rFonts w:hint="eastAsia" w:ascii="仿宋_GB2312" w:eastAsia="仿宋_GB2312" w:cs="宋体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>湛江市（赤坎区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>霞山区 坡头区 麻章区） 茂名市电白区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 xml:space="preserve">惠州市惠阳区 </w:t>
      </w:r>
      <w:r>
        <w:rPr>
          <w:rFonts w:hint="eastAsia" w:ascii="仿宋_GB2312" w:eastAsia="仿宋_GB2312" w:cs="宋体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>惠东县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</w:p>
    <w:p>
      <w:pPr>
        <w:adjustRightInd w:val="0"/>
        <w:snapToGrid w:val="0"/>
        <w:spacing w:line="360" w:lineRule="auto"/>
        <w:ind w:firstLine="642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宋体"/>
          <w:b/>
          <w:bCs/>
          <w:sz w:val="32"/>
          <w:szCs w:val="32"/>
          <w:lang w:bidi="ar-SA"/>
        </w:rPr>
        <w:t>四等：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??_GB2312"/>
          <w:sz w:val="32"/>
          <w:szCs w:val="32"/>
          <w:lang w:bidi="ar-SA"/>
        </w:rPr>
      </w:pPr>
      <w:r>
        <w:rPr>
          <w:rFonts w:hint="eastAsia" w:ascii="仿宋_GB2312" w:eastAsia="仿宋_GB2312" w:cs="宋体"/>
          <w:sz w:val="32"/>
          <w:szCs w:val="32"/>
          <w:lang w:bidi="ar-SA"/>
        </w:rPr>
        <w:t>南澳县 台山市 恩平市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>汕尾市城区 阳江市江城区</w:t>
      </w:r>
    </w:p>
    <w:p>
      <w:pPr>
        <w:adjustRightInd w:val="0"/>
        <w:snapToGrid w:val="0"/>
        <w:spacing w:line="360" w:lineRule="auto"/>
        <w:ind w:firstLine="642" w:firstLineChars="200"/>
        <w:rPr>
          <w:rFonts w:hint="eastAsia" w:ascii="仿宋_GB2312" w:eastAsia="仿宋_GB2312" w:cs="??_GB2312"/>
          <w:b w:val="0"/>
          <w:bCs w:val="0"/>
          <w:sz w:val="32"/>
          <w:szCs w:val="32"/>
        </w:rPr>
      </w:pPr>
      <w:r>
        <w:rPr>
          <w:rFonts w:hint="eastAsia" w:ascii="仿宋_GB2312" w:eastAsia="仿宋_GB2312" w:cs="宋体"/>
          <w:b/>
          <w:bCs/>
          <w:sz w:val="32"/>
          <w:szCs w:val="32"/>
          <w:lang w:bidi="ar-SA"/>
        </w:rPr>
        <w:t>五等：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宋体"/>
          <w:sz w:val="32"/>
          <w:szCs w:val="32"/>
          <w:lang w:bidi="ar-SA"/>
        </w:rPr>
      </w:pP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遂溪县 徐闻县 廉江市 </w:t>
      </w:r>
      <w:r>
        <w:rPr>
          <w:rFonts w:hint="eastAsia" w:ascii="仿宋_GB2312" w:eastAsia="仿宋_GB2312" w:cs="宋体"/>
          <w:sz w:val="32"/>
          <w:szCs w:val="32"/>
          <w:lang w:bidi="ar-SA"/>
        </w:rPr>
        <w:t>雷州市 吴川市 海丰县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>陆丰市</w:t>
      </w:r>
      <w:r>
        <w:rPr>
          <w:rFonts w:hint="eastAsia" w:ascii="仿宋_GB2312" w:eastAsia="仿宋_GB2312" w:cs="宋体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>阳东县</w:t>
      </w:r>
      <w:r>
        <w:rPr>
          <w:rFonts w:hint="eastAsia" w:ascii="仿宋_GB2312" w:eastAsia="仿宋_GB2312" w:cs="??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lang w:bidi="ar-SA"/>
        </w:rPr>
        <w:t>阳西县 饶平县 揭阳市榕城区 惠来县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宋体"/>
          <w:sz w:val="32"/>
          <w:szCs w:val="32"/>
          <w:lang w:bidi="ar-SA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宋体"/>
          <w:sz w:val="32"/>
          <w:szCs w:val="32"/>
          <w:lang w:bidi="ar-SA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宋体"/>
          <w:sz w:val="32"/>
          <w:szCs w:val="32"/>
          <w:lang w:bidi="ar-SA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宋体"/>
          <w:sz w:val="32"/>
          <w:szCs w:val="32"/>
          <w:lang w:bidi="ar-SA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 w:cs="宋体"/>
          <w:sz w:val="32"/>
          <w:szCs w:val="32"/>
          <w:lang w:bidi="ar-SA"/>
        </w:rPr>
        <w:sectPr>
          <w:pgSz w:w="16838" w:h="11906" w:orient="landscape"/>
          <w:pgMar w:top="1531" w:right="2041" w:bottom="1417" w:left="1417" w:header="851" w:footer="992" w:gutter="0"/>
          <w:cols w:space="720" w:num="1"/>
          <w:rtlGutter w:val="0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531" w:right="2041" w:bottom="1417" w:left="1417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7661910" cy="5419090"/>
            <wp:effectExtent l="0" t="0" r="15240" b="1016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1910" cy="541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853"/>
        </w:tabs>
        <w:ind w:left="320" w:hanging="320" w:hangingChars="100"/>
        <w:jc w:val="both"/>
        <w:rPr>
          <w:rFonts w:ascii="仿宋" w:hAnsi="仿宋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  <w:sectPr>
          <w:pgSz w:w="16838" w:h="11906" w:orient="landscape"/>
          <w:pgMar w:top="1247" w:right="2041" w:bottom="1361" w:left="1417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_GB2312"/>
          <w:sz w:val="32"/>
          <w:szCs w:val="32"/>
          <w:lang w:eastAsia="zh-CN"/>
        </w:rPr>
        <w:drawing>
          <wp:inline distT="0" distB="0" distL="114300" distR="114300">
            <wp:extent cx="6473190" cy="4582160"/>
            <wp:effectExtent l="0" t="0" r="3810" b="8890"/>
            <wp:docPr id="4" name="图片 4" descr="C:\Users\huangdw\Desktop\正式印发\youdu图片20220616092304.jpgyoudu图片2022061609230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huangdw\Desktop\正式印发\youdu图片20220616092304.jpgyoudu图片20220616092304"/>
                    <pic:cNvPicPr>
                      <a:picLocks noChangeAspect="true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319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40" w:firstLineChars="200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二、海域使用金征收标准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 w:cs="??_GB2312"/>
          <w:sz w:val="32"/>
          <w:szCs w:val="32"/>
          <w:lang w:eastAsia="zh-CN" w:bidi="ar-SA"/>
        </w:rPr>
      </w:pPr>
      <w:r>
        <w:rPr>
          <w:rFonts w:hint="eastAsia" w:ascii="仿宋_GB2312" w:eastAsia="仿宋_GB2312" w:cs="??_GB2312"/>
          <w:sz w:val="32"/>
          <w:szCs w:val="32"/>
          <w:lang w:bidi="ar-SA"/>
        </w:rPr>
        <w:t>根据国民经济增长、资源价格变化水平，并考虑海域开发利用的生态环境损害成本和社会承受能力，海域使用金征收标准</w:t>
      </w:r>
      <w:r>
        <w:rPr>
          <w:rFonts w:hint="eastAsia" w:ascii="仿宋_GB2312" w:eastAsia="仿宋_GB2312" w:cs="??_GB2312"/>
          <w:sz w:val="32"/>
          <w:szCs w:val="32"/>
          <w:lang w:eastAsia="zh-CN" w:bidi="ar-SA"/>
        </w:rPr>
        <w:t>调整如下：</w:t>
      </w:r>
    </w:p>
    <w:p>
      <w:pPr>
        <w:tabs>
          <w:tab w:val="left" w:pos="853"/>
        </w:tabs>
        <w:jc w:val="center"/>
        <w:rPr>
          <w:rFonts w:hint="eastAsia" w:ascii="仿宋" w:hAnsi="仿宋" w:eastAsia="仿宋_GB2312"/>
          <w:sz w:val="32"/>
          <w:szCs w:val="32"/>
        </w:rPr>
      </w:pPr>
    </w:p>
    <w:p>
      <w:pPr>
        <w:tabs>
          <w:tab w:val="left" w:pos="853"/>
        </w:tabs>
        <w:jc w:val="center"/>
        <w:rPr>
          <w:rFonts w:hint="eastAsia" w:ascii="仿宋" w:hAnsi="仿宋" w:eastAsia="仿宋_GB2312"/>
          <w:sz w:val="32"/>
          <w:szCs w:val="32"/>
        </w:rPr>
      </w:pPr>
    </w:p>
    <w:p>
      <w:pPr>
        <w:tabs>
          <w:tab w:val="left" w:pos="853"/>
        </w:tabs>
        <w:jc w:val="center"/>
        <w:rPr>
          <w:rFonts w:hint="eastAsia" w:ascii="仿宋" w:hAnsi="仿宋" w:eastAsia="仿宋_GB2312"/>
          <w:sz w:val="32"/>
          <w:szCs w:val="32"/>
        </w:rPr>
      </w:pPr>
    </w:p>
    <w:p>
      <w:pPr>
        <w:tabs>
          <w:tab w:val="left" w:pos="853"/>
        </w:tabs>
        <w:jc w:val="center"/>
        <w:rPr>
          <w:rFonts w:hint="eastAsia" w:ascii="仿宋" w:hAnsi="仿宋" w:eastAsia="仿宋_GB2312"/>
          <w:sz w:val="32"/>
          <w:szCs w:val="32"/>
        </w:rPr>
      </w:pPr>
    </w:p>
    <w:p>
      <w:pPr>
        <w:tabs>
          <w:tab w:val="left" w:pos="853"/>
        </w:tabs>
        <w:jc w:val="center"/>
        <w:rPr>
          <w:rFonts w:hint="eastAsia" w:ascii="仿宋" w:hAnsi="仿宋" w:eastAsia="仿宋_GB2312"/>
          <w:sz w:val="32"/>
          <w:szCs w:val="32"/>
        </w:rPr>
      </w:pPr>
    </w:p>
    <w:p>
      <w:pPr>
        <w:tabs>
          <w:tab w:val="left" w:pos="853"/>
        </w:tabs>
        <w:jc w:val="center"/>
        <w:rPr>
          <w:rFonts w:hint="eastAsia" w:ascii="仿宋" w:hAnsi="仿宋" w:eastAsia="仿宋_GB2312"/>
          <w:sz w:val="32"/>
          <w:szCs w:val="32"/>
        </w:rPr>
      </w:pPr>
    </w:p>
    <w:p>
      <w:pPr>
        <w:tabs>
          <w:tab w:val="left" w:pos="853"/>
        </w:tabs>
        <w:jc w:val="center"/>
        <w:rPr>
          <w:rFonts w:hint="eastAsia" w:ascii="仿宋" w:hAnsi="仿宋" w:eastAsia="仿宋_GB2312"/>
          <w:sz w:val="32"/>
          <w:szCs w:val="32"/>
        </w:rPr>
      </w:pPr>
    </w:p>
    <w:p>
      <w:pPr>
        <w:tabs>
          <w:tab w:val="left" w:pos="853"/>
        </w:tabs>
        <w:jc w:val="center"/>
        <w:rPr>
          <w:rFonts w:hint="eastAsia" w:ascii="仿宋" w:hAnsi="仿宋" w:eastAsia="仿宋_GB2312"/>
          <w:sz w:val="32"/>
          <w:szCs w:val="32"/>
        </w:rPr>
      </w:pPr>
    </w:p>
    <w:p>
      <w:pPr>
        <w:tabs>
          <w:tab w:val="left" w:pos="853"/>
        </w:tabs>
        <w:jc w:val="center"/>
        <w:rPr>
          <w:rFonts w:hint="eastAsia" w:ascii="仿宋" w:hAnsi="仿宋" w:eastAsia="仿宋_GB2312"/>
          <w:sz w:val="32"/>
          <w:szCs w:val="32"/>
        </w:rPr>
      </w:pPr>
    </w:p>
    <w:p>
      <w:pPr>
        <w:tabs>
          <w:tab w:val="left" w:pos="853"/>
        </w:tabs>
        <w:jc w:val="center"/>
        <w:rPr>
          <w:rFonts w:hint="eastAsia" w:ascii="仿宋" w:hAnsi="仿宋" w:eastAsia="仿宋_GB2312"/>
          <w:sz w:val="32"/>
          <w:szCs w:val="32"/>
        </w:rPr>
      </w:pPr>
    </w:p>
    <w:p>
      <w:pPr>
        <w:tabs>
          <w:tab w:val="left" w:pos="853"/>
        </w:tabs>
        <w:jc w:val="center"/>
        <w:rPr>
          <w:rFonts w:hint="eastAsia" w:ascii="仿宋" w:hAnsi="仿宋" w:eastAsia="仿宋_GB2312"/>
          <w:sz w:val="32"/>
          <w:szCs w:val="32"/>
        </w:rPr>
      </w:pPr>
    </w:p>
    <w:p>
      <w:pPr>
        <w:tabs>
          <w:tab w:val="left" w:pos="853"/>
        </w:tabs>
        <w:jc w:val="center"/>
        <w:rPr>
          <w:rFonts w:hint="eastAsia" w:ascii="仿宋" w:hAnsi="仿宋" w:eastAsia="仿宋_GB2312"/>
          <w:b/>
          <w:bCs/>
          <w:sz w:val="32"/>
          <w:szCs w:val="32"/>
        </w:rPr>
      </w:pPr>
      <w:r>
        <w:rPr>
          <w:rFonts w:hint="eastAsia" w:ascii="仿宋" w:hAnsi="仿宋" w:eastAsia="仿宋_GB2312"/>
          <w:b/>
          <w:bCs/>
          <w:sz w:val="32"/>
          <w:szCs w:val="32"/>
        </w:rPr>
        <w:t>广东省海域定级和海域使用金征收标准</w:t>
      </w:r>
    </w:p>
    <w:p>
      <w:pPr>
        <w:tabs>
          <w:tab w:val="left" w:pos="853"/>
        </w:tabs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18"/>
          <w:szCs w:val="18"/>
        </w:rPr>
        <w:t xml:space="preserve">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18"/>
          <w:szCs w:val="18"/>
        </w:rPr>
        <w:t>（单位：万元/公顷）</w:t>
      </w:r>
    </w:p>
    <w:tbl>
      <w:tblPr>
        <w:tblStyle w:val="2"/>
        <w:tblW w:w="14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"/>
        <w:gridCol w:w="618"/>
        <w:gridCol w:w="143"/>
        <w:gridCol w:w="1231"/>
        <w:gridCol w:w="732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820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2771" w:type="dxa"/>
            <w:gridSpan w:val="5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ind w:firstLine="1440" w:firstLineChars="800"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海域等别</w:t>
            </w:r>
          </w:p>
          <w:p>
            <w:pPr>
              <w:widowControl/>
              <w:ind w:firstLine="36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用海方式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一等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二等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三等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四等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五等</w:t>
            </w:r>
          </w:p>
        </w:tc>
        <w:tc>
          <w:tcPr>
            <w:tcW w:w="77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eastAsia="zh-CN"/>
              </w:rPr>
              <w:t>征收方式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tblHeader/>
        </w:trPr>
        <w:tc>
          <w:tcPr>
            <w:tcW w:w="2771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Ⅰ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Ⅱ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Ⅲ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Ⅰ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Ⅱ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Ⅲ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Ⅰ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Ⅱ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Ⅲ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Ⅰ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Ⅱ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Ⅲ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Ⅰ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Ⅱ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Ⅲ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填海造地用海</w:t>
            </w:r>
          </w:p>
        </w:tc>
        <w:tc>
          <w:tcPr>
            <w:tcW w:w="62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建设填海造地用海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工业、交通运输、渔业基础设施等填海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315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307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300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273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254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250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205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195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190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150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143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140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108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103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7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eastAsia="zh-CN"/>
              </w:rPr>
              <w:t>一次性征收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城镇建设填海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2880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2793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2700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2517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2339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2300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2050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1965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1900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1528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1434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1400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980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935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900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农业填海造地用海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140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134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130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12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113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98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93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90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82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77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75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65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63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构筑物用海</w:t>
            </w: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非透水构筑物用海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268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259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250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215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206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200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16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156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150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103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82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78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75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跨海桥梁、海底隧道用海</w:t>
            </w:r>
          </w:p>
        </w:tc>
        <w:tc>
          <w:tcPr>
            <w:tcW w:w="1114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17.3</w:t>
            </w: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透水构筑物用海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4.92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4.79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4.63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4.12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3.97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3.93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3.45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3.34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3.23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2.77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2.6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2.53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2.01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1.9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1.84</w:t>
            </w:r>
          </w:p>
        </w:tc>
        <w:tc>
          <w:tcPr>
            <w:tcW w:w="77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eastAsia="zh-CN"/>
              </w:rPr>
              <w:t>按年度征收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围海用海</w:t>
            </w: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港池、蓄水用海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1.26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1.21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1.17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0.99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0.94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0.93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0.75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0.71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0.69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0.48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0.47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0.46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0.32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盐田用海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0.11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围海养殖用海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0.</w:t>
            </w:r>
            <w: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  <w:t>300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0.</w:t>
            </w:r>
            <w:r>
              <w:rPr>
                <w:rFonts w:ascii="仿宋_GB2312" w:eastAsia="仿宋_GB2312"/>
                <w:color w:val="auto"/>
                <w:sz w:val="18"/>
                <w:szCs w:val="18"/>
              </w:rPr>
              <w:t>24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0.</w:t>
            </w:r>
            <w:r>
              <w:rPr>
                <w:rFonts w:ascii="仿宋_GB2312" w:eastAsia="仿宋_GB2312"/>
                <w:color w:val="auto"/>
                <w:sz w:val="18"/>
                <w:szCs w:val="18"/>
              </w:rPr>
              <w:t>21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0.</w:t>
            </w:r>
            <w:r>
              <w:rPr>
                <w:rFonts w:ascii="仿宋_GB2312" w:eastAsia="仿宋_GB2312"/>
                <w:color w:val="auto"/>
                <w:sz w:val="18"/>
                <w:szCs w:val="18"/>
              </w:rPr>
              <w:t>18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0.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5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围海式游乐场用海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5.08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4.84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4.76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4.05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3.91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3.89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3.48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3.32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3.24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2.82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2.7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2.67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2.39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2.28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2.24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其他围海用海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1.35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1.26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1.17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1.05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0.96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0.93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0.77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0.73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0.69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0.5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0.47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0.46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0.34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0.32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77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开放式用海</w:t>
            </w:r>
          </w:p>
        </w:tc>
        <w:tc>
          <w:tcPr>
            <w:tcW w:w="7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开放式养殖用海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筏式（浮漂、吊笼）养殖、普通网箱（鱼排）养殖、底播养殖、插网养殖等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0.15</w:t>
            </w:r>
            <w:r>
              <w:rPr>
                <w:rFonts w:ascii="仿宋_GB2312" w:eastAsia="仿宋_GB2312"/>
                <w:color w:val="auto"/>
                <w:sz w:val="18"/>
                <w:szCs w:val="18"/>
              </w:rPr>
              <w:t>0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0.12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0.10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0.09</w:t>
            </w:r>
            <w:r>
              <w:rPr>
                <w:rFonts w:ascii="仿宋_GB2312" w:eastAsia="仿宋_GB2312"/>
                <w:color w:val="auto"/>
                <w:sz w:val="18"/>
                <w:szCs w:val="18"/>
              </w:rPr>
              <w:t>0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0.07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浴场用海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0.69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0.66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0.65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0.56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0.54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0.53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0.45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0.43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0.42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eastAsia="zh-CN"/>
              </w:rPr>
              <w:t>按年度征收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开放式游乐场用海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3.47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3.31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3.26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2.49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2.4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2.39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1.87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1.78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1.74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1.24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1.19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1.17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0.79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0.75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0.74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专用航道、锚地用海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0.09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其他开放式用海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0.3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0.23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0.1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0.09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其他用海</w:t>
            </w: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人工岛式油气开采用海</w:t>
            </w:r>
          </w:p>
        </w:tc>
        <w:tc>
          <w:tcPr>
            <w:tcW w:w="1114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13</w:t>
            </w: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平台式油气开采用海</w:t>
            </w:r>
          </w:p>
        </w:tc>
        <w:tc>
          <w:tcPr>
            <w:tcW w:w="1114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6.5</w:t>
            </w: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海底电缆管道用海</w:t>
            </w:r>
          </w:p>
        </w:tc>
        <w:tc>
          <w:tcPr>
            <w:tcW w:w="1114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0.7</w:t>
            </w: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海砂等矿产开采用海</w:t>
            </w:r>
          </w:p>
        </w:tc>
        <w:tc>
          <w:tcPr>
            <w:tcW w:w="1114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7.3</w:t>
            </w: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取、排水口用海</w:t>
            </w:r>
          </w:p>
        </w:tc>
        <w:tc>
          <w:tcPr>
            <w:tcW w:w="1114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1.05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污水达标排放用海</w:t>
            </w:r>
          </w:p>
        </w:tc>
        <w:tc>
          <w:tcPr>
            <w:tcW w:w="1114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1.4</w:t>
            </w: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温、冷排水用海</w:t>
            </w:r>
          </w:p>
        </w:tc>
        <w:tc>
          <w:tcPr>
            <w:tcW w:w="1114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1.05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倾倒用海</w:t>
            </w:r>
          </w:p>
        </w:tc>
        <w:tc>
          <w:tcPr>
            <w:tcW w:w="1114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1.4</w:t>
            </w: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种植用海</w:t>
            </w:r>
          </w:p>
        </w:tc>
        <w:tc>
          <w:tcPr>
            <w:tcW w:w="1114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0.05</w:t>
            </w:r>
          </w:p>
        </w:tc>
        <w:tc>
          <w:tcPr>
            <w:tcW w:w="7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3917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　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　　1.根据《财政部 国家海洋局印发〈关于调整海域无居民海岛使用金征收标准〉的通知》（财综〔2018〕15号）规定：1）离大陆岸线最近距离2千米以上且最小水深大于5米（理论最低潮面）的离岸式填海，按照征收标准的80%征收；2）填海造地用海占用大陆自然岸线的，按照征收标准的120%征收；3）建设人工鱼礁的透水构筑物用海，按照征收标准的80%征收；4）地方人民政府管辖海域以外的项目用海执行国家标准，海域等别按照毗邻最近行政区的等别确定。养殖用海标准按照毗邻最近行政区征收标准征收；5）深圳市（计划单列市）的海域使用金征收标准调整方案由深圳市自行制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　　2.开放式养殖用海：1）开放式养殖用海（包括网箱养殖等）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照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准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用海面积计征；2）位于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0米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水深以深海域的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开放式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养殖用海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，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按照征收标准的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50%计征。海域分级线和20米水深线相关矢量数据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在海域使用信息管理系统中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查询。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　　3.实行海域使用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权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招标、拍卖、挂牌出让的，底价不得低于上述标准，成交价上不封顶。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/>
              <w:jc w:val="left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4.沿海各地级以上市可结合本地区海域资源及海域使用需求等情况，在本标准的基础上适当上浮一定比例（不超过30%）制定标准，报地级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市人民政府批准后执行，同时报省财政厅、省自然资源厅备案。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5.跨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海域级别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的用海项目，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按照所占用海域的最高级别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确定海域使用金征收标准。</w:t>
            </w:r>
          </w:p>
        </w:tc>
      </w:tr>
    </w:tbl>
    <w:p>
      <w:pPr>
        <w:adjustRightInd w:val="0"/>
        <w:snapToGrid w:val="0"/>
        <w:spacing w:line="360" w:lineRule="auto"/>
        <w:jc w:val="left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三、用海方式界定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  <w:lang w:bidi="ar-SA"/>
        </w:rPr>
        <w:t>根据海域使用特征及对海域自然属性的影响程度，用海方式界定如下：</w:t>
      </w:r>
    </w:p>
    <w:bookmarkEnd w:id="0"/>
    <w:bookmarkEnd w:id="1"/>
    <w:bookmarkEnd w:id="2"/>
    <w:p>
      <w:pPr>
        <w:spacing w:line="360" w:lineRule="auto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"/>
          <w:b/>
          <w:bCs/>
          <w:sz w:val="32"/>
          <w:szCs w:val="32"/>
          <w:lang w:bidi="ar-SA"/>
        </w:rPr>
        <w:t>用海方式界定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9"/>
        <w:gridCol w:w="607"/>
        <w:gridCol w:w="2325"/>
        <w:gridCol w:w="9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" w:hRule="atLeast"/>
          <w:tblHeader/>
          <w:jc w:val="center"/>
        </w:trPr>
        <w:tc>
          <w:tcPr>
            <w:tcW w:w="115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3" w:name="_Hlk496608215" w:colFirst="0" w:colLast="4"/>
            <w:r>
              <w:rPr>
                <w:rFonts w:hint="eastAsia" w:ascii="仿宋_GB2312" w:eastAsia="仿宋_GB2312"/>
                <w:sz w:val="24"/>
                <w:szCs w:val="24"/>
              </w:rPr>
              <w:t>编码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用海方式名称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界定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54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填海造地用海</w:t>
            </w:r>
          </w:p>
        </w:tc>
        <w:tc>
          <w:tcPr>
            <w:tcW w:w="98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指筑堤围割海域填成土地，并形成有效岸线的用海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2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建设填海造地用海</w:t>
            </w:r>
          </w:p>
        </w:tc>
        <w:tc>
          <w:tcPr>
            <w:tcW w:w="98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指通过筑堤围割海域，填成建设用地用于工业、交通运输、渔业基础设施、城镇建设等的用海。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业、交通运输、渔业基础设施等填海是指主导用途用于工业、交通运输、渔业基础设施、旅游娱乐、海底工程、特殊用海等的填海造地用海；城镇建设填海是指除工业、交通运输、渔业基础设施等填海以外的其他填海造地用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农业填海造地用海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指通过筑堤围割海域，填成农用地用于农、林、牧业生产的用海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构筑物用海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指采用透水或非透水等方式构筑海上各类设施的用海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非透水构筑物用海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指采用非透水方式构筑不形成有效岸线的码头、突堤、引堤、防波堤、路基、设施基座等构筑物的用海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跨海桥梁、海底隧道用海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指占用海面空间或底土用于建设跨海桥梁、海底隧道、海底仓储等的用海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透水构筑物用海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指采用透水方式构筑码头、平台、海面栈桥、高脚屋、塔架、潜堤、人工鱼礁等构筑物的用海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围海用海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指通过筑堤或其他手段，以完全或不完全闭合形式围割海域进行海洋开发活动的用海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  <w:szCs w:val="24"/>
              </w:rPr>
              <w:t>31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港池、蓄水用海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指通过修筑海堤或防浪设施圈围海域，用于港口作业、修造船、蓄水等的用海，含开敞式码头前沿的船舶靠泊和回旋水域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盐田用海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指通过筑堤圈围海域用于盐业生产的用海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围海养殖用海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指通过筑堤圈围海域用于养殖生产的用海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围海式游乐场用海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指通过修筑海堤或防浪设施圈围海域，用于游艇、帆板、冲浪、潜水、水下观光、垂钓等水上娱乐活动的海域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其他围海用海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指上述围海用海以外的围海用海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开放式用海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指不进行填海造地、围海或设置构筑物，直接利用海域进行开发活动的用海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开放式养殖用海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指采用筏式、网箱、底播或以人工投苗、自然增殖海洋底栖生物等形式进行增养殖生产的用海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42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浴场用海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指供游人游泳、嬉水，且无固定设施的用海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开放式游乐场用海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指开展游艇、帆板、冲浪、潜水、水下观光、垂钓等娱乐活动，且无固定设施的用海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44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专用航道、锚地用海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指供船舶航行、锚泊的用海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其他开放式用海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指上述开放式用海以外的开放式用海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指上述用海方式之外的用海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人工岛式油气开采用海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指采用人工岛方式开采油气资源的用海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52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平台式油气开采用海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指采用固定式平台、移动式平台、浮式储油装置及其他辅助设施开采油气资源的用海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海底电缆管道用海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指铺设海底通信光（电）缆及电力电缆，输水、输气、输油及输送其他物质的管状输送设施的用海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54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海砂等矿产开采用海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指开采海砂及其他固体矿产资源的用海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55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取、排水口用海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指抽取或排放海水的用海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56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污水达标排放用海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指受纳指定达标污水的用海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57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温、冷排水用海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指受纳温、冷排水的用海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58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倾倒用海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指向海上倾倒区倾倒废弃物或利用海床在水下堆放疏浚物等的用海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/>
        </w:tc>
        <w:tc>
          <w:tcPr>
            <w:tcW w:w="6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59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 w:firstLine="8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种植用海</w:t>
            </w:r>
          </w:p>
        </w:tc>
        <w:tc>
          <w:tcPr>
            <w:tcW w:w="98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160" w:right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指种植芦苇、翅碱蓬、人工防护林、红树林等的用海</w:t>
            </w:r>
          </w:p>
        </w:tc>
      </w:tr>
      <w:bookmarkEnd w:id="3"/>
    </w:tbl>
    <w:p>
      <w:pPr>
        <w:rPr>
          <w:sz w:val="20"/>
          <w:szCs w:val="20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YjM0MDgyNjE2MjMyZWI3MGNmMjBhMjIwNzhjN2YifQ=="/>
  </w:docVars>
  <w:rsids>
    <w:rsidRoot w:val="6166695F"/>
    <w:rsid w:val="0A4948A5"/>
    <w:rsid w:val="3208202C"/>
    <w:rsid w:val="352C3F8E"/>
    <w:rsid w:val="43857B00"/>
    <w:rsid w:val="5AAA2603"/>
    <w:rsid w:val="6166695F"/>
    <w:rsid w:val="C3E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3553</Words>
  <Characters>4234</Characters>
  <Lines>0</Lines>
  <Paragraphs>0</Paragraphs>
  <TotalTime>1</TotalTime>
  <ScaleCrop>false</ScaleCrop>
  <LinksUpToDate>false</LinksUpToDate>
  <CharactersWithSpaces>4418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2022-06-09T17:13:00Z</dcterms:created>
  <dc:creator>黄丹薇</dc:creator>
  <cp:lastModifiedBy>赵志强</cp:lastModifiedBy>
  <dcterms:modified xsi:type="dcterms:W3CDTF">2022-06-28T10:29:00Z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6272A715E73B4CA0B51967083985E045</vt:lpwstr>
  </property>
</Properties>
</file>