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utoSpaceDN w:val="0"/>
        <w:spacing w:line="360" w:lineRule="auto"/>
        <w:ind w:right="105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2022年度汕尾市高价值专利培育布局中心建设项目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形式审查结果与</w:t>
      </w:r>
      <w:r>
        <w:rPr>
          <w:rFonts w:hint="eastAsia" w:ascii="宋体" w:hAnsi="宋体"/>
          <w:b/>
          <w:color w:val="000000"/>
          <w:sz w:val="44"/>
          <w:szCs w:val="44"/>
        </w:rPr>
        <w:t>资金分配方案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  <w:r>
        <w:rPr>
          <w:rFonts w:hint="eastAsia" w:ascii="黑体" w:hAnsi="黑体" w:eastAsia="黑体" w:cs="仿宋"/>
          <w:sz w:val="28"/>
          <w:szCs w:val="28"/>
        </w:rPr>
        <w:t>单位：万元</w:t>
      </w:r>
    </w:p>
    <w:tbl>
      <w:tblPr>
        <w:tblStyle w:val="2"/>
        <w:tblW w:w="10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858"/>
        <w:gridCol w:w="223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tblHeader/>
          <w:jc w:val="center"/>
        </w:trPr>
        <w:tc>
          <w:tcPr>
            <w:tcW w:w="8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承担单位名称</w:t>
            </w: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eastAsia="zh-CN" w:bidi="ar"/>
              </w:rPr>
              <w:t>（合作单位名称）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形式审查结果</w:t>
            </w:r>
          </w:p>
        </w:tc>
        <w:tc>
          <w:tcPr>
            <w:tcW w:w="2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"/>
                <w:b/>
                <w:color w:val="000000"/>
                <w:kern w:val="0"/>
                <w:sz w:val="28"/>
                <w:szCs w:val="28"/>
                <w:lang w:bidi="ar"/>
              </w:rPr>
              <w:t>拟补助企业金额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南海海缆有限公司（深圳市赛恩倍知识产权代理有限公司）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"/>
              </w:rPr>
              <w:t>2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广东娜菲实业有限公司（广东高航知识产权运营有限公司）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8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"/>
              </w:rPr>
              <w:t>3</w:t>
            </w:r>
          </w:p>
        </w:tc>
        <w:tc>
          <w:tcPr>
            <w:tcW w:w="48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汕尾信民生休闲农业有限公司（广州慧宇中诚知识产权代理事务所）</w:t>
            </w:r>
          </w:p>
        </w:tc>
        <w:tc>
          <w:tcPr>
            <w:tcW w:w="22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bidi="ar"/>
              </w:rPr>
              <w:t>通过审查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30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jg1YmE1MjA3YTQ0YjI1NGU5MTlhMmI2NzQzZGUifQ=="/>
  </w:docVars>
  <w:rsids>
    <w:rsidRoot w:val="1C35236A"/>
    <w:rsid w:val="07E534F6"/>
    <w:rsid w:val="1C35236A"/>
    <w:rsid w:val="375F0C0B"/>
    <w:rsid w:val="6F6EA98E"/>
    <w:rsid w:val="7A1B0E39"/>
    <w:rsid w:val="B1FEE688"/>
    <w:rsid w:val="F9AF683C"/>
    <w:rsid w:val="FF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0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2020-04-14T08:41:00Z</dcterms:created>
  <dc:creator>汪颖</dc:creator>
  <cp:lastModifiedBy>无尘</cp:lastModifiedBy>
  <dcterms:modified xsi:type="dcterms:W3CDTF">2022-05-25T10:06:28Z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495D61C8A3544D72865B0D1C0662CEB4</vt:lpwstr>
  </property>
</Properties>
</file>