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6" w:lineRule="atLeast"/>
        <w:jc w:val="center"/>
        <w:rPr>
          <w:rFonts w:hint="eastAsia" w:ascii="宋体" w:hAnsi="宋体" w:cs="宋体"/>
          <w:b/>
          <w:bCs/>
          <w:color w:val="555555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555555"/>
          <w:kern w:val="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color w:val="555555"/>
          <w:kern w:val="0"/>
          <w:sz w:val="36"/>
          <w:szCs w:val="36"/>
        </w:rPr>
        <w:t>015年部门决算“三公”经费增减说明</w:t>
      </w:r>
    </w:p>
    <w:p>
      <w:pPr>
        <w:widowControl/>
        <w:shd w:val="clear" w:color="auto" w:fill="FFFFFF"/>
        <w:spacing w:line="516" w:lineRule="atLeast"/>
        <w:jc w:val="center"/>
        <w:rPr>
          <w:rFonts w:ascii="宋体" w:hAnsi="宋体" w:cs="宋体"/>
          <w:color w:val="555555"/>
          <w:kern w:val="0"/>
          <w:sz w:val="36"/>
          <w:szCs w:val="36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汕尾市纪律检查委员会、汕尾市监察局（汕尾市预防腐败局）合署办公，市纪委设书记1人、副书记3人、常委5人，市监察局设局长1人、副局长3人，市预防腐败局设局长1人、副局长1人。内设职能部门14个，加挂市党廉办、市政府纠风办、市委巡视联络小组办公室等议事协调挂靠在我单位。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2015年“三公”经费支出减少的原因，主要是严格执行了省、市的有关文件要求，特别是认真落实中央八项规定要求，厉行节约，严格控制好公车、接待、会议支出费用；大力推进公务用车制度改革，减少公务车辆数量，有效节约了公务用车运行费用支出。具体如下：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（一）公务用车购置及运行费减少支出。</w:t>
      </w:r>
      <w:r>
        <w:rPr>
          <w:rFonts w:hint="eastAsia" w:ascii="仿宋" w:hAnsi="仿宋" w:eastAsia="仿宋"/>
          <w:sz w:val="32"/>
          <w:szCs w:val="32"/>
        </w:rPr>
        <w:t>本单位本年度保有车辆19台，本年度公务用车购置及运行费支出38万元，其中，公务用车购置0元，公务车用车运行费38万元；同比72.12万元减少34.12万元，减幅的主要原因是实施了公务用车制度改革，未产生公务用车购置费，从而了公务用车购置及运行费支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（二）公务接待费减少支出。</w:t>
      </w:r>
      <w:r>
        <w:rPr>
          <w:rFonts w:hint="eastAsia" w:ascii="仿宋" w:hAnsi="仿宋" w:eastAsia="仿宋"/>
          <w:sz w:val="32"/>
          <w:szCs w:val="32"/>
        </w:rPr>
        <w:t>本单位本年度国内公务接待15批，接待178人次，共接待费支出3万元；同比减少3万元，减幅，减幅的主要原因是按照中央、省委要求，按中央八项规定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从严控制接待规格规模接待人数。</w:t>
      </w:r>
    </w:p>
    <w:p>
      <w:pPr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（三）因公出国（境）费减少支出。</w:t>
      </w:r>
      <w:r>
        <w:rPr>
          <w:rFonts w:hint="eastAsia" w:ascii="仿宋" w:hAnsi="仿宋" w:eastAsia="仿宋"/>
          <w:sz w:val="32"/>
          <w:szCs w:val="32"/>
        </w:rPr>
        <w:t>本单位本年度未发生因公出国（境），未产生因公出国（境）费支出。</w:t>
      </w:r>
    </w:p>
    <w:sectPr>
      <w:pgSz w:w="11906" w:h="16838"/>
      <w:pgMar w:top="1985" w:right="1474" w:bottom="1701" w:left="1588" w:header="851" w:footer="992" w:gutter="0"/>
      <w:cols w:space="425" w:num="1"/>
      <w:docGrid w:type="lines" w:linePitch="5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5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2MWY3ZWQ5YTM5NzJhMzcxODhkOTU0OWUxOWY2NWEifQ=="/>
  </w:docVars>
  <w:rsids>
    <w:rsidRoot w:val="00344B10"/>
    <w:rsid w:val="00344B10"/>
    <w:rsid w:val="005F24B0"/>
    <w:rsid w:val="00897A19"/>
    <w:rsid w:val="00D23566"/>
    <w:rsid w:val="00D549C6"/>
    <w:rsid w:val="00EC17BE"/>
    <w:rsid w:val="00F239BE"/>
    <w:rsid w:val="0CC07D9D"/>
    <w:rsid w:val="4E5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82C7-B52D-4AE0-9B4E-BC1A26871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545</Words>
  <Characters>566</Characters>
  <Lines>4</Lines>
  <Paragraphs>1</Paragraphs>
  <TotalTime>30</TotalTime>
  <ScaleCrop>false</ScaleCrop>
  <LinksUpToDate>false</LinksUpToDate>
  <CharactersWithSpaces>566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2016-12-02T06:02:00Z</dcterms:created>
  <dc:creator>HENGYU</dc:creator>
  <cp:lastModifiedBy>Administrator</cp:lastModifiedBy>
  <dcterms:modified xsi:type="dcterms:W3CDTF">2022-05-23T08:12:52Z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12B9E5B2F84F4382B4DB26FA3A242730</vt:lpwstr>
  </property>
</Properties>
</file>