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pStyle w:val="9"/>
      </w:pPr>
    </w:p>
    <w:p>
      <w:pPr>
        <w:spacing w:line="360" w:lineRule="auto"/>
        <w:jc w:val="center"/>
        <w:rPr>
          <w:rStyle w:val="32"/>
          <w:rFonts w:ascii="方正小标宋简体" w:eastAsia="方正小标宋简体"/>
          <w:b/>
          <w:color w:val="auto"/>
          <w:sz w:val="36"/>
          <w:szCs w:val="36"/>
          <w:highlight w:val="none"/>
        </w:rPr>
      </w:pPr>
    </w:p>
    <w:p>
      <w:pPr>
        <w:pStyle w:val="8"/>
      </w:pPr>
    </w:p>
    <w:p>
      <w:pPr>
        <w:keepNext w:val="0"/>
        <w:keepLines w:val="0"/>
        <w:pageBreakBefore w:val="0"/>
        <w:widowControl w:val="0"/>
        <w:kinsoku/>
        <w:wordWrap/>
        <w:overflowPunct/>
        <w:topLinePunct w:val="0"/>
        <w:autoSpaceDE/>
        <w:autoSpaceDN/>
        <w:bidi w:val="0"/>
        <w:adjustRightInd/>
        <w:snapToGrid/>
        <w:spacing w:line="1100" w:lineRule="exact"/>
        <w:jc w:val="center"/>
        <w:textAlignment w:val="auto"/>
        <w:outlineLvl w:val="9"/>
        <w:rPr>
          <w:rStyle w:val="32"/>
          <w:rFonts w:hint="eastAsia" w:ascii="方正小标宋简体" w:hAnsi="方正小标宋简体" w:eastAsia="方正小标宋简体" w:cs="方正小标宋简体"/>
          <w:b w:val="0"/>
          <w:bCs/>
          <w:color w:val="auto"/>
          <w:sz w:val="52"/>
          <w:szCs w:val="52"/>
          <w:highlight w:val="none"/>
        </w:rPr>
      </w:pPr>
      <w:r>
        <w:rPr>
          <w:rStyle w:val="32"/>
          <w:rFonts w:hint="eastAsia" w:ascii="方正小标宋简体" w:hAnsi="方正小标宋简体" w:eastAsia="方正小标宋简体" w:cs="方正小标宋简体"/>
          <w:b w:val="0"/>
          <w:bCs/>
          <w:color w:val="auto"/>
          <w:sz w:val="52"/>
          <w:szCs w:val="52"/>
          <w:highlight w:val="none"/>
        </w:rPr>
        <w:t>汕尾市人力资源和社会保障事业发展“十四五”规划</w:t>
      </w:r>
    </w:p>
    <w:p>
      <w:pPr>
        <w:rPr>
          <w:rStyle w:val="32"/>
          <w:rFonts w:ascii="仿宋_GB2312" w:hAnsi="仿宋" w:eastAsia="仿宋_GB2312" w:cs="仿宋"/>
          <w:bCs/>
          <w:color w:val="auto"/>
          <w:sz w:val="32"/>
          <w:szCs w:val="32"/>
          <w:highlight w:val="none"/>
        </w:rPr>
      </w:pPr>
    </w:p>
    <w:p>
      <w:pPr>
        <w:pStyle w:val="8"/>
      </w:pPr>
    </w:p>
    <w:p>
      <w:pPr>
        <w:rPr>
          <w:rStyle w:val="32"/>
          <w:rFonts w:ascii="仿宋_GB2312" w:hAnsi="仿宋" w:eastAsia="仿宋_GB2312" w:cs="仿宋"/>
          <w:bCs/>
          <w:color w:val="auto"/>
          <w:sz w:val="32"/>
          <w:szCs w:val="32"/>
          <w:highlight w:val="none"/>
        </w:rPr>
      </w:pPr>
    </w:p>
    <w:p>
      <w:pPr>
        <w:rPr>
          <w:rStyle w:val="32"/>
          <w:rFonts w:ascii="仿宋_GB2312" w:hAnsi="仿宋" w:eastAsia="仿宋_GB2312" w:cs="仿宋"/>
          <w:bCs/>
          <w:color w:val="auto"/>
          <w:sz w:val="32"/>
          <w:szCs w:val="32"/>
          <w:highlight w:val="none"/>
        </w:rPr>
      </w:pPr>
    </w:p>
    <w:p>
      <w:pPr>
        <w:rPr>
          <w:rStyle w:val="32"/>
          <w:rFonts w:ascii="仿宋_GB2312" w:hAnsi="仿宋" w:eastAsia="仿宋_GB2312" w:cs="仿宋"/>
          <w:bCs/>
          <w:color w:val="auto"/>
          <w:sz w:val="32"/>
          <w:szCs w:val="32"/>
          <w:highlight w:val="none"/>
        </w:rPr>
      </w:pPr>
    </w:p>
    <w:p>
      <w:pPr>
        <w:rPr>
          <w:rStyle w:val="32"/>
          <w:rFonts w:ascii="仿宋_GB2312" w:hAnsi="仿宋" w:eastAsia="仿宋_GB2312" w:cs="仿宋"/>
          <w:bCs/>
          <w:color w:val="auto"/>
          <w:sz w:val="32"/>
          <w:szCs w:val="32"/>
          <w:highlight w:val="none"/>
        </w:rPr>
      </w:pPr>
    </w:p>
    <w:p>
      <w:pPr>
        <w:pStyle w:val="8"/>
        <w:rPr>
          <w:color w:val="auto"/>
          <w:highlight w:val="none"/>
        </w:rPr>
      </w:pPr>
    </w:p>
    <w:p>
      <w:pPr>
        <w:rPr>
          <w:rStyle w:val="32"/>
          <w:rFonts w:ascii="仿宋_GB2312" w:hAnsi="仿宋" w:eastAsia="仿宋_GB2312" w:cs="仿宋"/>
          <w:bCs/>
          <w:color w:val="auto"/>
          <w:sz w:val="32"/>
          <w:szCs w:val="32"/>
          <w:highlight w:val="none"/>
        </w:rPr>
      </w:pPr>
    </w:p>
    <w:p>
      <w:pPr>
        <w:rPr>
          <w:rStyle w:val="32"/>
          <w:rFonts w:ascii="仿宋_GB2312" w:hAnsi="仿宋" w:eastAsia="仿宋_GB2312" w:cs="仿宋"/>
          <w:bCs/>
          <w:color w:val="auto"/>
          <w:sz w:val="32"/>
          <w:szCs w:val="32"/>
          <w:highlight w:val="none"/>
        </w:rPr>
      </w:pPr>
    </w:p>
    <w:p>
      <w:pPr>
        <w:rPr>
          <w:rStyle w:val="32"/>
          <w:rFonts w:ascii="仿宋_GB2312" w:hAnsi="仿宋" w:eastAsia="仿宋_GB2312" w:cs="仿宋"/>
          <w:bCs/>
          <w:color w:val="auto"/>
          <w:sz w:val="32"/>
          <w:szCs w:val="32"/>
          <w:highlight w:val="none"/>
        </w:rPr>
      </w:pPr>
    </w:p>
    <w:p>
      <w:pPr>
        <w:rPr>
          <w:rStyle w:val="32"/>
          <w:rFonts w:ascii="仿宋_GB2312" w:hAnsi="仿宋" w:eastAsia="仿宋_GB2312" w:cs="仿宋"/>
          <w:bCs/>
          <w:color w:val="auto"/>
          <w:sz w:val="32"/>
          <w:szCs w:val="32"/>
          <w:highlight w:val="none"/>
        </w:rPr>
      </w:pPr>
    </w:p>
    <w:p>
      <w:pPr>
        <w:rPr>
          <w:rStyle w:val="32"/>
          <w:rFonts w:ascii="仿宋_GB2312" w:hAnsi="仿宋" w:eastAsia="仿宋_GB2312" w:cs="仿宋"/>
          <w:bCs/>
          <w:color w:val="auto"/>
          <w:sz w:val="32"/>
          <w:szCs w:val="32"/>
          <w:highlight w:val="none"/>
        </w:rPr>
      </w:pPr>
    </w:p>
    <w:p>
      <w:pPr>
        <w:rPr>
          <w:rStyle w:val="32"/>
          <w:rFonts w:ascii="仿宋_GB2312" w:hAnsi="仿宋" w:eastAsia="仿宋_GB2312" w:cs="仿宋"/>
          <w:bCs/>
          <w:color w:val="auto"/>
          <w:sz w:val="32"/>
          <w:szCs w:val="32"/>
          <w:highlight w:val="none"/>
        </w:rPr>
      </w:pPr>
    </w:p>
    <w:p>
      <w:pPr>
        <w:rPr>
          <w:rStyle w:val="32"/>
          <w:rFonts w:ascii="仿宋_GB2312" w:hAnsi="仿宋" w:eastAsia="仿宋_GB2312" w:cs="仿宋"/>
          <w:bCs/>
          <w:color w:val="auto"/>
          <w:sz w:val="32"/>
          <w:szCs w:val="32"/>
          <w:highlight w:val="none"/>
        </w:rPr>
      </w:pPr>
    </w:p>
    <w:p>
      <w:pPr>
        <w:rPr>
          <w:rStyle w:val="32"/>
          <w:rFonts w:ascii="仿宋_GB2312" w:hAnsi="仿宋" w:eastAsia="仿宋_GB2312" w:cs="仿宋"/>
          <w:bCs/>
          <w:color w:val="auto"/>
          <w:sz w:val="32"/>
          <w:szCs w:val="32"/>
          <w:highlight w:val="none"/>
        </w:rPr>
      </w:pPr>
    </w:p>
    <w:p>
      <w:pPr>
        <w:rPr>
          <w:rStyle w:val="32"/>
          <w:rFonts w:ascii="仿宋_GB2312" w:hAnsi="仿宋" w:eastAsia="仿宋_GB2312" w:cs="仿宋"/>
          <w:bCs/>
          <w:color w:val="auto"/>
          <w:sz w:val="32"/>
          <w:szCs w:val="32"/>
          <w:highlight w:val="none"/>
        </w:rPr>
      </w:pPr>
    </w:p>
    <w:p>
      <w:pPr>
        <w:pStyle w:val="8"/>
        <w:rPr>
          <w:rFonts w:hint="eastAsia" w:eastAsia="黑体"/>
          <w:color w:val="auto"/>
          <w:sz w:val="36"/>
          <w:szCs w:val="36"/>
          <w:highlight w:val="none"/>
        </w:rPr>
      </w:pPr>
    </w:p>
    <w:p>
      <w:pPr>
        <w:pStyle w:val="9"/>
        <w:rPr>
          <w:rFonts w:hint="eastAsia" w:eastAsia="黑体"/>
          <w:color w:val="auto"/>
          <w:sz w:val="36"/>
          <w:szCs w:val="36"/>
          <w:highlight w:val="none"/>
        </w:rPr>
      </w:pPr>
    </w:p>
    <w:p>
      <w:pPr>
        <w:pStyle w:val="6"/>
      </w:pPr>
    </w:p>
    <w:p>
      <w:pPr>
        <w:adjustRightInd w:val="0"/>
        <w:snapToGrid w:val="0"/>
        <w:spacing w:line="360" w:lineRule="auto"/>
        <w:jc w:val="both"/>
        <w:rPr>
          <w:rFonts w:ascii="方正小标宋简体" w:eastAsia="方正小标宋简体"/>
          <w:b/>
          <w:color w:val="auto"/>
          <w:sz w:val="44"/>
          <w:szCs w:val="44"/>
          <w:highlight w:val="none"/>
        </w:rPr>
        <w:sectPr>
          <w:pgSz w:w="12240" w:h="15840"/>
          <w:pgMar w:top="1440" w:right="1800" w:bottom="1440" w:left="1800" w:header="720" w:footer="720" w:gutter="0"/>
          <w:pgNumType w:fmt="numberInDash" w:start="1"/>
          <w:cols w:space="720" w:num="1"/>
        </w:sectPr>
      </w:pPr>
    </w:p>
    <w:p>
      <w:pPr>
        <w:adjustRightInd w:val="0"/>
        <w:snapToGrid w:val="0"/>
        <w:spacing w:line="360" w:lineRule="auto"/>
        <w:jc w:val="center"/>
        <w:rPr>
          <w:rFonts w:hint="eastAsia" w:ascii="黑体" w:hAnsi="黑体" w:eastAsia="黑体" w:cs="黑体"/>
          <w:b/>
          <w:color w:val="auto"/>
          <w:sz w:val="36"/>
          <w:szCs w:val="36"/>
          <w:highlight w:val="none"/>
        </w:rPr>
      </w:pPr>
      <w:r>
        <w:rPr>
          <w:rFonts w:hint="eastAsia" w:ascii="黑体" w:hAnsi="黑体" w:eastAsia="黑体" w:cs="黑体"/>
          <w:b w:val="0"/>
          <w:bCs/>
          <w:color w:val="auto"/>
          <w:sz w:val="44"/>
          <w:szCs w:val="44"/>
          <w:highlight w:val="none"/>
        </w:rPr>
        <w:t>目 录</w:t>
      </w:r>
    </w:p>
    <w:p>
      <w:pPr>
        <w:pStyle w:val="2"/>
        <w:keepNext w:val="0"/>
        <w:keepLines w:val="0"/>
        <w:pageBreakBefore w:val="0"/>
        <w:widowControl w:val="0"/>
        <w:kinsoku/>
        <w:wordWrap/>
        <w:overflowPunct/>
        <w:topLinePunct w:val="0"/>
        <w:autoSpaceDE/>
        <w:autoSpaceDN/>
        <w:bidi w:val="0"/>
        <w:spacing w:line="600" w:lineRule="exact"/>
        <w:textAlignment w:val="auto"/>
        <w:outlineLvl w:val="9"/>
        <w:rPr>
          <w:rFonts w:hint="eastAsia"/>
          <w:sz w:val="32"/>
          <w:szCs w:val="32"/>
        </w:rPr>
      </w:pPr>
    </w:p>
    <w:p>
      <w:pPr>
        <w:pStyle w:val="1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Style w:val="32"/>
          <w:rFonts w:ascii="仿宋_GB2312" w:hAnsi="仿宋" w:eastAsia="仿宋_GB2312" w:cs="仿宋"/>
          <w:bCs/>
          <w:color w:val="auto"/>
          <w:sz w:val="32"/>
          <w:szCs w:val="32"/>
          <w:highlight w:val="none"/>
        </w:rPr>
        <w:instrText xml:space="preserve"> </w:instrText>
      </w:r>
      <w:r>
        <w:rPr>
          <w:rStyle w:val="32"/>
          <w:rFonts w:hint="eastAsia" w:ascii="仿宋_GB2312" w:hAnsi="仿宋" w:eastAsia="仿宋_GB2312" w:cs="仿宋"/>
          <w:bCs/>
          <w:color w:val="auto"/>
          <w:sz w:val="32"/>
          <w:szCs w:val="32"/>
          <w:highlight w:val="none"/>
        </w:rPr>
        <w:instrText xml:space="preserve">TOC \o "1-3" \h \z \u</w:instrText>
      </w:r>
      <w:r>
        <w:rPr>
          <w:rStyle w:val="32"/>
          <w:rFonts w:ascii="仿宋_GB2312" w:hAnsi="仿宋" w:eastAsia="仿宋_GB2312" w:cs="仿宋"/>
          <w:bCs/>
          <w:color w:val="auto"/>
          <w:sz w:val="32"/>
          <w:szCs w:val="32"/>
          <w:highlight w:val="none"/>
        </w:rPr>
        <w:instrText xml:space="preserve"> </w:instrText>
      </w:r>
      <w:r>
        <w:rPr>
          <w:rFonts w:ascii="仿宋_GB2312" w:hAnsi="仿宋" w:eastAsia="仿宋_GB2312" w:cs="仿宋"/>
          <w:bCs/>
          <w:color w:val="auto"/>
          <w:sz w:val="32"/>
          <w:szCs w:val="32"/>
          <w:highlight w:val="none"/>
        </w:rPr>
        <w:fldChar w:fldCharType="separate"/>
      </w: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_Toc9411 </w:instrText>
      </w:r>
      <w:r>
        <w:rPr>
          <w:rFonts w:ascii="仿宋_GB2312" w:hAnsi="仿宋" w:eastAsia="仿宋_GB2312" w:cs="仿宋"/>
          <w:bCs/>
          <w:sz w:val="32"/>
          <w:szCs w:val="32"/>
          <w:highlight w:val="none"/>
        </w:rPr>
        <w:fldChar w:fldCharType="separate"/>
      </w:r>
      <w:r>
        <w:rPr>
          <w:rFonts w:hint="eastAsia" w:ascii="黑体" w:hAnsi="黑体" w:eastAsia="黑体" w:cs="黑体"/>
          <w:bCs/>
          <w:sz w:val="32"/>
          <w:szCs w:val="32"/>
          <w:highlight w:val="none"/>
          <w:lang w:val="en-US"/>
        </w:rPr>
        <w:t>第一章  发展基础和机遇挑战</w:t>
      </w:r>
      <w:r>
        <w:rPr>
          <w:sz w:val="32"/>
          <w:szCs w:val="32"/>
        </w:rPr>
        <w:tab/>
      </w:r>
      <w:r>
        <w:rPr>
          <w:sz w:val="32"/>
          <w:szCs w:val="32"/>
        </w:rPr>
        <w:fldChar w:fldCharType="begin"/>
      </w:r>
      <w:r>
        <w:rPr>
          <w:sz w:val="32"/>
          <w:szCs w:val="32"/>
        </w:rPr>
        <w:instrText xml:space="preserve"> PAGEREF _Toc9411 </w:instrText>
      </w:r>
      <w:r>
        <w:rPr>
          <w:sz w:val="32"/>
          <w:szCs w:val="32"/>
        </w:rPr>
        <w:fldChar w:fldCharType="separate"/>
      </w:r>
      <w:r>
        <w:rPr>
          <w:sz w:val="32"/>
          <w:szCs w:val="32"/>
        </w:rPr>
        <w:t>- 1 -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_Toc11414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第一节  发展基础</w:t>
      </w:r>
      <w:r>
        <w:rPr>
          <w:sz w:val="32"/>
          <w:szCs w:val="32"/>
        </w:rPr>
        <w:tab/>
      </w:r>
      <w:r>
        <w:rPr>
          <w:sz w:val="32"/>
          <w:szCs w:val="32"/>
        </w:rPr>
        <w:fldChar w:fldCharType="begin"/>
      </w:r>
      <w:r>
        <w:rPr>
          <w:sz w:val="32"/>
          <w:szCs w:val="32"/>
        </w:rPr>
        <w:instrText xml:space="preserve"> PAGEREF _Toc11414 </w:instrText>
      </w:r>
      <w:r>
        <w:rPr>
          <w:sz w:val="32"/>
          <w:szCs w:val="32"/>
        </w:rPr>
        <w:fldChar w:fldCharType="separate"/>
      </w:r>
      <w:r>
        <w:rPr>
          <w:sz w:val="32"/>
          <w:szCs w:val="32"/>
        </w:rPr>
        <w:t>- 1 -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_Toc20503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第二节  机遇挑战</w:t>
      </w:r>
      <w:r>
        <w:rPr>
          <w:sz w:val="32"/>
          <w:szCs w:val="32"/>
        </w:rPr>
        <w:tab/>
      </w:r>
      <w:r>
        <w:rPr>
          <w:sz w:val="32"/>
          <w:szCs w:val="32"/>
        </w:rPr>
        <w:fldChar w:fldCharType="begin"/>
      </w:r>
      <w:r>
        <w:rPr>
          <w:sz w:val="32"/>
          <w:szCs w:val="32"/>
        </w:rPr>
        <w:instrText xml:space="preserve"> PAGEREF _Toc20503 </w:instrText>
      </w:r>
      <w:r>
        <w:rPr>
          <w:sz w:val="32"/>
          <w:szCs w:val="32"/>
        </w:rPr>
        <w:fldChar w:fldCharType="separate"/>
      </w:r>
      <w:r>
        <w:rPr>
          <w:sz w:val="32"/>
          <w:szCs w:val="32"/>
        </w:rPr>
        <w:t>- 7 -</w:t>
      </w:r>
      <w:r>
        <w:rPr>
          <w:sz w:val="32"/>
          <w:szCs w:val="32"/>
        </w:rPr>
        <w:fldChar w:fldCharType="end"/>
      </w:r>
      <w:r>
        <w:rPr>
          <w:rFonts w:ascii="仿宋_GB2312" w:hAnsi="仿宋" w:eastAsia="仿宋_GB2312" w:cs="仿宋"/>
          <w:bCs/>
          <w:color w:val="auto"/>
          <w:sz w:val="32"/>
          <w:szCs w:val="32"/>
          <w:highlight w:val="none"/>
        </w:rPr>
        <w:fldChar w:fldCharType="end"/>
      </w:r>
    </w:p>
    <w:p>
      <w:pPr>
        <w:pStyle w:val="1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_Toc16666 </w:instrText>
      </w:r>
      <w:r>
        <w:rPr>
          <w:rFonts w:ascii="仿宋_GB2312" w:hAnsi="仿宋" w:eastAsia="仿宋_GB2312" w:cs="仿宋"/>
          <w:bCs/>
          <w:sz w:val="32"/>
          <w:szCs w:val="32"/>
          <w:highlight w:val="none"/>
        </w:rPr>
        <w:fldChar w:fldCharType="separate"/>
      </w:r>
      <w:r>
        <w:rPr>
          <w:rFonts w:ascii="Calibri" w:hAnsi="Calibri" w:eastAsia="黑体"/>
          <w:bCs/>
          <w:sz w:val="32"/>
          <w:szCs w:val="32"/>
          <w:highlight w:val="none"/>
          <w:lang w:val="en-US"/>
        </w:rPr>
        <w:t>第二章  总体要求</w:t>
      </w:r>
      <w:r>
        <w:rPr>
          <w:sz w:val="32"/>
          <w:szCs w:val="32"/>
        </w:rPr>
        <w:tab/>
      </w:r>
      <w:r>
        <w:rPr>
          <w:sz w:val="32"/>
          <w:szCs w:val="32"/>
        </w:rPr>
        <w:fldChar w:fldCharType="begin"/>
      </w:r>
      <w:r>
        <w:rPr>
          <w:sz w:val="32"/>
          <w:szCs w:val="32"/>
        </w:rPr>
        <w:instrText xml:space="preserve"> PAGEREF _Toc16666 </w:instrText>
      </w:r>
      <w:r>
        <w:rPr>
          <w:sz w:val="32"/>
          <w:szCs w:val="32"/>
        </w:rPr>
        <w:fldChar w:fldCharType="separate"/>
      </w:r>
      <w:r>
        <w:rPr>
          <w:sz w:val="32"/>
          <w:szCs w:val="32"/>
        </w:rPr>
        <w:t>- 11 -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_Toc30253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 xml:space="preserve">第一节  </w:t>
      </w:r>
      <w:r>
        <w:rPr>
          <w:rFonts w:ascii="Cambria" w:hAnsi="Cambria" w:eastAsia="楷体_GB2312"/>
          <w:sz w:val="32"/>
          <w:szCs w:val="32"/>
          <w:highlight w:val="none"/>
        </w:rPr>
        <w:t>指导思想</w:t>
      </w:r>
      <w:r>
        <w:rPr>
          <w:sz w:val="32"/>
          <w:szCs w:val="32"/>
        </w:rPr>
        <w:tab/>
      </w:r>
      <w:r>
        <w:rPr>
          <w:sz w:val="32"/>
          <w:szCs w:val="32"/>
        </w:rPr>
        <w:fldChar w:fldCharType="begin"/>
      </w:r>
      <w:r>
        <w:rPr>
          <w:sz w:val="32"/>
          <w:szCs w:val="32"/>
        </w:rPr>
        <w:instrText xml:space="preserve"> PAGEREF _Toc30253 </w:instrText>
      </w:r>
      <w:r>
        <w:rPr>
          <w:sz w:val="32"/>
          <w:szCs w:val="32"/>
        </w:rPr>
        <w:fldChar w:fldCharType="separate"/>
      </w:r>
      <w:r>
        <w:rPr>
          <w:sz w:val="32"/>
          <w:szCs w:val="32"/>
        </w:rPr>
        <w:t>- 11 -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_Toc11920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 xml:space="preserve">第二节  </w:t>
      </w:r>
      <w:r>
        <w:rPr>
          <w:rFonts w:ascii="Cambria" w:hAnsi="Cambria" w:eastAsia="楷体_GB2312"/>
          <w:sz w:val="32"/>
          <w:szCs w:val="32"/>
          <w:highlight w:val="none"/>
        </w:rPr>
        <w:t>基本原则</w:t>
      </w:r>
      <w:r>
        <w:rPr>
          <w:sz w:val="32"/>
          <w:szCs w:val="32"/>
        </w:rPr>
        <w:tab/>
      </w:r>
      <w:r>
        <w:rPr>
          <w:sz w:val="32"/>
          <w:szCs w:val="32"/>
        </w:rPr>
        <w:fldChar w:fldCharType="begin"/>
      </w:r>
      <w:r>
        <w:rPr>
          <w:sz w:val="32"/>
          <w:szCs w:val="32"/>
        </w:rPr>
        <w:instrText xml:space="preserve"> PAGEREF _Toc11920 </w:instrText>
      </w:r>
      <w:r>
        <w:rPr>
          <w:sz w:val="32"/>
          <w:szCs w:val="32"/>
        </w:rPr>
        <w:fldChar w:fldCharType="separate"/>
      </w:r>
      <w:r>
        <w:rPr>
          <w:sz w:val="32"/>
          <w:szCs w:val="32"/>
        </w:rPr>
        <w:t>- 12 -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_Toc28349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第三节  主要</w:t>
      </w:r>
      <w:r>
        <w:rPr>
          <w:rFonts w:ascii="Cambria" w:hAnsi="Cambria" w:eastAsia="楷体_GB2312"/>
          <w:sz w:val="32"/>
          <w:szCs w:val="32"/>
          <w:highlight w:val="none"/>
        </w:rPr>
        <w:t>目标</w:t>
      </w:r>
      <w:r>
        <w:rPr>
          <w:sz w:val="32"/>
          <w:szCs w:val="32"/>
        </w:rPr>
        <w:tab/>
      </w:r>
      <w:r>
        <w:rPr>
          <w:sz w:val="32"/>
          <w:szCs w:val="32"/>
        </w:rPr>
        <w:fldChar w:fldCharType="begin"/>
      </w:r>
      <w:r>
        <w:rPr>
          <w:sz w:val="32"/>
          <w:szCs w:val="32"/>
        </w:rPr>
        <w:instrText xml:space="preserve"> PAGEREF _Toc28349 </w:instrText>
      </w:r>
      <w:r>
        <w:rPr>
          <w:sz w:val="32"/>
          <w:szCs w:val="32"/>
        </w:rPr>
        <w:fldChar w:fldCharType="separate"/>
      </w:r>
      <w:r>
        <w:rPr>
          <w:sz w:val="32"/>
          <w:szCs w:val="32"/>
        </w:rPr>
        <w:t>- 13 -</w:t>
      </w:r>
      <w:r>
        <w:rPr>
          <w:sz w:val="32"/>
          <w:szCs w:val="32"/>
        </w:rPr>
        <w:fldChar w:fldCharType="end"/>
      </w:r>
      <w:r>
        <w:rPr>
          <w:rFonts w:ascii="仿宋_GB2312" w:hAnsi="仿宋" w:eastAsia="仿宋_GB2312" w:cs="仿宋"/>
          <w:bCs/>
          <w:color w:val="auto"/>
          <w:sz w:val="32"/>
          <w:szCs w:val="32"/>
          <w:highlight w:val="none"/>
        </w:rPr>
        <w:fldChar w:fldCharType="end"/>
      </w:r>
    </w:p>
    <w:p>
      <w:pPr>
        <w:pStyle w:val="1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_Toc24999 </w:instrText>
      </w:r>
      <w:r>
        <w:rPr>
          <w:rFonts w:ascii="仿宋_GB2312" w:hAnsi="仿宋" w:eastAsia="仿宋_GB2312" w:cs="仿宋"/>
          <w:bCs/>
          <w:sz w:val="32"/>
          <w:szCs w:val="32"/>
          <w:highlight w:val="none"/>
        </w:rPr>
        <w:fldChar w:fldCharType="separate"/>
      </w:r>
      <w:r>
        <w:rPr>
          <w:rFonts w:hint="eastAsia" w:ascii="Calibri" w:hAnsi="Calibri" w:eastAsia="黑体"/>
          <w:bCs/>
          <w:sz w:val="32"/>
          <w:szCs w:val="32"/>
          <w:highlight w:val="none"/>
          <w:lang w:val="en-US"/>
        </w:rPr>
        <w:t>第三章  促进深汕人社制度有效对接</w:t>
      </w:r>
      <w:r>
        <w:rPr>
          <w:sz w:val="32"/>
          <w:szCs w:val="32"/>
        </w:rPr>
        <w:tab/>
      </w:r>
      <w:r>
        <w:rPr>
          <w:sz w:val="32"/>
          <w:szCs w:val="32"/>
        </w:rPr>
        <w:fldChar w:fldCharType="begin"/>
      </w:r>
      <w:r>
        <w:rPr>
          <w:sz w:val="32"/>
          <w:szCs w:val="32"/>
        </w:rPr>
        <w:instrText xml:space="preserve"> PAGEREF _Toc24999 </w:instrText>
      </w:r>
      <w:r>
        <w:rPr>
          <w:sz w:val="32"/>
          <w:szCs w:val="32"/>
        </w:rPr>
        <w:fldChar w:fldCharType="separate"/>
      </w:r>
      <w:r>
        <w:rPr>
          <w:sz w:val="32"/>
          <w:szCs w:val="32"/>
        </w:rPr>
        <w:t>- 19 -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_Toc24647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第一节  加强就业合作</w:t>
      </w:r>
      <w:r>
        <w:rPr>
          <w:sz w:val="32"/>
          <w:szCs w:val="32"/>
        </w:rPr>
        <w:tab/>
      </w:r>
      <w:r>
        <w:rPr>
          <w:sz w:val="32"/>
          <w:szCs w:val="32"/>
        </w:rPr>
        <w:fldChar w:fldCharType="begin"/>
      </w:r>
      <w:r>
        <w:rPr>
          <w:sz w:val="32"/>
          <w:szCs w:val="32"/>
        </w:rPr>
        <w:instrText xml:space="preserve"> PAGEREF _Toc24647 </w:instrText>
      </w:r>
      <w:r>
        <w:rPr>
          <w:sz w:val="32"/>
          <w:szCs w:val="32"/>
        </w:rPr>
        <w:fldChar w:fldCharType="separate"/>
      </w:r>
      <w:r>
        <w:rPr>
          <w:sz w:val="32"/>
          <w:szCs w:val="32"/>
        </w:rPr>
        <w:t>- 19 -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_Toc18749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第二节  加强人才合作</w:t>
      </w:r>
      <w:r>
        <w:rPr>
          <w:sz w:val="32"/>
          <w:szCs w:val="32"/>
        </w:rPr>
        <w:tab/>
      </w:r>
      <w:r>
        <w:rPr>
          <w:sz w:val="32"/>
          <w:szCs w:val="32"/>
        </w:rPr>
        <w:fldChar w:fldCharType="begin"/>
      </w:r>
      <w:r>
        <w:rPr>
          <w:sz w:val="32"/>
          <w:szCs w:val="32"/>
        </w:rPr>
        <w:instrText xml:space="preserve"> PAGEREF _Toc18749 </w:instrText>
      </w:r>
      <w:r>
        <w:rPr>
          <w:sz w:val="32"/>
          <w:szCs w:val="32"/>
        </w:rPr>
        <w:fldChar w:fldCharType="separate"/>
      </w:r>
      <w:r>
        <w:rPr>
          <w:sz w:val="32"/>
          <w:szCs w:val="32"/>
        </w:rPr>
        <w:t>- 20 -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_Toc24331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rPr>
        <w:t xml:space="preserve">第三节 </w:t>
      </w:r>
      <w:r>
        <w:rPr>
          <w:rFonts w:hint="eastAsia" w:ascii="Cambria" w:hAnsi="Cambria" w:eastAsia="楷体_GB2312"/>
          <w:sz w:val="32"/>
          <w:szCs w:val="32"/>
          <w:highlight w:val="none"/>
        </w:rPr>
        <w:t>推进公共服务一体化发展</w:t>
      </w:r>
      <w:r>
        <w:rPr>
          <w:sz w:val="32"/>
          <w:szCs w:val="32"/>
        </w:rPr>
        <w:tab/>
      </w:r>
      <w:r>
        <w:rPr>
          <w:sz w:val="32"/>
          <w:szCs w:val="32"/>
        </w:rPr>
        <w:fldChar w:fldCharType="begin"/>
      </w:r>
      <w:r>
        <w:rPr>
          <w:sz w:val="32"/>
          <w:szCs w:val="32"/>
        </w:rPr>
        <w:instrText xml:space="preserve"> PAGEREF _Toc24331 </w:instrText>
      </w:r>
      <w:r>
        <w:rPr>
          <w:sz w:val="32"/>
          <w:szCs w:val="32"/>
        </w:rPr>
        <w:fldChar w:fldCharType="separate"/>
      </w:r>
      <w:r>
        <w:rPr>
          <w:sz w:val="32"/>
          <w:szCs w:val="32"/>
        </w:rPr>
        <w:t>- 20 -</w:t>
      </w:r>
      <w:r>
        <w:rPr>
          <w:sz w:val="32"/>
          <w:szCs w:val="32"/>
        </w:rPr>
        <w:fldChar w:fldCharType="end"/>
      </w:r>
      <w:r>
        <w:rPr>
          <w:rFonts w:ascii="仿宋_GB2312" w:hAnsi="仿宋" w:eastAsia="仿宋_GB2312" w:cs="仿宋"/>
          <w:bCs/>
          <w:color w:val="auto"/>
          <w:sz w:val="32"/>
          <w:szCs w:val="32"/>
          <w:highlight w:val="none"/>
        </w:rPr>
        <w:fldChar w:fldCharType="end"/>
      </w:r>
    </w:p>
    <w:p>
      <w:pPr>
        <w:pStyle w:val="1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_Toc28167 </w:instrText>
      </w:r>
      <w:r>
        <w:rPr>
          <w:rFonts w:ascii="仿宋_GB2312" w:hAnsi="仿宋" w:eastAsia="仿宋_GB2312" w:cs="仿宋"/>
          <w:bCs/>
          <w:sz w:val="32"/>
          <w:szCs w:val="32"/>
          <w:highlight w:val="none"/>
        </w:rPr>
        <w:fldChar w:fldCharType="separate"/>
      </w:r>
      <w:r>
        <w:rPr>
          <w:rFonts w:hint="eastAsia" w:ascii="Calibri" w:hAnsi="Calibri" w:eastAsia="黑体"/>
          <w:bCs/>
          <w:sz w:val="32"/>
          <w:szCs w:val="32"/>
          <w:highlight w:val="none"/>
          <w:lang w:val="en-US"/>
        </w:rPr>
        <w:t>第四章  实现更加充分更高质量就业</w:t>
      </w:r>
      <w:r>
        <w:rPr>
          <w:sz w:val="32"/>
          <w:szCs w:val="32"/>
        </w:rPr>
        <w:tab/>
      </w:r>
      <w:r>
        <w:rPr>
          <w:sz w:val="32"/>
          <w:szCs w:val="32"/>
        </w:rPr>
        <w:fldChar w:fldCharType="begin"/>
      </w:r>
      <w:r>
        <w:rPr>
          <w:sz w:val="32"/>
          <w:szCs w:val="32"/>
        </w:rPr>
        <w:instrText xml:space="preserve"> PAGEREF _Toc28167 </w:instrText>
      </w:r>
      <w:r>
        <w:rPr>
          <w:sz w:val="32"/>
          <w:szCs w:val="32"/>
        </w:rPr>
        <w:fldChar w:fldCharType="separate"/>
      </w:r>
      <w:r>
        <w:rPr>
          <w:sz w:val="32"/>
          <w:szCs w:val="32"/>
        </w:rPr>
        <w:t>- 22 -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_Toc18576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第一节  强化就业政策引导效能</w:t>
      </w:r>
      <w:r>
        <w:rPr>
          <w:sz w:val="32"/>
          <w:szCs w:val="32"/>
        </w:rPr>
        <w:tab/>
      </w:r>
      <w:r>
        <w:rPr>
          <w:sz w:val="32"/>
          <w:szCs w:val="32"/>
        </w:rPr>
        <w:fldChar w:fldCharType="begin"/>
      </w:r>
      <w:r>
        <w:rPr>
          <w:sz w:val="32"/>
          <w:szCs w:val="32"/>
        </w:rPr>
        <w:instrText xml:space="preserve"> PAGEREF _Toc18576 </w:instrText>
      </w:r>
      <w:r>
        <w:rPr>
          <w:sz w:val="32"/>
          <w:szCs w:val="32"/>
        </w:rPr>
        <w:fldChar w:fldCharType="separate"/>
      </w:r>
      <w:r>
        <w:rPr>
          <w:sz w:val="32"/>
          <w:szCs w:val="32"/>
        </w:rPr>
        <w:t>- 22 -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_Toc30830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第二节  促进创业带动就业</w:t>
      </w:r>
      <w:r>
        <w:rPr>
          <w:sz w:val="32"/>
          <w:szCs w:val="32"/>
        </w:rPr>
        <w:tab/>
      </w:r>
      <w:r>
        <w:rPr>
          <w:sz w:val="32"/>
          <w:szCs w:val="32"/>
        </w:rPr>
        <w:fldChar w:fldCharType="begin"/>
      </w:r>
      <w:r>
        <w:rPr>
          <w:sz w:val="32"/>
          <w:szCs w:val="32"/>
        </w:rPr>
        <w:instrText xml:space="preserve"> PAGEREF _Toc30830 </w:instrText>
      </w:r>
      <w:r>
        <w:rPr>
          <w:sz w:val="32"/>
          <w:szCs w:val="32"/>
        </w:rPr>
        <w:fldChar w:fldCharType="separate"/>
      </w:r>
      <w:r>
        <w:rPr>
          <w:sz w:val="32"/>
          <w:szCs w:val="32"/>
        </w:rPr>
        <w:t>- 23 -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_Toc26773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第三节  完善重点群体就业支持体系</w:t>
      </w:r>
      <w:r>
        <w:rPr>
          <w:sz w:val="32"/>
          <w:szCs w:val="32"/>
        </w:rPr>
        <w:tab/>
      </w:r>
      <w:r>
        <w:rPr>
          <w:sz w:val="32"/>
          <w:szCs w:val="32"/>
        </w:rPr>
        <w:fldChar w:fldCharType="begin"/>
      </w:r>
      <w:r>
        <w:rPr>
          <w:sz w:val="32"/>
          <w:szCs w:val="32"/>
        </w:rPr>
        <w:instrText xml:space="preserve"> PAGEREF _Toc26773 </w:instrText>
      </w:r>
      <w:r>
        <w:rPr>
          <w:sz w:val="32"/>
          <w:szCs w:val="32"/>
        </w:rPr>
        <w:fldChar w:fldCharType="separate"/>
      </w:r>
      <w:r>
        <w:rPr>
          <w:sz w:val="32"/>
          <w:szCs w:val="32"/>
        </w:rPr>
        <w:t>- 24 -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_Toc7752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第四节  推进全方位公共就业服务</w:t>
      </w:r>
      <w:r>
        <w:rPr>
          <w:sz w:val="32"/>
          <w:szCs w:val="32"/>
        </w:rPr>
        <w:tab/>
      </w:r>
      <w:r>
        <w:rPr>
          <w:sz w:val="32"/>
          <w:szCs w:val="32"/>
        </w:rPr>
        <w:fldChar w:fldCharType="begin"/>
      </w:r>
      <w:r>
        <w:rPr>
          <w:sz w:val="32"/>
          <w:szCs w:val="32"/>
        </w:rPr>
        <w:instrText xml:space="preserve"> PAGEREF _Toc7752 </w:instrText>
      </w:r>
      <w:r>
        <w:rPr>
          <w:sz w:val="32"/>
          <w:szCs w:val="32"/>
        </w:rPr>
        <w:fldChar w:fldCharType="separate"/>
      </w:r>
      <w:r>
        <w:rPr>
          <w:sz w:val="32"/>
          <w:szCs w:val="32"/>
        </w:rPr>
        <w:t>- 26 -</w:t>
      </w:r>
      <w:r>
        <w:rPr>
          <w:sz w:val="32"/>
          <w:szCs w:val="32"/>
        </w:rPr>
        <w:fldChar w:fldCharType="end"/>
      </w:r>
      <w:r>
        <w:rPr>
          <w:rFonts w:ascii="仿宋_GB2312" w:hAnsi="仿宋" w:eastAsia="仿宋_GB2312" w:cs="仿宋"/>
          <w:bCs/>
          <w:color w:val="auto"/>
          <w:sz w:val="32"/>
          <w:szCs w:val="32"/>
          <w:highlight w:val="none"/>
        </w:rPr>
        <w:fldChar w:fldCharType="end"/>
      </w:r>
    </w:p>
    <w:p>
      <w:pPr>
        <w:pStyle w:val="1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_Toc6760 </w:instrText>
      </w:r>
      <w:r>
        <w:rPr>
          <w:rFonts w:ascii="仿宋_GB2312" w:hAnsi="仿宋" w:eastAsia="仿宋_GB2312" w:cs="仿宋"/>
          <w:bCs/>
          <w:sz w:val="32"/>
          <w:szCs w:val="32"/>
          <w:highlight w:val="none"/>
        </w:rPr>
        <w:fldChar w:fldCharType="separate"/>
      </w:r>
      <w:r>
        <w:rPr>
          <w:rFonts w:hint="eastAsia" w:ascii="Calibri" w:hAnsi="Calibri" w:eastAsia="黑体"/>
          <w:bCs/>
          <w:sz w:val="32"/>
          <w:szCs w:val="32"/>
          <w:highlight w:val="none"/>
          <w:lang w:val="en-US"/>
        </w:rPr>
        <w:t>第五章  建设全覆盖可持续的多层次社会保障体系</w:t>
      </w:r>
      <w:r>
        <w:rPr>
          <w:sz w:val="32"/>
          <w:szCs w:val="32"/>
        </w:rPr>
        <w:tab/>
      </w:r>
      <w:r>
        <w:rPr>
          <w:sz w:val="32"/>
          <w:szCs w:val="32"/>
        </w:rPr>
        <w:fldChar w:fldCharType="begin"/>
      </w:r>
      <w:r>
        <w:rPr>
          <w:sz w:val="32"/>
          <w:szCs w:val="32"/>
        </w:rPr>
        <w:instrText xml:space="preserve"> PAGEREF _Toc6760 </w:instrText>
      </w:r>
      <w:r>
        <w:rPr>
          <w:sz w:val="32"/>
          <w:szCs w:val="32"/>
        </w:rPr>
        <w:fldChar w:fldCharType="separate"/>
      </w:r>
      <w:r>
        <w:rPr>
          <w:sz w:val="32"/>
          <w:szCs w:val="32"/>
        </w:rPr>
        <w:t>- 29 -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_Toc32594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第一节  促进全民享有社会保障</w:t>
      </w:r>
      <w:r>
        <w:rPr>
          <w:sz w:val="32"/>
          <w:szCs w:val="32"/>
        </w:rPr>
        <w:tab/>
      </w:r>
      <w:r>
        <w:rPr>
          <w:sz w:val="32"/>
          <w:szCs w:val="32"/>
        </w:rPr>
        <w:fldChar w:fldCharType="begin"/>
      </w:r>
      <w:r>
        <w:rPr>
          <w:sz w:val="32"/>
          <w:szCs w:val="32"/>
        </w:rPr>
        <w:instrText xml:space="preserve"> PAGEREF _Toc32594 </w:instrText>
      </w:r>
      <w:r>
        <w:rPr>
          <w:sz w:val="32"/>
          <w:szCs w:val="32"/>
        </w:rPr>
        <w:fldChar w:fldCharType="separate"/>
      </w:r>
      <w:r>
        <w:rPr>
          <w:sz w:val="32"/>
          <w:szCs w:val="32"/>
        </w:rPr>
        <w:t>- 29 -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_Toc29159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第二节  完善社会保障制度体系</w:t>
      </w:r>
      <w:r>
        <w:rPr>
          <w:sz w:val="32"/>
          <w:szCs w:val="32"/>
        </w:rPr>
        <w:tab/>
      </w:r>
      <w:r>
        <w:rPr>
          <w:sz w:val="32"/>
          <w:szCs w:val="32"/>
        </w:rPr>
        <w:fldChar w:fldCharType="begin"/>
      </w:r>
      <w:r>
        <w:rPr>
          <w:sz w:val="32"/>
          <w:szCs w:val="32"/>
        </w:rPr>
        <w:instrText xml:space="preserve"> PAGEREF _Toc29159 </w:instrText>
      </w:r>
      <w:r>
        <w:rPr>
          <w:sz w:val="32"/>
          <w:szCs w:val="32"/>
        </w:rPr>
        <w:fldChar w:fldCharType="separate"/>
      </w:r>
      <w:r>
        <w:rPr>
          <w:sz w:val="32"/>
          <w:szCs w:val="32"/>
        </w:rPr>
        <w:t>- 30 -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_Toc28318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第三节  完善社会保障待遇调整机制</w:t>
      </w:r>
      <w:r>
        <w:rPr>
          <w:sz w:val="32"/>
          <w:szCs w:val="32"/>
        </w:rPr>
        <w:tab/>
      </w:r>
      <w:r>
        <w:rPr>
          <w:sz w:val="32"/>
          <w:szCs w:val="32"/>
        </w:rPr>
        <w:fldChar w:fldCharType="begin"/>
      </w:r>
      <w:r>
        <w:rPr>
          <w:sz w:val="32"/>
          <w:szCs w:val="32"/>
        </w:rPr>
        <w:instrText xml:space="preserve"> PAGEREF _Toc28318 </w:instrText>
      </w:r>
      <w:r>
        <w:rPr>
          <w:sz w:val="32"/>
          <w:szCs w:val="32"/>
        </w:rPr>
        <w:fldChar w:fldCharType="separate"/>
      </w:r>
      <w:r>
        <w:rPr>
          <w:sz w:val="32"/>
          <w:szCs w:val="32"/>
        </w:rPr>
        <w:t>- 32 -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_Toc4551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lang w:val="en-US" w:eastAsia="zh-CN"/>
        </w:rPr>
        <w:t xml:space="preserve">第四节  </w:t>
      </w:r>
      <w:r>
        <w:rPr>
          <w:rFonts w:hint="eastAsia" w:ascii="Cambria" w:hAnsi="Cambria" w:eastAsia="楷体_GB2312"/>
          <w:sz w:val="32"/>
          <w:szCs w:val="32"/>
          <w:highlight w:val="none"/>
        </w:rPr>
        <w:t>提升社会保险经办服务水平</w:t>
      </w:r>
      <w:r>
        <w:rPr>
          <w:sz w:val="32"/>
          <w:szCs w:val="32"/>
        </w:rPr>
        <w:tab/>
      </w:r>
      <w:r>
        <w:rPr>
          <w:sz w:val="32"/>
          <w:szCs w:val="32"/>
        </w:rPr>
        <w:fldChar w:fldCharType="begin"/>
      </w:r>
      <w:r>
        <w:rPr>
          <w:sz w:val="32"/>
          <w:szCs w:val="32"/>
        </w:rPr>
        <w:instrText xml:space="preserve"> PAGEREF _Toc4551 </w:instrText>
      </w:r>
      <w:r>
        <w:rPr>
          <w:sz w:val="32"/>
          <w:szCs w:val="32"/>
        </w:rPr>
        <w:fldChar w:fldCharType="separate"/>
      </w:r>
      <w:r>
        <w:rPr>
          <w:sz w:val="32"/>
          <w:szCs w:val="32"/>
        </w:rPr>
        <w:t>- 33 -</w:t>
      </w:r>
      <w:r>
        <w:rPr>
          <w:sz w:val="32"/>
          <w:szCs w:val="32"/>
        </w:rPr>
        <w:fldChar w:fldCharType="end"/>
      </w:r>
      <w:r>
        <w:rPr>
          <w:rFonts w:ascii="仿宋_GB2312" w:hAnsi="仿宋" w:eastAsia="仿宋_GB2312" w:cs="仿宋"/>
          <w:bCs/>
          <w:color w:val="auto"/>
          <w:sz w:val="32"/>
          <w:szCs w:val="32"/>
          <w:highlight w:val="none"/>
        </w:rPr>
        <w:fldChar w:fldCharType="end"/>
      </w:r>
    </w:p>
    <w:p>
      <w:pPr>
        <w:pStyle w:val="1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_Toc22610 </w:instrText>
      </w:r>
      <w:r>
        <w:rPr>
          <w:rFonts w:ascii="仿宋_GB2312" w:hAnsi="仿宋" w:eastAsia="仿宋_GB2312" w:cs="仿宋"/>
          <w:bCs/>
          <w:sz w:val="32"/>
          <w:szCs w:val="32"/>
          <w:highlight w:val="none"/>
        </w:rPr>
        <w:fldChar w:fldCharType="separate"/>
      </w:r>
      <w:r>
        <w:rPr>
          <w:rFonts w:hint="eastAsia" w:ascii="Calibri" w:hAnsi="Calibri" w:eastAsia="黑体"/>
          <w:bCs/>
          <w:sz w:val="32"/>
          <w:szCs w:val="32"/>
          <w:highlight w:val="none"/>
          <w:lang w:val="en-US"/>
        </w:rPr>
        <w:t>第六章</w:t>
      </w:r>
      <w:r>
        <w:rPr>
          <w:rFonts w:ascii="Calibri" w:hAnsi="Calibri" w:eastAsia="黑体"/>
          <w:bCs/>
          <w:sz w:val="32"/>
          <w:szCs w:val="32"/>
          <w:highlight w:val="none"/>
          <w:lang w:val="en-US"/>
        </w:rPr>
        <w:t xml:space="preserve"> </w:t>
      </w:r>
      <w:r>
        <w:rPr>
          <w:rFonts w:hint="eastAsia" w:ascii="Calibri" w:hAnsi="Calibri" w:eastAsia="黑体"/>
          <w:bCs/>
          <w:sz w:val="32"/>
          <w:szCs w:val="32"/>
          <w:highlight w:val="none"/>
          <w:lang w:val="en-US"/>
        </w:rPr>
        <w:t xml:space="preserve"> 建设高水平人才队伍</w:t>
      </w:r>
      <w:r>
        <w:rPr>
          <w:sz w:val="32"/>
          <w:szCs w:val="32"/>
        </w:rPr>
        <w:tab/>
      </w:r>
      <w:r>
        <w:rPr>
          <w:sz w:val="32"/>
          <w:szCs w:val="32"/>
        </w:rPr>
        <w:fldChar w:fldCharType="begin"/>
      </w:r>
      <w:r>
        <w:rPr>
          <w:sz w:val="32"/>
          <w:szCs w:val="32"/>
        </w:rPr>
        <w:instrText xml:space="preserve"> PAGEREF _Toc22610 </w:instrText>
      </w:r>
      <w:r>
        <w:rPr>
          <w:sz w:val="32"/>
          <w:szCs w:val="32"/>
        </w:rPr>
        <w:fldChar w:fldCharType="separate"/>
      </w:r>
      <w:r>
        <w:rPr>
          <w:sz w:val="32"/>
          <w:szCs w:val="32"/>
        </w:rPr>
        <w:t>- 35 -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_Toc16593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第一节  加快建设高层次专业技术人才队伍</w:t>
      </w:r>
      <w:r>
        <w:rPr>
          <w:sz w:val="32"/>
          <w:szCs w:val="32"/>
        </w:rPr>
        <w:tab/>
      </w:r>
      <w:r>
        <w:rPr>
          <w:sz w:val="32"/>
          <w:szCs w:val="32"/>
        </w:rPr>
        <w:fldChar w:fldCharType="begin"/>
      </w:r>
      <w:r>
        <w:rPr>
          <w:sz w:val="32"/>
          <w:szCs w:val="32"/>
        </w:rPr>
        <w:instrText xml:space="preserve"> PAGEREF _Toc16593 </w:instrText>
      </w:r>
      <w:r>
        <w:rPr>
          <w:sz w:val="32"/>
          <w:szCs w:val="32"/>
        </w:rPr>
        <w:fldChar w:fldCharType="separate"/>
      </w:r>
      <w:r>
        <w:rPr>
          <w:sz w:val="32"/>
          <w:szCs w:val="32"/>
        </w:rPr>
        <w:t>- 35 -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_Toc11875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第二节  扩大高水平技能人才有效供给</w:t>
      </w:r>
      <w:r>
        <w:rPr>
          <w:sz w:val="32"/>
          <w:szCs w:val="32"/>
        </w:rPr>
        <w:tab/>
      </w:r>
      <w:r>
        <w:rPr>
          <w:sz w:val="32"/>
          <w:szCs w:val="32"/>
        </w:rPr>
        <w:fldChar w:fldCharType="begin"/>
      </w:r>
      <w:r>
        <w:rPr>
          <w:sz w:val="32"/>
          <w:szCs w:val="32"/>
        </w:rPr>
        <w:instrText xml:space="preserve"> PAGEREF _Toc11875 </w:instrText>
      </w:r>
      <w:r>
        <w:rPr>
          <w:sz w:val="32"/>
          <w:szCs w:val="32"/>
        </w:rPr>
        <w:fldChar w:fldCharType="separate"/>
      </w:r>
      <w:r>
        <w:rPr>
          <w:sz w:val="32"/>
          <w:szCs w:val="32"/>
        </w:rPr>
        <w:t>- 37 -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_Toc7726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第三节  实施重大人才培养工程</w:t>
      </w:r>
      <w:r>
        <w:rPr>
          <w:sz w:val="32"/>
          <w:szCs w:val="32"/>
        </w:rPr>
        <w:tab/>
      </w:r>
      <w:r>
        <w:rPr>
          <w:sz w:val="32"/>
          <w:szCs w:val="32"/>
        </w:rPr>
        <w:fldChar w:fldCharType="begin"/>
      </w:r>
      <w:r>
        <w:rPr>
          <w:sz w:val="32"/>
          <w:szCs w:val="32"/>
        </w:rPr>
        <w:instrText xml:space="preserve"> PAGEREF _Toc7726 </w:instrText>
      </w:r>
      <w:r>
        <w:rPr>
          <w:sz w:val="32"/>
          <w:szCs w:val="32"/>
        </w:rPr>
        <w:fldChar w:fldCharType="separate"/>
      </w:r>
      <w:r>
        <w:rPr>
          <w:sz w:val="32"/>
          <w:szCs w:val="32"/>
        </w:rPr>
        <w:t>- 39 -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_Toc23609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第四节  完善人才公共服务体系</w:t>
      </w:r>
      <w:r>
        <w:rPr>
          <w:sz w:val="32"/>
          <w:szCs w:val="32"/>
        </w:rPr>
        <w:tab/>
      </w:r>
      <w:r>
        <w:rPr>
          <w:sz w:val="32"/>
          <w:szCs w:val="32"/>
        </w:rPr>
        <w:fldChar w:fldCharType="begin"/>
      </w:r>
      <w:r>
        <w:rPr>
          <w:sz w:val="32"/>
          <w:szCs w:val="32"/>
        </w:rPr>
        <w:instrText xml:space="preserve"> PAGEREF _Toc23609 </w:instrText>
      </w:r>
      <w:r>
        <w:rPr>
          <w:sz w:val="32"/>
          <w:szCs w:val="32"/>
        </w:rPr>
        <w:fldChar w:fldCharType="separate"/>
      </w:r>
      <w:r>
        <w:rPr>
          <w:sz w:val="32"/>
          <w:szCs w:val="32"/>
        </w:rPr>
        <w:t>- 43 -</w:t>
      </w:r>
      <w:r>
        <w:rPr>
          <w:sz w:val="32"/>
          <w:szCs w:val="32"/>
        </w:rPr>
        <w:fldChar w:fldCharType="end"/>
      </w:r>
      <w:r>
        <w:rPr>
          <w:rFonts w:ascii="仿宋_GB2312" w:hAnsi="仿宋" w:eastAsia="仿宋_GB2312" w:cs="仿宋"/>
          <w:bCs/>
          <w:color w:val="auto"/>
          <w:sz w:val="32"/>
          <w:szCs w:val="32"/>
          <w:highlight w:val="none"/>
        </w:rPr>
        <w:fldChar w:fldCharType="end"/>
      </w:r>
    </w:p>
    <w:p>
      <w:pPr>
        <w:pStyle w:val="1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_Toc5378 </w:instrText>
      </w:r>
      <w:r>
        <w:rPr>
          <w:rFonts w:ascii="仿宋_GB2312" w:hAnsi="仿宋" w:eastAsia="仿宋_GB2312" w:cs="仿宋"/>
          <w:bCs/>
          <w:sz w:val="32"/>
          <w:szCs w:val="32"/>
          <w:highlight w:val="none"/>
        </w:rPr>
        <w:fldChar w:fldCharType="separate"/>
      </w:r>
      <w:r>
        <w:rPr>
          <w:rFonts w:hint="eastAsia" w:ascii="Calibri" w:hAnsi="Calibri" w:eastAsia="黑体"/>
          <w:bCs/>
          <w:sz w:val="32"/>
          <w:szCs w:val="32"/>
          <w:highlight w:val="none"/>
          <w:lang w:val="en-US"/>
        </w:rPr>
        <w:t xml:space="preserve">第七章 </w:t>
      </w:r>
      <w:r>
        <w:rPr>
          <w:rFonts w:ascii="Calibri" w:hAnsi="Calibri" w:eastAsia="黑体"/>
          <w:bCs/>
          <w:sz w:val="32"/>
          <w:szCs w:val="32"/>
          <w:highlight w:val="none"/>
          <w:lang w:val="en-US"/>
        </w:rPr>
        <w:t xml:space="preserve"> </w:t>
      </w:r>
      <w:r>
        <w:rPr>
          <w:rFonts w:hint="eastAsia" w:ascii="Calibri" w:hAnsi="Calibri" w:eastAsia="黑体"/>
          <w:bCs/>
          <w:sz w:val="32"/>
          <w:szCs w:val="32"/>
          <w:highlight w:val="none"/>
          <w:lang w:val="en-US"/>
        </w:rPr>
        <w:t>推动</w:t>
      </w:r>
      <w:r>
        <w:rPr>
          <w:rFonts w:ascii="Calibri" w:hAnsi="Calibri" w:eastAsia="黑体"/>
          <w:bCs/>
          <w:sz w:val="32"/>
          <w:szCs w:val="32"/>
          <w:highlight w:val="none"/>
          <w:lang w:val="en-US"/>
        </w:rPr>
        <w:t>技工教育</w:t>
      </w:r>
      <w:r>
        <w:rPr>
          <w:rFonts w:hint="eastAsia" w:ascii="Calibri" w:hAnsi="Calibri" w:eastAsia="黑体"/>
          <w:bCs/>
          <w:sz w:val="32"/>
          <w:szCs w:val="32"/>
          <w:highlight w:val="none"/>
          <w:lang w:val="en-US"/>
        </w:rPr>
        <w:t>高质量</w:t>
      </w:r>
      <w:r>
        <w:rPr>
          <w:rFonts w:ascii="Calibri" w:hAnsi="Calibri" w:eastAsia="黑体"/>
          <w:bCs/>
          <w:sz w:val="32"/>
          <w:szCs w:val="32"/>
          <w:highlight w:val="none"/>
          <w:lang w:val="en-US"/>
        </w:rPr>
        <w:t>发</w:t>
      </w:r>
      <w:r>
        <w:rPr>
          <w:rFonts w:hint="eastAsia" w:ascii="Calibri" w:hAnsi="Calibri" w:eastAsia="黑体"/>
          <w:bCs/>
          <w:sz w:val="32"/>
          <w:szCs w:val="32"/>
          <w:highlight w:val="none"/>
          <w:lang w:val="en-US"/>
        </w:rPr>
        <w:t>展</w:t>
      </w:r>
      <w:r>
        <w:rPr>
          <w:sz w:val="32"/>
          <w:szCs w:val="32"/>
        </w:rPr>
        <w:tab/>
      </w:r>
      <w:r>
        <w:rPr>
          <w:sz w:val="32"/>
          <w:szCs w:val="32"/>
        </w:rPr>
        <w:fldChar w:fldCharType="begin"/>
      </w:r>
      <w:r>
        <w:rPr>
          <w:sz w:val="32"/>
          <w:szCs w:val="32"/>
        </w:rPr>
        <w:instrText xml:space="preserve"> PAGEREF _Toc5378 </w:instrText>
      </w:r>
      <w:r>
        <w:rPr>
          <w:sz w:val="32"/>
          <w:szCs w:val="32"/>
        </w:rPr>
        <w:fldChar w:fldCharType="separate"/>
      </w:r>
      <w:r>
        <w:rPr>
          <w:sz w:val="32"/>
          <w:szCs w:val="32"/>
        </w:rPr>
        <w:t>- 45 -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_Toc92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第一节  优化技工教育规划布局</w:t>
      </w:r>
      <w:r>
        <w:rPr>
          <w:sz w:val="32"/>
          <w:szCs w:val="32"/>
        </w:rPr>
        <w:tab/>
      </w:r>
      <w:r>
        <w:rPr>
          <w:sz w:val="32"/>
          <w:szCs w:val="32"/>
        </w:rPr>
        <w:fldChar w:fldCharType="begin"/>
      </w:r>
      <w:r>
        <w:rPr>
          <w:sz w:val="32"/>
          <w:szCs w:val="32"/>
        </w:rPr>
        <w:instrText xml:space="preserve"> PAGEREF _Toc92 </w:instrText>
      </w:r>
      <w:r>
        <w:rPr>
          <w:sz w:val="32"/>
          <w:szCs w:val="32"/>
        </w:rPr>
        <w:fldChar w:fldCharType="separate"/>
      </w:r>
      <w:r>
        <w:rPr>
          <w:sz w:val="32"/>
          <w:szCs w:val="32"/>
        </w:rPr>
        <w:t>- 45 -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_Toc29150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第二节  打造优质技工教育品牌</w:t>
      </w:r>
      <w:r>
        <w:rPr>
          <w:sz w:val="32"/>
          <w:szCs w:val="32"/>
        </w:rPr>
        <w:tab/>
      </w:r>
      <w:r>
        <w:rPr>
          <w:sz w:val="32"/>
          <w:szCs w:val="32"/>
        </w:rPr>
        <w:fldChar w:fldCharType="begin"/>
      </w:r>
      <w:r>
        <w:rPr>
          <w:sz w:val="32"/>
          <w:szCs w:val="32"/>
        </w:rPr>
        <w:instrText xml:space="preserve"> PAGEREF _Toc29150 </w:instrText>
      </w:r>
      <w:r>
        <w:rPr>
          <w:sz w:val="32"/>
          <w:szCs w:val="32"/>
        </w:rPr>
        <w:fldChar w:fldCharType="separate"/>
      </w:r>
      <w:r>
        <w:rPr>
          <w:sz w:val="32"/>
          <w:szCs w:val="32"/>
        </w:rPr>
        <w:t>- 46 -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_Toc25752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第三节  提升技工教育服务能力</w:t>
      </w:r>
      <w:r>
        <w:rPr>
          <w:sz w:val="32"/>
          <w:szCs w:val="32"/>
        </w:rPr>
        <w:tab/>
      </w:r>
      <w:r>
        <w:rPr>
          <w:sz w:val="32"/>
          <w:szCs w:val="32"/>
        </w:rPr>
        <w:fldChar w:fldCharType="begin"/>
      </w:r>
      <w:r>
        <w:rPr>
          <w:sz w:val="32"/>
          <w:szCs w:val="32"/>
        </w:rPr>
        <w:instrText xml:space="preserve"> PAGEREF _Toc25752 </w:instrText>
      </w:r>
      <w:r>
        <w:rPr>
          <w:sz w:val="32"/>
          <w:szCs w:val="32"/>
        </w:rPr>
        <w:fldChar w:fldCharType="separate"/>
      </w:r>
      <w:r>
        <w:rPr>
          <w:sz w:val="32"/>
          <w:szCs w:val="32"/>
        </w:rPr>
        <w:t>- 48 -</w:t>
      </w:r>
      <w:r>
        <w:rPr>
          <w:sz w:val="32"/>
          <w:szCs w:val="32"/>
        </w:rPr>
        <w:fldChar w:fldCharType="end"/>
      </w:r>
      <w:r>
        <w:rPr>
          <w:rFonts w:ascii="仿宋_GB2312" w:hAnsi="仿宋" w:eastAsia="仿宋_GB2312" w:cs="仿宋"/>
          <w:bCs/>
          <w:color w:val="auto"/>
          <w:sz w:val="32"/>
          <w:szCs w:val="32"/>
          <w:highlight w:val="none"/>
        </w:rPr>
        <w:fldChar w:fldCharType="end"/>
      </w:r>
    </w:p>
    <w:p>
      <w:pPr>
        <w:pStyle w:val="1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_Toc20696 </w:instrText>
      </w:r>
      <w:r>
        <w:rPr>
          <w:rFonts w:ascii="仿宋_GB2312" w:hAnsi="仿宋" w:eastAsia="仿宋_GB2312" w:cs="仿宋"/>
          <w:bCs/>
          <w:sz w:val="32"/>
          <w:szCs w:val="32"/>
          <w:highlight w:val="none"/>
        </w:rPr>
        <w:fldChar w:fldCharType="separate"/>
      </w:r>
      <w:r>
        <w:rPr>
          <w:rFonts w:hint="eastAsia" w:ascii="Calibri" w:hAnsi="Calibri" w:eastAsia="黑体"/>
          <w:bCs/>
          <w:sz w:val="32"/>
          <w:szCs w:val="32"/>
          <w:highlight w:val="none"/>
          <w:lang w:val="en-US"/>
        </w:rPr>
        <w:t>第八章  提高</w:t>
      </w:r>
      <w:r>
        <w:rPr>
          <w:rFonts w:ascii="Calibri" w:hAnsi="Calibri" w:eastAsia="黑体"/>
          <w:bCs/>
          <w:sz w:val="32"/>
          <w:szCs w:val="32"/>
          <w:highlight w:val="none"/>
          <w:lang w:val="en-US"/>
        </w:rPr>
        <w:t>事业单位</w:t>
      </w:r>
      <w:r>
        <w:rPr>
          <w:rFonts w:hint="eastAsia" w:ascii="Calibri" w:hAnsi="Calibri" w:eastAsia="黑体"/>
          <w:bCs/>
          <w:sz w:val="32"/>
          <w:szCs w:val="32"/>
          <w:highlight w:val="none"/>
          <w:lang w:val="en-US"/>
        </w:rPr>
        <w:t>人事管理科学化水平</w:t>
      </w:r>
      <w:r>
        <w:rPr>
          <w:sz w:val="32"/>
          <w:szCs w:val="32"/>
        </w:rPr>
        <w:tab/>
      </w:r>
      <w:r>
        <w:rPr>
          <w:sz w:val="32"/>
          <w:szCs w:val="32"/>
        </w:rPr>
        <w:fldChar w:fldCharType="begin"/>
      </w:r>
      <w:r>
        <w:rPr>
          <w:sz w:val="32"/>
          <w:szCs w:val="32"/>
        </w:rPr>
        <w:instrText xml:space="preserve"> PAGEREF _Toc20696 </w:instrText>
      </w:r>
      <w:r>
        <w:rPr>
          <w:sz w:val="32"/>
          <w:szCs w:val="32"/>
        </w:rPr>
        <w:fldChar w:fldCharType="separate"/>
      </w:r>
      <w:r>
        <w:rPr>
          <w:sz w:val="32"/>
          <w:szCs w:val="32"/>
        </w:rPr>
        <w:t>- 50 -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_Toc12350 </w:instrText>
      </w:r>
      <w:r>
        <w:rPr>
          <w:rFonts w:ascii="仿宋_GB2312" w:hAnsi="仿宋" w:eastAsia="仿宋_GB2312" w:cs="仿宋"/>
          <w:bCs/>
          <w:sz w:val="32"/>
          <w:szCs w:val="32"/>
          <w:highlight w:val="none"/>
        </w:rPr>
        <w:fldChar w:fldCharType="separate"/>
      </w:r>
      <w:r>
        <w:rPr>
          <w:rFonts w:ascii="Cambria" w:hAnsi="Cambria" w:eastAsia="楷体_GB2312"/>
          <w:sz w:val="32"/>
          <w:szCs w:val="32"/>
          <w:highlight w:val="none"/>
        </w:rPr>
        <w:t>第一节</w:t>
      </w:r>
      <w:r>
        <w:rPr>
          <w:rFonts w:hint="eastAsia" w:ascii="Cambria" w:hAnsi="Cambria" w:eastAsia="楷体_GB2312"/>
          <w:sz w:val="32"/>
          <w:szCs w:val="32"/>
          <w:highlight w:val="none"/>
        </w:rPr>
        <w:t xml:space="preserve">  深化事业单位人事制度改革</w:t>
      </w:r>
      <w:r>
        <w:rPr>
          <w:sz w:val="32"/>
          <w:szCs w:val="32"/>
        </w:rPr>
        <w:tab/>
      </w:r>
      <w:r>
        <w:rPr>
          <w:sz w:val="32"/>
          <w:szCs w:val="32"/>
        </w:rPr>
        <w:fldChar w:fldCharType="begin"/>
      </w:r>
      <w:r>
        <w:rPr>
          <w:sz w:val="32"/>
          <w:szCs w:val="32"/>
        </w:rPr>
        <w:instrText xml:space="preserve"> PAGEREF _Toc12350 </w:instrText>
      </w:r>
      <w:r>
        <w:rPr>
          <w:sz w:val="32"/>
          <w:szCs w:val="32"/>
        </w:rPr>
        <w:fldChar w:fldCharType="separate"/>
      </w:r>
      <w:r>
        <w:rPr>
          <w:sz w:val="32"/>
          <w:szCs w:val="32"/>
        </w:rPr>
        <w:t>- 50 -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_Toc4425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第二节  改革完善事业单位薪酬分配制度</w:t>
      </w:r>
      <w:r>
        <w:rPr>
          <w:sz w:val="32"/>
          <w:szCs w:val="32"/>
        </w:rPr>
        <w:tab/>
      </w:r>
      <w:r>
        <w:rPr>
          <w:sz w:val="32"/>
          <w:szCs w:val="32"/>
        </w:rPr>
        <w:fldChar w:fldCharType="begin"/>
      </w:r>
      <w:r>
        <w:rPr>
          <w:sz w:val="32"/>
          <w:szCs w:val="32"/>
        </w:rPr>
        <w:instrText xml:space="preserve"> PAGEREF _Toc4425 </w:instrText>
      </w:r>
      <w:r>
        <w:rPr>
          <w:sz w:val="32"/>
          <w:szCs w:val="32"/>
        </w:rPr>
        <w:fldChar w:fldCharType="separate"/>
      </w:r>
      <w:r>
        <w:rPr>
          <w:sz w:val="32"/>
          <w:szCs w:val="32"/>
        </w:rPr>
        <w:t>- 51 -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_Toc28009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第三节  完善事业单位人事管理服务</w:t>
      </w:r>
      <w:r>
        <w:rPr>
          <w:sz w:val="32"/>
          <w:szCs w:val="32"/>
        </w:rPr>
        <w:tab/>
      </w:r>
      <w:r>
        <w:rPr>
          <w:sz w:val="32"/>
          <w:szCs w:val="32"/>
        </w:rPr>
        <w:fldChar w:fldCharType="begin"/>
      </w:r>
      <w:r>
        <w:rPr>
          <w:sz w:val="32"/>
          <w:szCs w:val="32"/>
        </w:rPr>
        <w:instrText xml:space="preserve"> PAGEREF _Toc28009 </w:instrText>
      </w:r>
      <w:r>
        <w:rPr>
          <w:sz w:val="32"/>
          <w:szCs w:val="32"/>
        </w:rPr>
        <w:fldChar w:fldCharType="separate"/>
      </w:r>
      <w:r>
        <w:rPr>
          <w:sz w:val="32"/>
          <w:szCs w:val="32"/>
        </w:rPr>
        <w:t>- 53 -</w:t>
      </w:r>
      <w:r>
        <w:rPr>
          <w:sz w:val="32"/>
          <w:szCs w:val="32"/>
        </w:rPr>
        <w:fldChar w:fldCharType="end"/>
      </w:r>
      <w:r>
        <w:rPr>
          <w:rFonts w:ascii="仿宋_GB2312" w:hAnsi="仿宋" w:eastAsia="仿宋_GB2312" w:cs="仿宋"/>
          <w:bCs/>
          <w:color w:val="auto"/>
          <w:sz w:val="32"/>
          <w:szCs w:val="32"/>
          <w:highlight w:val="none"/>
        </w:rPr>
        <w:fldChar w:fldCharType="end"/>
      </w:r>
    </w:p>
    <w:p>
      <w:pPr>
        <w:pStyle w:val="1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_Toc9335 </w:instrText>
      </w:r>
      <w:r>
        <w:rPr>
          <w:rFonts w:ascii="仿宋_GB2312" w:hAnsi="仿宋" w:eastAsia="仿宋_GB2312" w:cs="仿宋"/>
          <w:bCs/>
          <w:sz w:val="32"/>
          <w:szCs w:val="32"/>
          <w:highlight w:val="none"/>
        </w:rPr>
        <w:fldChar w:fldCharType="separate"/>
      </w:r>
      <w:r>
        <w:rPr>
          <w:rFonts w:hint="eastAsia" w:ascii="Calibri" w:hAnsi="Calibri" w:eastAsia="黑体"/>
          <w:bCs/>
          <w:sz w:val="32"/>
          <w:szCs w:val="32"/>
          <w:highlight w:val="none"/>
          <w:lang w:val="en-US"/>
        </w:rPr>
        <w:t>第九章  构建新型和谐劳动关系</w:t>
      </w:r>
      <w:r>
        <w:rPr>
          <w:sz w:val="32"/>
          <w:szCs w:val="32"/>
        </w:rPr>
        <w:tab/>
      </w:r>
      <w:r>
        <w:rPr>
          <w:sz w:val="32"/>
          <w:szCs w:val="32"/>
        </w:rPr>
        <w:fldChar w:fldCharType="begin"/>
      </w:r>
      <w:r>
        <w:rPr>
          <w:sz w:val="32"/>
          <w:szCs w:val="32"/>
        </w:rPr>
        <w:instrText xml:space="preserve"> PAGEREF _Toc9335 </w:instrText>
      </w:r>
      <w:r>
        <w:rPr>
          <w:sz w:val="32"/>
          <w:szCs w:val="32"/>
        </w:rPr>
        <w:fldChar w:fldCharType="separate"/>
      </w:r>
      <w:r>
        <w:rPr>
          <w:sz w:val="32"/>
          <w:szCs w:val="32"/>
        </w:rPr>
        <w:t>- 55 -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_Toc368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第一节  健全劳动关系协调机制</w:t>
      </w:r>
      <w:r>
        <w:rPr>
          <w:sz w:val="32"/>
          <w:szCs w:val="32"/>
        </w:rPr>
        <w:tab/>
      </w:r>
      <w:r>
        <w:rPr>
          <w:sz w:val="32"/>
          <w:szCs w:val="32"/>
        </w:rPr>
        <w:fldChar w:fldCharType="begin"/>
      </w:r>
      <w:r>
        <w:rPr>
          <w:sz w:val="32"/>
          <w:szCs w:val="32"/>
        </w:rPr>
        <w:instrText xml:space="preserve"> PAGEREF _Toc368 </w:instrText>
      </w:r>
      <w:r>
        <w:rPr>
          <w:sz w:val="32"/>
          <w:szCs w:val="32"/>
        </w:rPr>
        <w:fldChar w:fldCharType="separate"/>
      </w:r>
      <w:r>
        <w:rPr>
          <w:sz w:val="32"/>
          <w:szCs w:val="32"/>
        </w:rPr>
        <w:t>- 55 -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_Toc30406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第二节  深化企业工资收入分配制度改革</w:t>
      </w:r>
      <w:r>
        <w:rPr>
          <w:sz w:val="32"/>
          <w:szCs w:val="32"/>
        </w:rPr>
        <w:tab/>
      </w:r>
      <w:r>
        <w:rPr>
          <w:sz w:val="32"/>
          <w:szCs w:val="32"/>
        </w:rPr>
        <w:fldChar w:fldCharType="begin"/>
      </w:r>
      <w:r>
        <w:rPr>
          <w:sz w:val="32"/>
          <w:szCs w:val="32"/>
        </w:rPr>
        <w:instrText xml:space="preserve"> PAGEREF _Toc30406 </w:instrText>
      </w:r>
      <w:r>
        <w:rPr>
          <w:sz w:val="32"/>
          <w:szCs w:val="32"/>
        </w:rPr>
        <w:fldChar w:fldCharType="separate"/>
      </w:r>
      <w:r>
        <w:rPr>
          <w:sz w:val="32"/>
          <w:szCs w:val="32"/>
        </w:rPr>
        <w:t>- 57 -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_Toc31218 </w:instrText>
      </w:r>
      <w:r>
        <w:rPr>
          <w:rFonts w:ascii="仿宋_GB2312" w:hAnsi="仿宋" w:eastAsia="仿宋_GB2312" w:cs="仿宋"/>
          <w:bCs/>
          <w:sz w:val="32"/>
          <w:szCs w:val="32"/>
          <w:highlight w:val="none"/>
        </w:rPr>
        <w:fldChar w:fldCharType="separate"/>
      </w:r>
      <w:r>
        <w:rPr>
          <w:rFonts w:hint="eastAsia" w:ascii="楷体_GB2312" w:hAnsi="楷体_GB2312" w:eastAsia="楷体_GB2312" w:cs="楷体_GB2312"/>
          <w:sz w:val="32"/>
          <w:szCs w:val="32"/>
        </w:rPr>
        <w:t>第三节  完善劳动人事争议调解仲裁体制机制</w:t>
      </w:r>
      <w:r>
        <w:rPr>
          <w:sz w:val="32"/>
          <w:szCs w:val="32"/>
        </w:rPr>
        <w:tab/>
      </w:r>
      <w:r>
        <w:rPr>
          <w:sz w:val="32"/>
          <w:szCs w:val="32"/>
        </w:rPr>
        <w:fldChar w:fldCharType="begin"/>
      </w:r>
      <w:r>
        <w:rPr>
          <w:sz w:val="32"/>
          <w:szCs w:val="32"/>
        </w:rPr>
        <w:instrText xml:space="preserve"> PAGEREF _Toc31218 </w:instrText>
      </w:r>
      <w:r>
        <w:rPr>
          <w:sz w:val="32"/>
          <w:szCs w:val="32"/>
        </w:rPr>
        <w:fldChar w:fldCharType="separate"/>
      </w:r>
      <w:r>
        <w:rPr>
          <w:sz w:val="32"/>
          <w:szCs w:val="32"/>
        </w:rPr>
        <w:t>- 58 -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_Toc28441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第四节  提高劳动保障监察治理效能</w:t>
      </w:r>
      <w:r>
        <w:rPr>
          <w:sz w:val="32"/>
          <w:szCs w:val="32"/>
        </w:rPr>
        <w:tab/>
      </w:r>
      <w:r>
        <w:rPr>
          <w:sz w:val="32"/>
          <w:szCs w:val="32"/>
        </w:rPr>
        <w:fldChar w:fldCharType="begin"/>
      </w:r>
      <w:r>
        <w:rPr>
          <w:sz w:val="32"/>
          <w:szCs w:val="32"/>
        </w:rPr>
        <w:instrText xml:space="preserve"> PAGEREF _Toc28441 </w:instrText>
      </w:r>
      <w:r>
        <w:rPr>
          <w:sz w:val="32"/>
          <w:szCs w:val="32"/>
        </w:rPr>
        <w:fldChar w:fldCharType="separate"/>
      </w:r>
      <w:r>
        <w:rPr>
          <w:sz w:val="32"/>
          <w:szCs w:val="32"/>
        </w:rPr>
        <w:t>- 60 -</w:t>
      </w:r>
      <w:r>
        <w:rPr>
          <w:sz w:val="32"/>
          <w:szCs w:val="32"/>
        </w:rPr>
        <w:fldChar w:fldCharType="end"/>
      </w:r>
      <w:r>
        <w:rPr>
          <w:rFonts w:ascii="仿宋_GB2312" w:hAnsi="仿宋" w:eastAsia="仿宋_GB2312" w:cs="仿宋"/>
          <w:bCs/>
          <w:color w:val="auto"/>
          <w:sz w:val="32"/>
          <w:szCs w:val="32"/>
          <w:highlight w:val="none"/>
        </w:rPr>
        <w:fldChar w:fldCharType="end"/>
      </w:r>
    </w:p>
    <w:p>
      <w:pPr>
        <w:pStyle w:val="1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_Toc23315 </w:instrText>
      </w:r>
      <w:r>
        <w:rPr>
          <w:rFonts w:ascii="仿宋_GB2312" w:hAnsi="仿宋" w:eastAsia="仿宋_GB2312" w:cs="仿宋"/>
          <w:bCs/>
          <w:sz w:val="32"/>
          <w:szCs w:val="32"/>
          <w:highlight w:val="none"/>
        </w:rPr>
        <w:fldChar w:fldCharType="separate"/>
      </w:r>
      <w:r>
        <w:rPr>
          <w:rFonts w:hint="eastAsia" w:ascii="Calibri" w:hAnsi="Calibri" w:eastAsia="黑体"/>
          <w:bCs/>
          <w:sz w:val="32"/>
          <w:szCs w:val="32"/>
          <w:highlight w:val="none"/>
          <w:lang w:val="en-US"/>
        </w:rPr>
        <w:t>第十章  提升公共服务能力和水平</w:t>
      </w:r>
      <w:r>
        <w:rPr>
          <w:sz w:val="32"/>
          <w:szCs w:val="32"/>
        </w:rPr>
        <w:tab/>
      </w:r>
      <w:r>
        <w:rPr>
          <w:sz w:val="32"/>
          <w:szCs w:val="32"/>
        </w:rPr>
        <w:fldChar w:fldCharType="begin"/>
      </w:r>
      <w:r>
        <w:rPr>
          <w:sz w:val="32"/>
          <w:szCs w:val="32"/>
        </w:rPr>
        <w:instrText xml:space="preserve"> PAGEREF _Toc23315 </w:instrText>
      </w:r>
      <w:r>
        <w:rPr>
          <w:sz w:val="32"/>
          <w:szCs w:val="32"/>
        </w:rPr>
        <w:fldChar w:fldCharType="separate"/>
      </w:r>
      <w:r>
        <w:rPr>
          <w:sz w:val="32"/>
          <w:szCs w:val="32"/>
        </w:rPr>
        <w:t>- 64 -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_Toc7816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第一节  强化法治人社建设</w:t>
      </w:r>
      <w:r>
        <w:rPr>
          <w:sz w:val="32"/>
          <w:szCs w:val="32"/>
        </w:rPr>
        <w:tab/>
      </w:r>
      <w:r>
        <w:rPr>
          <w:sz w:val="32"/>
          <w:szCs w:val="32"/>
        </w:rPr>
        <w:fldChar w:fldCharType="begin"/>
      </w:r>
      <w:r>
        <w:rPr>
          <w:sz w:val="32"/>
          <w:szCs w:val="32"/>
        </w:rPr>
        <w:instrText xml:space="preserve"> PAGEREF _Toc7816 </w:instrText>
      </w:r>
      <w:r>
        <w:rPr>
          <w:sz w:val="32"/>
          <w:szCs w:val="32"/>
        </w:rPr>
        <w:fldChar w:fldCharType="separate"/>
      </w:r>
      <w:r>
        <w:rPr>
          <w:sz w:val="32"/>
          <w:szCs w:val="32"/>
        </w:rPr>
        <w:t>- 64 -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_Toc16620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第二节  推进基本公共服务标准化信息化建设</w:t>
      </w:r>
      <w:r>
        <w:rPr>
          <w:sz w:val="32"/>
          <w:szCs w:val="32"/>
        </w:rPr>
        <w:tab/>
      </w:r>
      <w:r>
        <w:rPr>
          <w:sz w:val="32"/>
          <w:szCs w:val="32"/>
        </w:rPr>
        <w:fldChar w:fldCharType="begin"/>
      </w:r>
      <w:r>
        <w:rPr>
          <w:sz w:val="32"/>
          <w:szCs w:val="32"/>
        </w:rPr>
        <w:instrText xml:space="preserve"> PAGEREF _Toc16620 </w:instrText>
      </w:r>
      <w:r>
        <w:rPr>
          <w:sz w:val="32"/>
          <w:szCs w:val="32"/>
        </w:rPr>
        <w:fldChar w:fldCharType="separate"/>
      </w:r>
      <w:r>
        <w:rPr>
          <w:sz w:val="32"/>
          <w:szCs w:val="32"/>
        </w:rPr>
        <w:t>- 66 -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_Toc19109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第三节  打造素质过硬的人社队伍</w:t>
      </w:r>
      <w:r>
        <w:rPr>
          <w:sz w:val="32"/>
          <w:szCs w:val="32"/>
        </w:rPr>
        <w:tab/>
      </w:r>
      <w:r>
        <w:rPr>
          <w:sz w:val="32"/>
          <w:szCs w:val="32"/>
        </w:rPr>
        <w:fldChar w:fldCharType="begin"/>
      </w:r>
      <w:r>
        <w:rPr>
          <w:sz w:val="32"/>
          <w:szCs w:val="32"/>
        </w:rPr>
        <w:instrText xml:space="preserve"> PAGEREF _Toc19109 </w:instrText>
      </w:r>
      <w:r>
        <w:rPr>
          <w:sz w:val="32"/>
          <w:szCs w:val="32"/>
        </w:rPr>
        <w:fldChar w:fldCharType="separate"/>
      </w:r>
      <w:r>
        <w:rPr>
          <w:sz w:val="32"/>
          <w:szCs w:val="32"/>
        </w:rPr>
        <w:t>- 69 -</w:t>
      </w:r>
      <w:r>
        <w:rPr>
          <w:sz w:val="32"/>
          <w:szCs w:val="32"/>
        </w:rPr>
        <w:fldChar w:fldCharType="end"/>
      </w:r>
      <w:r>
        <w:rPr>
          <w:rFonts w:ascii="仿宋_GB2312" w:hAnsi="仿宋" w:eastAsia="仿宋_GB2312" w:cs="仿宋"/>
          <w:bCs/>
          <w:color w:val="auto"/>
          <w:sz w:val="32"/>
          <w:szCs w:val="32"/>
          <w:highlight w:val="none"/>
        </w:rPr>
        <w:fldChar w:fldCharType="end"/>
      </w:r>
    </w:p>
    <w:p>
      <w:pPr>
        <w:pStyle w:val="1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_Toc30016 </w:instrText>
      </w:r>
      <w:r>
        <w:rPr>
          <w:rFonts w:ascii="仿宋_GB2312" w:hAnsi="仿宋" w:eastAsia="仿宋_GB2312" w:cs="仿宋"/>
          <w:bCs/>
          <w:sz w:val="32"/>
          <w:szCs w:val="32"/>
          <w:highlight w:val="none"/>
        </w:rPr>
        <w:fldChar w:fldCharType="separate"/>
      </w:r>
      <w:r>
        <w:rPr>
          <w:rFonts w:hint="eastAsia" w:ascii="Calibri" w:hAnsi="Calibri" w:eastAsia="黑体"/>
          <w:bCs/>
          <w:sz w:val="32"/>
          <w:szCs w:val="32"/>
          <w:highlight w:val="none"/>
          <w:lang w:val="en-US"/>
        </w:rPr>
        <w:t>第</w:t>
      </w:r>
      <w:r>
        <w:rPr>
          <w:rFonts w:ascii="Calibri" w:hAnsi="Calibri" w:eastAsia="黑体"/>
          <w:bCs/>
          <w:sz w:val="32"/>
          <w:szCs w:val="32"/>
          <w:highlight w:val="none"/>
          <w:lang w:val="en-US"/>
        </w:rPr>
        <w:t>十</w:t>
      </w:r>
      <w:r>
        <w:rPr>
          <w:rFonts w:hint="eastAsia" w:ascii="Calibri" w:hAnsi="Calibri" w:eastAsia="黑体"/>
          <w:bCs/>
          <w:sz w:val="32"/>
          <w:szCs w:val="32"/>
          <w:highlight w:val="none"/>
          <w:lang w:val="en-US"/>
        </w:rPr>
        <w:t xml:space="preserve">一章  </w:t>
      </w:r>
      <w:r>
        <w:rPr>
          <w:rFonts w:ascii="Calibri" w:hAnsi="Calibri" w:eastAsia="黑体"/>
          <w:bCs/>
          <w:sz w:val="32"/>
          <w:szCs w:val="32"/>
          <w:highlight w:val="none"/>
          <w:lang w:val="en-US"/>
        </w:rPr>
        <w:t>保障措</w:t>
      </w:r>
      <w:r>
        <w:rPr>
          <w:rFonts w:hint="eastAsia" w:ascii="Calibri" w:hAnsi="Calibri" w:eastAsia="黑体"/>
          <w:bCs/>
          <w:sz w:val="32"/>
          <w:szCs w:val="32"/>
          <w:highlight w:val="none"/>
          <w:lang w:val="en-US"/>
        </w:rPr>
        <w:t>施</w:t>
      </w:r>
      <w:r>
        <w:rPr>
          <w:sz w:val="32"/>
          <w:szCs w:val="32"/>
        </w:rPr>
        <w:tab/>
      </w:r>
      <w:r>
        <w:rPr>
          <w:sz w:val="32"/>
          <w:szCs w:val="32"/>
        </w:rPr>
        <w:fldChar w:fldCharType="begin"/>
      </w:r>
      <w:r>
        <w:rPr>
          <w:sz w:val="32"/>
          <w:szCs w:val="32"/>
        </w:rPr>
        <w:instrText xml:space="preserve"> PAGEREF _Toc30016 </w:instrText>
      </w:r>
      <w:r>
        <w:rPr>
          <w:sz w:val="32"/>
          <w:szCs w:val="32"/>
        </w:rPr>
        <w:fldChar w:fldCharType="separate"/>
      </w:r>
      <w:r>
        <w:rPr>
          <w:sz w:val="32"/>
          <w:szCs w:val="32"/>
        </w:rPr>
        <w:t>- 70 -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_Toc3793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第一节  加强政策研究和统计监测分析</w:t>
      </w:r>
      <w:r>
        <w:rPr>
          <w:sz w:val="32"/>
          <w:szCs w:val="32"/>
        </w:rPr>
        <w:tab/>
      </w:r>
      <w:r>
        <w:rPr>
          <w:sz w:val="32"/>
          <w:szCs w:val="32"/>
        </w:rPr>
        <w:fldChar w:fldCharType="begin"/>
      </w:r>
      <w:r>
        <w:rPr>
          <w:sz w:val="32"/>
          <w:szCs w:val="32"/>
        </w:rPr>
        <w:instrText xml:space="preserve"> PAGEREF _Toc3793 </w:instrText>
      </w:r>
      <w:r>
        <w:rPr>
          <w:sz w:val="32"/>
          <w:szCs w:val="32"/>
        </w:rPr>
        <w:fldChar w:fldCharType="separate"/>
      </w:r>
      <w:r>
        <w:rPr>
          <w:sz w:val="32"/>
          <w:szCs w:val="32"/>
        </w:rPr>
        <w:t>- 70 -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_Toc25573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第二节  提高财政投入效益</w:t>
      </w:r>
      <w:r>
        <w:rPr>
          <w:sz w:val="32"/>
          <w:szCs w:val="32"/>
        </w:rPr>
        <w:tab/>
      </w:r>
      <w:r>
        <w:rPr>
          <w:sz w:val="32"/>
          <w:szCs w:val="32"/>
        </w:rPr>
        <w:fldChar w:fldCharType="begin"/>
      </w:r>
      <w:r>
        <w:rPr>
          <w:sz w:val="32"/>
          <w:szCs w:val="32"/>
        </w:rPr>
        <w:instrText xml:space="preserve"> PAGEREF _Toc25573 </w:instrText>
      </w:r>
      <w:r>
        <w:rPr>
          <w:sz w:val="32"/>
          <w:szCs w:val="32"/>
        </w:rPr>
        <w:fldChar w:fldCharType="separate"/>
      </w:r>
      <w:r>
        <w:rPr>
          <w:sz w:val="32"/>
          <w:szCs w:val="32"/>
        </w:rPr>
        <w:t>- 70 -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_Toc30082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第三节  实施重大项目</w:t>
      </w:r>
      <w:r>
        <w:rPr>
          <w:sz w:val="32"/>
          <w:szCs w:val="32"/>
        </w:rPr>
        <w:tab/>
      </w:r>
      <w:r>
        <w:rPr>
          <w:sz w:val="32"/>
          <w:szCs w:val="32"/>
        </w:rPr>
        <w:fldChar w:fldCharType="begin"/>
      </w:r>
      <w:r>
        <w:rPr>
          <w:sz w:val="32"/>
          <w:szCs w:val="32"/>
        </w:rPr>
        <w:instrText xml:space="preserve"> PAGEREF _Toc30082 </w:instrText>
      </w:r>
      <w:r>
        <w:rPr>
          <w:sz w:val="32"/>
          <w:szCs w:val="32"/>
        </w:rPr>
        <w:fldChar w:fldCharType="separate"/>
      </w:r>
      <w:r>
        <w:rPr>
          <w:sz w:val="32"/>
          <w:szCs w:val="32"/>
        </w:rPr>
        <w:t>- 71 -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_Toc27536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第四节  强化规划实施</w:t>
      </w:r>
      <w:r>
        <w:rPr>
          <w:sz w:val="32"/>
          <w:szCs w:val="32"/>
        </w:rPr>
        <w:tab/>
      </w:r>
      <w:r>
        <w:rPr>
          <w:sz w:val="32"/>
          <w:szCs w:val="32"/>
        </w:rPr>
        <w:fldChar w:fldCharType="begin"/>
      </w:r>
      <w:r>
        <w:rPr>
          <w:sz w:val="32"/>
          <w:szCs w:val="32"/>
        </w:rPr>
        <w:instrText xml:space="preserve"> PAGEREF _Toc27536 </w:instrText>
      </w:r>
      <w:r>
        <w:rPr>
          <w:sz w:val="32"/>
          <w:szCs w:val="32"/>
        </w:rPr>
        <w:fldChar w:fldCharType="separate"/>
      </w:r>
      <w:r>
        <w:rPr>
          <w:sz w:val="32"/>
          <w:szCs w:val="32"/>
        </w:rPr>
        <w:t>- 71 -</w:t>
      </w:r>
      <w:r>
        <w:rPr>
          <w:sz w:val="32"/>
          <w:szCs w:val="32"/>
        </w:rPr>
        <w:fldChar w:fldCharType="end"/>
      </w:r>
      <w:r>
        <w:rPr>
          <w:rFonts w:ascii="仿宋_GB2312" w:hAnsi="仿宋" w:eastAsia="仿宋_GB2312" w:cs="仿宋"/>
          <w:bCs/>
          <w:color w:val="auto"/>
          <w:sz w:val="32"/>
          <w:szCs w:val="32"/>
          <w:highlight w:val="none"/>
        </w:rPr>
        <w:fldChar w:fldCharType="end"/>
      </w:r>
    </w:p>
    <w:p>
      <w:pPr>
        <w:pStyle w:val="1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_Toc12387 </w:instrText>
      </w:r>
      <w:r>
        <w:rPr>
          <w:rFonts w:ascii="仿宋_GB2312" w:hAnsi="仿宋" w:eastAsia="仿宋_GB2312" w:cs="仿宋"/>
          <w:bCs/>
          <w:sz w:val="32"/>
          <w:szCs w:val="32"/>
          <w:highlight w:val="none"/>
        </w:rPr>
        <w:fldChar w:fldCharType="separate"/>
      </w:r>
      <w:r>
        <w:rPr>
          <w:rFonts w:hint="eastAsia" w:ascii="Calibri" w:hAnsi="Calibri" w:eastAsia="黑体"/>
          <w:bCs/>
          <w:sz w:val="32"/>
          <w:szCs w:val="32"/>
          <w:highlight w:val="none"/>
          <w:lang w:val="en-US"/>
        </w:rPr>
        <w:t>附件：汕尾市人力资源和社会保障事业发展“十四五”规划重大项目表</w:t>
      </w:r>
      <w:r>
        <w:rPr>
          <w:sz w:val="32"/>
          <w:szCs w:val="32"/>
        </w:rPr>
        <w:tab/>
      </w:r>
      <w:r>
        <w:rPr>
          <w:sz w:val="32"/>
          <w:szCs w:val="32"/>
        </w:rPr>
        <w:fldChar w:fldCharType="begin"/>
      </w:r>
      <w:r>
        <w:rPr>
          <w:sz w:val="32"/>
          <w:szCs w:val="32"/>
        </w:rPr>
        <w:instrText xml:space="preserve"> PAGEREF _Toc12387 </w:instrText>
      </w:r>
      <w:r>
        <w:rPr>
          <w:sz w:val="32"/>
          <w:szCs w:val="32"/>
        </w:rPr>
        <w:fldChar w:fldCharType="separate"/>
      </w:r>
      <w:r>
        <w:rPr>
          <w:sz w:val="32"/>
          <w:szCs w:val="32"/>
        </w:rPr>
        <w:t>- 73 -</w:t>
      </w:r>
      <w:r>
        <w:rPr>
          <w:sz w:val="32"/>
          <w:szCs w:val="32"/>
        </w:rPr>
        <w:fldChar w:fldCharType="end"/>
      </w:r>
      <w:r>
        <w:rPr>
          <w:rFonts w:ascii="仿宋_GB2312" w:hAnsi="仿宋" w:eastAsia="仿宋_GB2312" w:cs="仿宋"/>
          <w:bCs/>
          <w:color w:val="auto"/>
          <w:sz w:val="32"/>
          <w:szCs w:val="32"/>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9"/>
        <w:rPr>
          <w:rStyle w:val="32"/>
          <w:rFonts w:ascii="仿宋_GB2312" w:hAnsi="仿宋" w:eastAsia="仿宋_GB2312" w:cs="仿宋"/>
          <w:bCs/>
          <w:color w:val="auto"/>
          <w:sz w:val="32"/>
          <w:szCs w:val="32"/>
          <w:highlight w:val="none"/>
        </w:rPr>
        <w:sectPr>
          <w:footerReference r:id="rId3" w:type="default"/>
          <w:pgSz w:w="12240" w:h="15840"/>
          <w:pgMar w:top="1440" w:right="1800" w:bottom="1440" w:left="1800" w:header="720" w:footer="720" w:gutter="0"/>
          <w:pgNumType w:fmt="numberInDash" w:start="1"/>
          <w:cols w:space="720" w:num="1"/>
        </w:sectPr>
      </w:pPr>
      <w:r>
        <w:rPr>
          <w:rFonts w:ascii="仿宋_GB2312" w:hAnsi="仿宋" w:eastAsia="仿宋_GB2312" w:cs="仿宋"/>
          <w:bCs/>
          <w:color w:val="auto"/>
          <w:sz w:val="32"/>
          <w:szCs w:val="32"/>
          <w:highlight w:val="none"/>
        </w:rPr>
        <w:fldChar w:fldCharType="end"/>
      </w:r>
    </w:p>
    <w:p>
      <w:pPr>
        <w:adjustRightInd w:val="0"/>
        <w:snapToGrid w:val="0"/>
        <w:spacing w:line="360" w:lineRule="auto"/>
        <w:ind w:firstLine="640" w:firstLineChars="200"/>
        <w:rPr>
          <w:rStyle w:val="32"/>
          <w:rFonts w:ascii="仿宋_GB2312" w:hAnsi="仿宋" w:eastAsia="仿宋_GB2312" w:cs="仿宋"/>
          <w:bCs/>
          <w:color w:val="auto"/>
          <w:sz w:val="32"/>
          <w:szCs w:val="32"/>
          <w:highlight w:val="none"/>
        </w:rPr>
      </w:pPr>
      <w:r>
        <w:rPr>
          <w:rStyle w:val="32"/>
          <w:rFonts w:hint="eastAsia" w:ascii="仿宋_GB2312" w:hAnsi="仿宋" w:eastAsia="仿宋_GB2312" w:cs="仿宋"/>
          <w:bCs/>
          <w:color w:val="auto"/>
          <w:sz w:val="32"/>
          <w:szCs w:val="32"/>
          <w:highlight w:val="none"/>
        </w:rPr>
        <w:t>“</w:t>
      </w:r>
      <w:r>
        <w:rPr>
          <w:rStyle w:val="32"/>
          <w:rFonts w:ascii="仿宋_GB2312" w:hAnsi="仿宋" w:eastAsia="仿宋_GB2312" w:cs="仿宋"/>
          <w:bCs/>
          <w:color w:val="auto"/>
          <w:sz w:val="32"/>
          <w:szCs w:val="32"/>
          <w:highlight w:val="none"/>
        </w:rPr>
        <w:t>十四五</w:t>
      </w:r>
      <w:r>
        <w:rPr>
          <w:rStyle w:val="32"/>
          <w:rFonts w:hint="eastAsia" w:ascii="仿宋_GB2312" w:hAnsi="仿宋" w:eastAsia="仿宋_GB2312" w:cs="仿宋"/>
          <w:bCs/>
          <w:color w:val="auto"/>
          <w:sz w:val="32"/>
          <w:szCs w:val="32"/>
          <w:highlight w:val="none"/>
        </w:rPr>
        <w:t>”</w:t>
      </w:r>
      <w:r>
        <w:rPr>
          <w:rStyle w:val="32"/>
          <w:rFonts w:ascii="仿宋_GB2312" w:hAnsi="仿宋" w:eastAsia="仿宋_GB2312" w:cs="仿宋"/>
          <w:bCs/>
          <w:color w:val="auto"/>
          <w:sz w:val="32"/>
          <w:szCs w:val="32"/>
          <w:highlight w:val="none"/>
        </w:rPr>
        <w:t>时期是我国开启</w:t>
      </w:r>
      <w:bookmarkStart w:id="0" w:name="bkPolitics2172456"/>
      <w:r>
        <w:rPr>
          <w:rStyle w:val="32"/>
          <w:rFonts w:ascii="仿宋_GB2312" w:hAnsi="仿宋" w:eastAsia="仿宋_GB2312" w:cs="仿宋"/>
          <w:bCs/>
          <w:color w:val="auto"/>
          <w:sz w:val="32"/>
          <w:szCs w:val="32"/>
          <w:highlight w:val="none"/>
        </w:rPr>
        <w:t>全面建设社会主义现代化国家新征程的第一个五年，是我省奋力在全面建设社会主义现代化国家</w:t>
      </w:r>
      <w:bookmarkEnd w:id="0"/>
      <w:r>
        <w:rPr>
          <w:rStyle w:val="32"/>
          <w:rFonts w:ascii="仿宋_GB2312" w:hAnsi="仿宋" w:eastAsia="仿宋_GB2312" w:cs="仿宋"/>
          <w:bCs/>
          <w:color w:val="auto"/>
          <w:sz w:val="32"/>
          <w:szCs w:val="32"/>
          <w:highlight w:val="none"/>
        </w:rPr>
        <w:t>新征程中走在全国前列、创造新的辉煌的第一个五年，</w:t>
      </w:r>
      <w:r>
        <w:rPr>
          <w:rStyle w:val="32"/>
          <w:rFonts w:hint="eastAsia" w:ascii="仿宋_GB2312" w:hAnsi="仿宋" w:eastAsia="仿宋_GB2312" w:cs="仿宋"/>
          <w:bCs/>
          <w:color w:val="auto"/>
          <w:sz w:val="32"/>
          <w:szCs w:val="32"/>
          <w:highlight w:val="none"/>
          <w:lang w:eastAsia="zh-CN"/>
        </w:rPr>
        <w:t>也</w:t>
      </w:r>
      <w:r>
        <w:rPr>
          <w:rStyle w:val="32"/>
          <w:rFonts w:ascii="仿宋_GB2312" w:hAnsi="仿宋" w:eastAsia="仿宋_GB2312" w:cs="仿宋"/>
          <w:bCs/>
          <w:color w:val="auto"/>
          <w:sz w:val="32"/>
          <w:szCs w:val="32"/>
          <w:highlight w:val="none"/>
        </w:rPr>
        <w:t>是汕尾</w:t>
      </w:r>
      <w:r>
        <w:rPr>
          <w:rStyle w:val="32"/>
          <w:rFonts w:hint="eastAsia" w:ascii="仿宋_GB2312" w:hAnsi="仿宋" w:eastAsia="仿宋_GB2312" w:cs="仿宋"/>
          <w:bCs/>
          <w:color w:val="auto"/>
          <w:sz w:val="32"/>
          <w:szCs w:val="32"/>
          <w:highlight w:val="none"/>
          <w:lang w:eastAsia="zh-CN"/>
        </w:rPr>
        <w:t>努力</w:t>
      </w:r>
      <w:r>
        <w:rPr>
          <w:rStyle w:val="32"/>
          <w:rFonts w:ascii="仿宋_GB2312" w:hAnsi="仿宋" w:eastAsia="仿宋_GB2312" w:cs="仿宋"/>
          <w:bCs/>
          <w:color w:val="auto"/>
          <w:sz w:val="32"/>
          <w:szCs w:val="32"/>
          <w:highlight w:val="none"/>
        </w:rPr>
        <w:t>建设成为</w:t>
      </w:r>
      <w:r>
        <w:rPr>
          <w:rStyle w:val="32"/>
          <w:rFonts w:hint="eastAsia" w:ascii="仿宋_GB2312" w:hAnsi="仿宋" w:eastAsia="仿宋_GB2312" w:cs="仿宋"/>
          <w:bCs/>
          <w:color w:val="auto"/>
          <w:sz w:val="32"/>
          <w:szCs w:val="32"/>
          <w:highlight w:val="none"/>
          <w:lang w:eastAsia="zh-CN"/>
        </w:rPr>
        <w:t>革命老区高质量发展示范区和</w:t>
      </w:r>
      <w:r>
        <w:rPr>
          <w:rStyle w:val="32"/>
          <w:rFonts w:ascii="仿宋_GB2312" w:hAnsi="仿宋" w:eastAsia="仿宋_GB2312" w:cs="仿宋"/>
          <w:bCs/>
          <w:color w:val="auto"/>
          <w:sz w:val="32"/>
          <w:szCs w:val="32"/>
          <w:highlight w:val="none"/>
        </w:rPr>
        <w:t>沿海经济带靓丽明珠的</w:t>
      </w:r>
      <w:r>
        <w:rPr>
          <w:rStyle w:val="32"/>
          <w:rFonts w:hint="eastAsia" w:ascii="仿宋_GB2312" w:hAnsi="仿宋" w:eastAsia="仿宋_GB2312" w:cs="仿宋"/>
          <w:bCs/>
          <w:color w:val="auto"/>
          <w:sz w:val="32"/>
          <w:szCs w:val="32"/>
          <w:highlight w:val="none"/>
          <w:lang w:eastAsia="zh-CN"/>
        </w:rPr>
        <w:t>重要黄金期、机遇期和窗口期</w:t>
      </w:r>
      <w:r>
        <w:rPr>
          <w:rStyle w:val="32"/>
          <w:rFonts w:ascii="仿宋_GB2312" w:hAnsi="仿宋" w:eastAsia="仿宋_GB2312" w:cs="仿宋"/>
          <w:bCs/>
          <w:color w:val="auto"/>
          <w:sz w:val="32"/>
          <w:szCs w:val="32"/>
          <w:highlight w:val="none"/>
        </w:rPr>
        <w:t>。</w:t>
      </w:r>
      <w:r>
        <w:rPr>
          <w:rStyle w:val="32"/>
          <w:rFonts w:hint="eastAsia" w:ascii="仿宋_GB2312" w:hAnsi="仿宋" w:eastAsia="仿宋_GB2312" w:cs="仿宋"/>
          <w:bCs/>
          <w:color w:val="auto"/>
          <w:sz w:val="32"/>
          <w:szCs w:val="32"/>
          <w:highlight w:val="none"/>
        </w:rPr>
        <w:t>根据《广东省人力资源和社会保障事业发展“十四五”规划》和《汕尾市国民经济和社会发展第十四个五年规划纲要和二〇三五年远景目标纲要》，为谋划推进全市人力资源和社会保障事业迈上更高水平，制定本规划，规划期限为2</w:t>
      </w:r>
      <w:r>
        <w:rPr>
          <w:rStyle w:val="32"/>
          <w:rFonts w:ascii="仿宋_GB2312" w:hAnsi="仿宋" w:eastAsia="仿宋_GB2312" w:cs="仿宋"/>
          <w:bCs/>
          <w:color w:val="auto"/>
          <w:sz w:val="32"/>
          <w:szCs w:val="32"/>
          <w:highlight w:val="none"/>
        </w:rPr>
        <w:t>021</w:t>
      </w:r>
      <w:r>
        <w:rPr>
          <w:rStyle w:val="32"/>
          <w:rFonts w:hint="eastAsia" w:ascii="仿宋_GB2312" w:hAnsi="仿宋" w:eastAsia="仿宋_GB2312" w:cs="仿宋"/>
          <w:bCs/>
          <w:color w:val="auto"/>
          <w:sz w:val="32"/>
          <w:szCs w:val="32"/>
          <w:highlight w:val="none"/>
        </w:rPr>
        <w:t>-</w:t>
      </w:r>
      <w:r>
        <w:rPr>
          <w:rStyle w:val="32"/>
          <w:rFonts w:ascii="仿宋_GB2312" w:hAnsi="仿宋" w:eastAsia="仿宋_GB2312" w:cs="仿宋"/>
          <w:bCs/>
          <w:color w:val="auto"/>
          <w:sz w:val="32"/>
          <w:szCs w:val="32"/>
          <w:highlight w:val="none"/>
        </w:rPr>
        <w:t>2025年</w:t>
      </w:r>
      <w:r>
        <w:rPr>
          <w:rStyle w:val="32"/>
          <w:rFonts w:hint="eastAsia" w:ascii="仿宋_GB2312" w:hAnsi="仿宋" w:eastAsia="仿宋_GB2312" w:cs="仿宋"/>
          <w:bCs/>
          <w:color w:val="auto"/>
          <w:sz w:val="32"/>
          <w:szCs w:val="32"/>
          <w:highlight w:val="none"/>
        </w:rPr>
        <w:t>。</w:t>
      </w:r>
    </w:p>
    <w:p>
      <w:pPr>
        <w:pStyle w:val="3"/>
        <w:adjustRightInd w:val="0"/>
        <w:snapToGrid w:val="0"/>
        <w:spacing w:before="120" w:beforeLines="50" w:after="120" w:afterLines="50" w:line="360" w:lineRule="auto"/>
        <w:jc w:val="center"/>
        <w:rPr>
          <w:rFonts w:hint="eastAsia" w:ascii="黑体" w:hAnsi="黑体" w:eastAsia="黑体" w:cs="黑体"/>
          <w:b w:val="0"/>
          <w:bCs/>
          <w:color w:val="auto"/>
          <w:sz w:val="36"/>
          <w:szCs w:val="36"/>
          <w:highlight w:val="none"/>
          <w:lang w:val="en-US"/>
        </w:rPr>
      </w:pPr>
      <w:bookmarkStart w:id="1" w:name="_Toc13795"/>
      <w:bookmarkStart w:id="2" w:name="_Toc9411"/>
      <w:r>
        <w:rPr>
          <w:rFonts w:hint="eastAsia" w:ascii="黑体" w:hAnsi="黑体" w:eastAsia="黑体" w:cs="黑体"/>
          <w:b w:val="0"/>
          <w:bCs/>
          <w:color w:val="auto"/>
          <w:sz w:val="36"/>
          <w:szCs w:val="36"/>
          <w:highlight w:val="none"/>
          <w:lang w:val="en-US"/>
        </w:rPr>
        <w:t>第一章  发展基础和机遇挑战</w:t>
      </w:r>
      <w:bookmarkEnd w:id="1"/>
      <w:bookmarkEnd w:id="2"/>
      <w:bookmarkStart w:id="3" w:name="_Toc512"/>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4" w:name="_Toc3757"/>
      <w:bookmarkStart w:id="5" w:name="_Toc11414"/>
      <w:r>
        <w:rPr>
          <w:rFonts w:hint="eastAsia" w:ascii="Cambria" w:hAnsi="Cambria" w:eastAsia="楷体_GB2312"/>
          <w:color w:val="auto"/>
          <w:sz w:val="34"/>
          <w:highlight w:val="none"/>
        </w:rPr>
        <w:t>第一节  发展基础</w:t>
      </w:r>
      <w:bookmarkEnd w:id="3"/>
      <w:bookmarkEnd w:id="4"/>
      <w:bookmarkEnd w:id="5"/>
    </w:p>
    <w:p>
      <w:pPr>
        <w:adjustRightInd w:val="0"/>
        <w:snapToGrid w:val="0"/>
        <w:spacing w:line="360" w:lineRule="auto"/>
        <w:ind w:firstLine="640" w:firstLineChars="200"/>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Cs/>
          <w:color w:val="auto"/>
          <w:sz w:val="32"/>
          <w:szCs w:val="32"/>
          <w:highlight w:val="none"/>
        </w:rPr>
        <w:t>“十三五”时期是我市人力资源和社会保障事业迈出重要步伐、取得重大成绩、发展质量大幅提升的五年。五年来，我市人力资源和社会保障部门坚决贯彻市委、市政府和省人力资源和社会保障厅的决策部署，对标“四个走在全国前列”，全面实施“民生为本、人才优先”战略，坚持以人民为中心，坚持稳中求进，凝心聚力、攻坚克难、善于创新、勇于实践，全面完成“十三五”时期主要目标任务，为保障改善民生，实施创新驱动战略，加快转变经济发展方式和维护社会和谐稳定作出重要贡献，为“十四五”时期发展奠定</w:t>
      </w:r>
      <w:r>
        <w:rPr>
          <w:rStyle w:val="32"/>
          <w:rFonts w:hint="eastAsia" w:ascii="仿宋_GB2312" w:hAnsi="仿宋_GB2312" w:eastAsia="仿宋_GB2312" w:cs="仿宋_GB2312"/>
          <w:bCs/>
          <w:color w:val="auto"/>
          <w:sz w:val="32"/>
          <w:szCs w:val="32"/>
          <w:highlight w:val="none"/>
          <w:lang w:eastAsia="zh-CN"/>
        </w:rPr>
        <w:t>了</w:t>
      </w:r>
      <w:r>
        <w:rPr>
          <w:rStyle w:val="32"/>
          <w:rFonts w:hint="eastAsia" w:ascii="仿宋_GB2312" w:hAnsi="仿宋_GB2312" w:eastAsia="仿宋_GB2312" w:cs="仿宋_GB2312"/>
          <w:bCs/>
          <w:color w:val="auto"/>
          <w:sz w:val="32"/>
          <w:szCs w:val="32"/>
          <w:highlight w:val="none"/>
        </w:rPr>
        <w:t>坚实的基础。</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outlineLvl w:val="9"/>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
          <w:bCs/>
          <w:color w:val="auto"/>
          <w:sz w:val="32"/>
          <w:szCs w:val="32"/>
          <w:highlight w:val="none"/>
        </w:rPr>
        <w:t>稳岗扩就业成效显著。</w:t>
      </w:r>
      <w:r>
        <w:rPr>
          <w:rStyle w:val="32"/>
          <w:rFonts w:hint="eastAsia" w:ascii="仿宋_GB2312" w:hAnsi="仿宋_GB2312" w:eastAsia="仿宋_GB2312" w:cs="仿宋_GB2312"/>
          <w:bCs/>
          <w:color w:val="auto"/>
          <w:sz w:val="32"/>
          <w:szCs w:val="32"/>
          <w:highlight w:val="none"/>
        </w:rPr>
        <w:t>深入实施就业优先政策，稳就业政策体系进一步丰富完善，全省第二个出台2.0版“促进就业九条”，制定了“用工保障7条”，细化支持高校毕业生、农民工等重点群体就业政策措施，推出一系列减负稳岗扩就业的政策举措。支持创业孵化基地、众创空间等创新创业建设，大众创业、万众创新的良好局面逐步形成。建成投入使用汕尾市人力资源服务产业园，建成全省第二家、粤东首家家政服务超市和家政服务培训基地。搭建汕尾在线人力资源市场线上就业服务平台和“汕尾就业”微信求职登记小程序。全面实施“粤菜师傅”“广东技工”“南粤家政”三项工程，劳动者素养普遍提升。多措并举稳就业，中美经贸斗争、新冠肺炎疫情等影响下失业风险得到有效控制，就业局势总体保持稳定。就业规模继续扩大，城镇就业比重进一步上升，劳动者就地就近就业和返乡创业增多，区域就业结构更趋均衡。“十三五”期间，全市城镇新增就业250051人，城镇失业人员再就业100005人，就业困难人员再就业10749人；2020年末城镇登记失业率2.33%，控制在目标任务3%以内。</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outlineLvl w:val="9"/>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
          <w:bCs/>
          <w:color w:val="auto"/>
          <w:sz w:val="32"/>
          <w:szCs w:val="32"/>
          <w:highlight w:val="none"/>
        </w:rPr>
        <w:t>社会保障水平稳步提高。</w:t>
      </w:r>
      <w:r>
        <w:rPr>
          <w:rStyle w:val="32"/>
          <w:rFonts w:hint="eastAsia" w:ascii="仿宋_GB2312" w:hAnsi="仿宋_GB2312" w:eastAsia="仿宋_GB2312" w:cs="仿宋_GB2312"/>
          <w:bCs/>
          <w:color w:val="auto"/>
          <w:sz w:val="32"/>
          <w:szCs w:val="32"/>
          <w:highlight w:val="none"/>
        </w:rPr>
        <w:t>深化社保体制机制改革，扩面征缴持续推进，完成企业职工基本养老保险、工伤保险基金省级统筹，失业保险基金省级统筹、城乡居民基本养老保险基金市级管理稳步推进，机关事业单位养老保险制度改革稳妥推进。职业年金、企业年金迈出改革步伐。强化发挥社会保险稽核内控作用，社会保险基金总体安全完整。截至2020年底，全市养老、失业、工伤三大险种参保人</w:t>
      </w:r>
      <w:r>
        <w:rPr>
          <w:rStyle w:val="32"/>
          <w:rFonts w:hint="eastAsia" w:ascii="仿宋_GB2312" w:hAnsi="仿宋_GB2312" w:eastAsia="仿宋_GB2312" w:cs="仿宋_GB2312"/>
          <w:bCs/>
          <w:color w:val="auto"/>
          <w:sz w:val="32"/>
          <w:szCs w:val="32"/>
          <w:highlight w:val="none"/>
          <w:lang w:val="en-US" w:eastAsia="zh-CN"/>
        </w:rPr>
        <w:t>数</w:t>
      </w:r>
      <w:r>
        <w:rPr>
          <w:rStyle w:val="32"/>
          <w:rFonts w:hint="eastAsia" w:ascii="仿宋_GB2312" w:hAnsi="仿宋_GB2312" w:eastAsia="仿宋_GB2312" w:cs="仿宋_GB2312"/>
          <w:bCs/>
          <w:color w:val="auto"/>
          <w:sz w:val="32"/>
          <w:szCs w:val="32"/>
          <w:highlight w:val="none"/>
        </w:rPr>
        <w:t>为1294319人、123386人和168082人，基金累计结余36.39亿元，企业退休人员基本养老金提升至</w:t>
      </w:r>
      <w:r>
        <w:rPr>
          <w:rStyle w:val="32"/>
          <w:rFonts w:hint="eastAsia" w:ascii="仿宋_GB2312" w:hAnsi="仿宋_GB2312" w:eastAsia="仿宋_GB2312" w:cs="仿宋_GB2312"/>
          <w:bCs/>
          <w:color w:val="auto"/>
          <w:sz w:val="32"/>
          <w:szCs w:val="32"/>
          <w:highlight w:val="none"/>
          <w:lang w:val="en-US" w:eastAsia="zh-CN"/>
        </w:rPr>
        <w:t>人均</w:t>
      </w:r>
      <w:r>
        <w:rPr>
          <w:rStyle w:val="32"/>
          <w:rFonts w:hint="eastAsia" w:ascii="仿宋_GB2312" w:hAnsi="仿宋_GB2312" w:eastAsia="仿宋_GB2312" w:cs="仿宋_GB2312"/>
          <w:bCs/>
          <w:color w:val="auto"/>
          <w:sz w:val="32"/>
          <w:szCs w:val="32"/>
          <w:highlight w:val="none"/>
        </w:rPr>
        <w:t>2020元，比“十二五”期末增长17.3%。城乡居民基本养老保险基础养老金最低标准提高至每人每月180元，比“十二五”期末增长了80%。一次性工亡补助金从57.7万元提高至84.7万元，工伤伤残津贴标准从月人均2801</w:t>
      </w:r>
      <w:r>
        <w:rPr>
          <w:rStyle w:val="32"/>
          <w:rFonts w:hint="eastAsia" w:ascii="仿宋_GB2312" w:hAnsi="仿宋_GB2312" w:eastAsia="仿宋_GB2312" w:cs="仿宋_GB2312"/>
          <w:bCs/>
          <w:color w:val="auto"/>
          <w:sz w:val="32"/>
          <w:szCs w:val="32"/>
          <w:highlight w:val="none"/>
          <w:lang w:val="en-US" w:eastAsia="zh-CN"/>
        </w:rPr>
        <w:t>元</w:t>
      </w:r>
      <w:r>
        <w:rPr>
          <w:rStyle w:val="32"/>
          <w:rFonts w:hint="eastAsia" w:ascii="仿宋_GB2312" w:hAnsi="仿宋_GB2312" w:eastAsia="仿宋_GB2312" w:cs="仿宋_GB2312"/>
          <w:bCs/>
          <w:color w:val="auto"/>
          <w:sz w:val="32"/>
          <w:szCs w:val="32"/>
          <w:highlight w:val="none"/>
        </w:rPr>
        <w:t>提高至月人均3866元。社会保障卡持卡人数达300万人，基本实现常住人口全覆盖。</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outlineLvl w:val="9"/>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
          <w:bCs/>
          <w:color w:val="auto"/>
          <w:sz w:val="32"/>
          <w:szCs w:val="32"/>
          <w:highlight w:val="none"/>
        </w:rPr>
        <w:t>人才队伍不断壮大。</w:t>
      </w:r>
      <w:r>
        <w:rPr>
          <w:rStyle w:val="32"/>
          <w:rFonts w:hint="eastAsia" w:ascii="仿宋_GB2312" w:hAnsi="仿宋_GB2312" w:eastAsia="仿宋_GB2312" w:cs="仿宋_GB2312"/>
          <w:bCs/>
          <w:color w:val="auto"/>
          <w:sz w:val="32"/>
          <w:szCs w:val="32"/>
          <w:highlight w:val="none"/>
        </w:rPr>
        <w:t>落实《汕尾市红海扬帆人才计划》，人才引进培养使用评价机制进一步完善，人才成长环境不断改善，人才规模持续扩大，人才结构进一步优化，有力支撑创新驱动发展和实体经济振兴。全市现有专业技术人才总量达10.78万人，占总人口3.59%，比“十二五”期末增长9.89%。全市技能人才总量达31.96万人，其中高技能人才5.12万，占技能人才比例达16.02%</w:t>
      </w:r>
      <w:r>
        <w:rPr>
          <w:rStyle w:val="32"/>
          <w:rFonts w:hint="eastAsia" w:ascii="仿宋_GB2312" w:hAnsi="仿宋_GB2312" w:eastAsia="仿宋_GB2312" w:cs="仿宋_GB2312"/>
          <w:bCs/>
          <w:color w:val="auto"/>
          <w:sz w:val="32"/>
          <w:szCs w:val="32"/>
          <w:highlight w:val="none"/>
          <w:lang w:eastAsia="zh-CN"/>
        </w:rPr>
        <w:t>，</w:t>
      </w:r>
      <w:r>
        <w:rPr>
          <w:rStyle w:val="32"/>
          <w:rFonts w:hint="eastAsia" w:ascii="仿宋_GB2312" w:hAnsi="仿宋_GB2312" w:eastAsia="仿宋_GB2312" w:cs="仿宋_GB2312"/>
          <w:bCs/>
          <w:color w:val="auto"/>
          <w:sz w:val="32"/>
          <w:szCs w:val="32"/>
          <w:highlight w:val="none"/>
          <w:lang w:val="en-US" w:eastAsia="zh-CN"/>
        </w:rPr>
        <w:t>比“十二五”期末增长205％</w:t>
      </w:r>
      <w:r>
        <w:rPr>
          <w:rStyle w:val="32"/>
          <w:rFonts w:hint="eastAsia" w:ascii="仿宋_GB2312" w:hAnsi="仿宋_GB2312" w:eastAsia="仿宋_GB2312" w:cs="仿宋_GB2312"/>
          <w:bCs/>
          <w:color w:val="auto"/>
          <w:sz w:val="32"/>
          <w:szCs w:val="32"/>
          <w:highlight w:val="none"/>
        </w:rPr>
        <w:t>。全市现有博士后科研工作站1家、博士工作站3家、博士后创新实践基地3家。</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outlineLvl w:val="9"/>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
          <w:bCs/>
          <w:color w:val="auto"/>
          <w:sz w:val="32"/>
          <w:szCs w:val="32"/>
          <w:highlight w:val="none"/>
        </w:rPr>
        <w:t>技工教育步入发展快轨道。</w:t>
      </w:r>
      <w:r>
        <w:rPr>
          <w:rStyle w:val="32"/>
          <w:rFonts w:hint="eastAsia" w:ascii="仿宋_GB2312" w:hAnsi="仿宋_GB2312" w:eastAsia="仿宋_GB2312" w:cs="仿宋_GB2312"/>
          <w:bCs/>
          <w:color w:val="auto"/>
          <w:sz w:val="32"/>
          <w:szCs w:val="32"/>
          <w:highlight w:val="none"/>
        </w:rPr>
        <w:t>大力推动技工教育高质量发展，推进汕尾市高级技工学校建设，壮大全市技工教育体系。大力促进技工教育专业设置与我市产业结构相匹配，基本建立学历教育与职业培训并举的办学体制。技工教育的学生主要来源于农村，成为服务农民服务就业服务脱贫</w:t>
      </w:r>
      <w:r>
        <w:rPr>
          <w:rStyle w:val="32"/>
          <w:rFonts w:hint="eastAsia" w:ascii="仿宋_GB2312" w:hAnsi="仿宋_GB2312" w:eastAsia="仿宋_GB2312" w:cs="仿宋_GB2312"/>
          <w:bCs/>
          <w:color w:val="auto"/>
          <w:sz w:val="32"/>
          <w:szCs w:val="32"/>
          <w:highlight w:val="none"/>
          <w:lang w:eastAsia="zh-CN"/>
        </w:rPr>
        <w:t>的</w:t>
      </w:r>
      <w:r>
        <w:rPr>
          <w:rStyle w:val="32"/>
          <w:rFonts w:hint="eastAsia" w:ascii="仿宋_GB2312" w:hAnsi="仿宋_GB2312" w:eastAsia="仿宋_GB2312" w:cs="仿宋_GB2312"/>
          <w:bCs/>
          <w:color w:val="auto"/>
          <w:sz w:val="32"/>
          <w:szCs w:val="32"/>
          <w:highlight w:val="none"/>
        </w:rPr>
        <w:t>“加速器”。全市现有技工学校2家，在校学生4625人，共开设22个专业，其中具备高级工办学层次专业13个</w:t>
      </w:r>
      <w:r>
        <w:rPr>
          <w:rStyle w:val="32"/>
          <w:rFonts w:hint="eastAsia" w:ascii="仿宋_GB2312" w:hAnsi="仿宋_GB2312" w:eastAsia="仿宋_GB2312" w:cs="仿宋_GB2312"/>
          <w:bCs/>
          <w:color w:val="auto"/>
          <w:sz w:val="32"/>
          <w:szCs w:val="32"/>
          <w:highlight w:val="none"/>
          <w:lang w:eastAsia="zh-CN"/>
        </w:rPr>
        <w:t>、</w:t>
      </w:r>
      <w:r>
        <w:rPr>
          <w:rStyle w:val="32"/>
          <w:rFonts w:hint="eastAsia" w:ascii="仿宋_GB2312" w:hAnsi="仿宋_GB2312" w:eastAsia="仿宋_GB2312" w:cs="仿宋_GB2312"/>
          <w:bCs/>
          <w:color w:val="auto"/>
          <w:sz w:val="32"/>
          <w:szCs w:val="32"/>
          <w:highlight w:val="none"/>
        </w:rPr>
        <w:t>预备技师专业3个。汕尾市高级技工学校一期项目基本建成，陆河新能源技工学校动工建设，陆丰市高级技工学校、海丰县技工学校已启动项目。</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outlineLvl w:val="9"/>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
          <w:bCs/>
          <w:color w:val="auto"/>
          <w:sz w:val="32"/>
          <w:szCs w:val="32"/>
          <w:highlight w:val="none"/>
        </w:rPr>
        <w:t>事业单位活力明显提升。</w:t>
      </w:r>
      <w:r>
        <w:rPr>
          <w:rStyle w:val="32"/>
          <w:rFonts w:hint="eastAsia" w:ascii="仿宋_GB2312" w:hAnsi="仿宋_GB2312" w:eastAsia="仿宋_GB2312" w:cs="仿宋_GB2312"/>
          <w:bCs/>
          <w:color w:val="auto"/>
          <w:sz w:val="32"/>
          <w:szCs w:val="32"/>
          <w:highlight w:val="none"/>
        </w:rPr>
        <w:t>持续深化事业单位人事制度改革，配合全省推进事业单位人员聘用制度和岗位管理的建立，</w:t>
      </w:r>
      <w:r>
        <w:rPr>
          <w:rStyle w:val="32"/>
          <w:rFonts w:hint="eastAsia" w:ascii="仿宋_GB2312" w:hAnsi="仿宋_GB2312" w:eastAsia="仿宋_GB2312" w:cs="仿宋_GB2312"/>
          <w:bCs/>
          <w:color w:val="auto"/>
          <w:sz w:val="32"/>
          <w:szCs w:val="32"/>
          <w:highlight w:val="none"/>
          <w:lang w:val="en-US" w:eastAsia="zh-CN"/>
        </w:rPr>
        <w:t>副高及以上专业技术岗位资源配置向教育、医疗卫生倾斜，岗位设置更趋合理。</w:t>
      </w:r>
      <w:r>
        <w:rPr>
          <w:rStyle w:val="32"/>
          <w:rFonts w:hint="eastAsia" w:ascii="仿宋_GB2312" w:hAnsi="仿宋_GB2312" w:eastAsia="仿宋_GB2312" w:cs="仿宋_GB2312"/>
          <w:bCs/>
          <w:color w:val="auto"/>
          <w:sz w:val="32"/>
          <w:szCs w:val="32"/>
          <w:highlight w:val="none"/>
        </w:rPr>
        <w:t>公开招聘扎实推进，人员流动更加便捷。事业单位绩效工资分配激励机制更加完善，事业单位基本工资标准有序调整，加大基础教育、基础医疗收入分配倾斜力度，事业单位工作人员收入水平稳步提高。</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outlineLvl w:val="9"/>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
          <w:bCs/>
          <w:color w:val="auto"/>
          <w:sz w:val="32"/>
          <w:szCs w:val="32"/>
          <w:highlight w:val="none"/>
        </w:rPr>
        <w:t>劳动关系总体和谐稳定。</w:t>
      </w:r>
      <w:r>
        <w:rPr>
          <w:rStyle w:val="32"/>
          <w:rFonts w:hint="eastAsia" w:ascii="仿宋_GB2312" w:hAnsi="仿宋_GB2312" w:eastAsia="仿宋_GB2312" w:cs="仿宋_GB2312"/>
          <w:bCs/>
          <w:color w:val="auto"/>
          <w:sz w:val="32"/>
          <w:szCs w:val="32"/>
          <w:highlight w:val="none"/>
        </w:rPr>
        <w:t>劳动合同制度全面落实，劳动合同签订率不断提高。和谐劳动关系工作体制机制不断健全</w:t>
      </w:r>
      <w:r>
        <w:rPr>
          <w:rStyle w:val="32"/>
          <w:rFonts w:hint="eastAsia" w:ascii="仿宋_GB2312" w:hAnsi="仿宋_GB2312" w:eastAsia="仿宋_GB2312" w:cs="仿宋_GB2312"/>
          <w:bCs/>
          <w:color w:val="auto"/>
          <w:sz w:val="32"/>
          <w:szCs w:val="32"/>
          <w:highlight w:val="none"/>
          <w:lang w:eastAsia="zh-CN"/>
        </w:rPr>
        <w:t>，</w:t>
      </w:r>
      <w:r>
        <w:rPr>
          <w:rStyle w:val="32"/>
          <w:rFonts w:hint="eastAsia" w:ascii="仿宋_GB2312" w:hAnsi="仿宋_GB2312" w:eastAsia="仿宋_GB2312" w:cs="仿宋_GB2312"/>
          <w:bCs/>
          <w:color w:val="auto"/>
          <w:sz w:val="32"/>
          <w:szCs w:val="32"/>
          <w:highlight w:val="none"/>
        </w:rPr>
        <w:t>劳动争议多元化化解机制</w:t>
      </w:r>
      <w:r>
        <w:rPr>
          <w:rStyle w:val="32"/>
          <w:rFonts w:hint="eastAsia" w:ascii="仿宋_GB2312" w:hAnsi="仿宋_GB2312" w:eastAsia="仿宋_GB2312" w:cs="仿宋_GB2312"/>
          <w:bCs/>
          <w:color w:val="auto"/>
          <w:sz w:val="32"/>
          <w:szCs w:val="32"/>
          <w:highlight w:val="none"/>
          <w:lang w:val="en-US" w:eastAsia="zh-CN"/>
        </w:rPr>
        <w:t>日</w:t>
      </w:r>
      <w:r>
        <w:rPr>
          <w:rStyle w:val="32"/>
          <w:rFonts w:hint="eastAsia" w:ascii="仿宋_GB2312" w:hAnsi="仿宋_GB2312" w:eastAsia="仿宋_GB2312" w:cs="仿宋_GB2312"/>
          <w:bCs/>
          <w:color w:val="auto"/>
          <w:sz w:val="32"/>
          <w:szCs w:val="32"/>
          <w:highlight w:val="none"/>
        </w:rPr>
        <w:t>趋完善，劳动人事争议调解仲裁质效显著提升。劳务派遣用工更加规范、政府聘员招聘监督更</w:t>
      </w:r>
      <w:r>
        <w:rPr>
          <w:rStyle w:val="32"/>
          <w:rFonts w:hint="eastAsia" w:ascii="仿宋_GB2312" w:hAnsi="仿宋_GB2312" w:eastAsia="仿宋_GB2312" w:cs="仿宋_GB2312"/>
          <w:bCs/>
          <w:color w:val="auto"/>
          <w:sz w:val="32"/>
          <w:szCs w:val="32"/>
          <w:highlight w:val="none"/>
          <w:lang w:val="en-US" w:eastAsia="zh-CN"/>
        </w:rPr>
        <w:t>加</w:t>
      </w:r>
      <w:r>
        <w:rPr>
          <w:rStyle w:val="32"/>
          <w:rFonts w:hint="eastAsia" w:ascii="仿宋_GB2312" w:hAnsi="仿宋_GB2312" w:eastAsia="仿宋_GB2312" w:cs="仿宋_GB2312"/>
          <w:bCs/>
          <w:color w:val="auto"/>
          <w:sz w:val="32"/>
          <w:szCs w:val="32"/>
          <w:highlight w:val="none"/>
        </w:rPr>
        <w:t>到位。劳动监察执法效能不断提升，建立健全高效快捷矛盾化解机制。举报投诉“绿色通道”、应急预警机制、用工实名制、工资保证金、分账管理实现基本全覆盖，不敢欠不能欠不想欠的根治欠薪制度体系逐步健全，和谐稳定的新型劳动关系逐步形成。企业薪酬调查、人工成本监测和信息发布制度进一步完善，企业职工最低工资标准稳步提高。2020年，全市企业劳动合同签订率达98.3%，劳动人事争议调解成功率达79.69％，劳动人事争议仲裁结案率达99.58%，劳动保障监察举报诉</w:t>
      </w:r>
      <w:bookmarkStart w:id="6" w:name="bkReivew2130733"/>
      <w:r>
        <w:rPr>
          <w:rStyle w:val="32"/>
          <w:rFonts w:hint="eastAsia" w:ascii="仿宋_GB2312" w:hAnsi="仿宋_GB2312" w:eastAsia="仿宋_GB2312" w:cs="仿宋_GB2312"/>
          <w:bCs/>
          <w:color w:val="auto"/>
          <w:sz w:val="32"/>
          <w:szCs w:val="32"/>
          <w:highlight w:val="none"/>
        </w:rPr>
        <w:t>案件</w:t>
      </w:r>
      <w:bookmarkEnd w:id="6"/>
      <w:r>
        <w:rPr>
          <w:rStyle w:val="32"/>
          <w:rFonts w:hint="eastAsia" w:ascii="仿宋_GB2312" w:hAnsi="仿宋_GB2312" w:eastAsia="仿宋_GB2312" w:cs="仿宋_GB2312"/>
          <w:bCs/>
          <w:color w:val="auto"/>
          <w:sz w:val="32"/>
          <w:szCs w:val="32"/>
          <w:highlight w:val="none"/>
        </w:rPr>
        <w:t>结案率达100%，</w:t>
      </w:r>
      <w:r>
        <w:rPr>
          <w:rStyle w:val="32"/>
          <w:rFonts w:hint="eastAsia" w:ascii="仿宋_GB2312" w:hAnsi="仿宋_GB2312" w:eastAsia="仿宋_GB2312" w:cs="仿宋_GB2312"/>
          <w:bCs/>
          <w:color w:val="auto"/>
          <w:sz w:val="32"/>
          <w:szCs w:val="32"/>
          <w:highlight w:val="none"/>
          <w:lang w:eastAsia="zh-CN"/>
        </w:rPr>
        <w:t>“</w:t>
      </w:r>
      <w:r>
        <w:rPr>
          <w:rStyle w:val="32"/>
          <w:rFonts w:hint="eastAsia" w:ascii="仿宋_GB2312" w:hAnsi="仿宋_GB2312" w:eastAsia="仿宋_GB2312" w:cs="仿宋_GB2312"/>
          <w:bCs/>
          <w:color w:val="auto"/>
          <w:sz w:val="32"/>
          <w:szCs w:val="32"/>
          <w:highlight w:val="none"/>
          <w:lang w:val="en-US" w:eastAsia="zh-CN"/>
        </w:rPr>
        <w:t>十三五</w:t>
      </w:r>
      <w:r>
        <w:rPr>
          <w:rStyle w:val="32"/>
          <w:rFonts w:hint="eastAsia" w:ascii="仿宋_GB2312" w:hAnsi="仿宋_GB2312" w:eastAsia="仿宋_GB2312" w:cs="仿宋_GB2312"/>
          <w:bCs/>
          <w:color w:val="auto"/>
          <w:sz w:val="32"/>
          <w:szCs w:val="32"/>
          <w:highlight w:val="none"/>
          <w:lang w:eastAsia="zh-CN"/>
        </w:rPr>
        <w:t>”</w:t>
      </w:r>
      <w:r>
        <w:rPr>
          <w:rStyle w:val="32"/>
          <w:rFonts w:hint="eastAsia" w:ascii="仿宋_GB2312" w:hAnsi="仿宋_GB2312" w:eastAsia="仿宋_GB2312" w:cs="仿宋_GB2312"/>
          <w:bCs/>
          <w:color w:val="auto"/>
          <w:sz w:val="32"/>
          <w:szCs w:val="32"/>
          <w:highlight w:val="none"/>
          <w:lang w:val="en-US" w:eastAsia="zh-CN"/>
        </w:rPr>
        <w:t>期间</w:t>
      </w:r>
      <w:r>
        <w:rPr>
          <w:rStyle w:val="32"/>
          <w:rFonts w:hint="eastAsia" w:ascii="仿宋_GB2312" w:hAnsi="仿宋_GB2312" w:eastAsia="仿宋_GB2312" w:cs="仿宋_GB2312"/>
          <w:bCs/>
          <w:color w:val="auto"/>
          <w:sz w:val="32"/>
          <w:szCs w:val="32"/>
          <w:highlight w:val="none"/>
        </w:rPr>
        <w:t>最低工资标准从1010元提高到1410元，增长39.6%。</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outlineLvl w:val="9"/>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
          <w:bCs/>
          <w:color w:val="auto"/>
          <w:sz w:val="32"/>
          <w:szCs w:val="32"/>
          <w:highlight w:val="none"/>
        </w:rPr>
        <w:t>基本公共服务效能明显提高。</w:t>
      </w:r>
      <w:r>
        <w:rPr>
          <w:rStyle w:val="32"/>
          <w:rFonts w:hint="eastAsia" w:ascii="仿宋_GB2312" w:hAnsi="仿宋_GB2312" w:eastAsia="仿宋_GB2312" w:cs="仿宋_GB2312"/>
          <w:bCs/>
          <w:color w:val="auto"/>
          <w:sz w:val="32"/>
          <w:szCs w:val="32"/>
          <w:highlight w:val="none"/>
        </w:rPr>
        <w:t>“行风建设”一号工程成效显著，上线全省集中式信息系统，线上线下窗口服务效能显著提升。依托门户网站和“汕尾人社”微信公众号，及时发布人社政策信息，依托“智慧人社”开发“汕尾人社”服务手机APP、“汕尾在线人力资源市场”“汕尾人社”“汕尾就业”微信小程序等公共服务平台，注册用户超20万。“粤省事”“省政务服务网”上线216项人社服务，200项实现“零跑腿”，“马上办”比率超过50%，承诺时限压缩比70%以上。推出“免接触式支付”-电子社保卡移动支付，为全市群众提供了</w:t>
      </w:r>
      <w:r>
        <w:rPr>
          <w:rStyle w:val="32"/>
          <w:rFonts w:hint="eastAsia" w:ascii="仿宋_GB2312" w:hAnsi="仿宋_GB2312" w:eastAsia="仿宋_GB2312" w:cs="仿宋_GB2312"/>
          <w:bCs/>
          <w:color w:val="auto"/>
          <w:sz w:val="32"/>
          <w:szCs w:val="32"/>
          <w:highlight w:val="none"/>
          <w:lang w:val="en-US" w:eastAsia="zh-CN"/>
        </w:rPr>
        <w:t>更为</w:t>
      </w:r>
      <w:r>
        <w:rPr>
          <w:rStyle w:val="32"/>
          <w:rFonts w:hint="eastAsia" w:ascii="仿宋_GB2312" w:hAnsi="仿宋_GB2312" w:eastAsia="仿宋_GB2312" w:cs="仿宋_GB2312"/>
          <w:bCs/>
          <w:color w:val="auto"/>
          <w:sz w:val="32"/>
          <w:szCs w:val="32"/>
          <w:highlight w:val="none"/>
        </w:rPr>
        <w:t>快捷便利的线上人社一体化服务。市、县（市、区）、镇（街道）</w:t>
      </w:r>
      <w:r>
        <w:rPr>
          <w:rStyle w:val="32"/>
          <w:rFonts w:hint="eastAsia" w:ascii="仿宋_GB2312" w:hAnsi="仿宋_GB2312" w:eastAsia="仿宋_GB2312" w:cs="仿宋_GB2312"/>
          <w:bCs/>
          <w:color w:val="auto"/>
          <w:sz w:val="32"/>
          <w:szCs w:val="32"/>
          <w:highlight w:val="none"/>
          <w:lang w:val="en-US" w:eastAsia="zh-CN"/>
        </w:rPr>
        <w:t>三</w:t>
      </w:r>
      <w:r>
        <w:rPr>
          <w:rStyle w:val="32"/>
          <w:rFonts w:hint="eastAsia" w:ascii="仿宋_GB2312" w:hAnsi="仿宋_GB2312" w:eastAsia="仿宋_GB2312" w:cs="仿宋_GB2312"/>
          <w:bCs/>
          <w:color w:val="auto"/>
          <w:sz w:val="32"/>
          <w:szCs w:val="32"/>
          <w:highlight w:val="none"/>
        </w:rPr>
        <w:t>级人力资源</w:t>
      </w:r>
      <w:r>
        <w:rPr>
          <w:rStyle w:val="32"/>
          <w:rFonts w:hint="eastAsia" w:ascii="仿宋_GB2312" w:hAnsi="仿宋_GB2312" w:eastAsia="仿宋_GB2312" w:cs="仿宋_GB2312"/>
          <w:bCs/>
          <w:color w:val="auto"/>
          <w:sz w:val="32"/>
          <w:szCs w:val="32"/>
          <w:highlight w:val="none"/>
          <w:lang w:eastAsia="zh-CN"/>
        </w:rPr>
        <w:t>和</w:t>
      </w:r>
      <w:r>
        <w:rPr>
          <w:rStyle w:val="32"/>
          <w:rFonts w:hint="eastAsia" w:ascii="仿宋_GB2312" w:hAnsi="仿宋_GB2312" w:eastAsia="仿宋_GB2312" w:cs="仿宋_GB2312"/>
          <w:bCs/>
          <w:color w:val="auto"/>
          <w:sz w:val="32"/>
          <w:szCs w:val="32"/>
          <w:highlight w:val="none"/>
        </w:rPr>
        <w:t>社会保障公共服务体系基本形成，</w:t>
      </w:r>
      <w:r>
        <w:rPr>
          <w:rStyle w:val="32"/>
          <w:rFonts w:hint="eastAsia" w:ascii="仿宋_GB2312" w:hAnsi="仿宋_GB2312" w:eastAsia="仿宋_GB2312" w:cs="仿宋_GB2312"/>
          <w:bCs/>
          <w:color w:val="auto"/>
          <w:sz w:val="32"/>
          <w:szCs w:val="32"/>
          <w:highlight w:val="none"/>
          <w:lang w:val="en-US" w:eastAsia="zh-CN"/>
        </w:rPr>
        <w:t>城乡</w:t>
      </w:r>
      <w:r>
        <w:rPr>
          <w:rStyle w:val="32"/>
          <w:rFonts w:hint="eastAsia" w:ascii="仿宋_GB2312" w:hAnsi="仿宋_GB2312" w:eastAsia="仿宋_GB2312" w:cs="仿宋_GB2312"/>
          <w:bCs/>
          <w:color w:val="auto"/>
          <w:sz w:val="32"/>
          <w:szCs w:val="32"/>
          <w:highlight w:val="none"/>
        </w:rPr>
        <w:t>公共服务均等化水平明显提升。</w:t>
      </w:r>
    </w:p>
    <w:p>
      <w:pPr>
        <w:adjustRightInd w:val="0"/>
        <w:snapToGrid w:val="0"/>
        <w:spacing w:line="360" w:lineRule="auto"/>
        <w:ind w:firstLine="640" w:firstLineChars="200"/>
        <w:rPr>
          <w:rStyle w:val="32"/>
          <w:rFonts w:ascii="仿宋_GB2312" w:hAnsi="仿宋" w:eastAsia="仿宋_GB2312" w:cs="仿宋"/>
          <w:bCs/>
          <w:color w:val="auto"/>
          <w:sz w:val="32"/>
          <w:szCs w:val="32"/>
          <w:highlight w:val="none"/>
        </w:rPr>
      </w:pPr>
    </w:p>
    <w:p>
      <w:pPr>
        <w:pStyle w:val="9"/>
      </w:pPr>
    </w:p>
    <w:p>
      <w:pPr>
        <w:adjustRightInd w:val="0"/>
        <w:snapToGrid w:val="0"/>
        <w:spacing w:line="360" w:lineRule="auto"/>
        <w:ind w:firstLine="640" w:firstLineChars="200"/>
        <w:rPr>
          <w:rStyle w:val="32"/>
          <w:rFonts w:ascii="仿宋_GB2312" w:hAnsi="仿宋" w:eastAsia="仿宋_GB2312" w:cs="仿宋"/>
          <w:bCs/>
          <w:color w:val="auto"/>
          <w:sz w:val="32"/>
          <w:szCs w:val="32"/>
          <w:highlight w:val="none"/>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485"/>
        <w:gridCol w:w="1134"/>
        <w:gridCol w:w="1276"/>
        <w:gridCol w:w="1134"/>
        <w:gridCol w:w="1134"/>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856" w:type="dxa"/>
            <w:gridSpan w:val="7"/>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宋体" w:eastAsia="楷体_GB2312" w:cs="宋体"/>
                <w:b/>
                <w:color w:val="auto"/>
                <w:sz w:val="32"/>
                <w:szCs w:val="32"/>
                <w:highlight w:val="none"/>
                <w:lang w:bidi="zh-TW"/>
              </w:rPr>
            </w:pPr>
            <w:r>
              <w:rPr>
                <w:rFonts w:hint="eastAsia" w:ascii="楷体_GB2312" w:hAnsi="宋体" w:eastAsia="楷体_GB2312" w:cs="宋体"/>
                <w:b/>
                <w:color w:val="auto"/>
                <w:sz w:val="32"/>
                <w:szCs w:val="32"/>
                <w:highlight w:val="none"/>
                <w:lang w:bidi="zh-TW"/>
              </w:rPr>
              <w:t>专栏1  汕尾市</w:t>
            </w:r>
            <w:r>
              <w:rPr>
                <w:rFonts w:ascii="楷体_GB2312" w:hAnsi="宋体" w:eastAsia="楷体_GB2312" w:cs="宋体"/>
                <w:b/>
                <w:color w:val="auto"/>
                <w:sz w:val="32"/>
                <w:szCs w:val="32"/>
                <w:highlight w:val="none"/>
                <w:lang w:bidi="zh-TW"/>
              </w:rPr>
              <w:t>人社“十三五”时期主要指标完成情况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2" w:type="dxa"/>
            <w:shd w:val="clear" w:color="auto" w:fill="C6D9F0"/>
            <w:vAlign w:val="center"/>
          </w:tcPr>
          <w:p>
            <w:pPr>
              <w:adjustRightInd w:val="0"/>
              <w:snapToGrid w:val="0"/>
              <w:jc w:val="center"/>
              <w:rPr>
                <w:rFonts w:ascii="楷体_GB2312" w:hAnsi="宋体" w:eastAsia="楷体_GB2312" w:cs="宋体"/>
                <w:color w:val="auto"/>
                <w:sz w:val="28"/>
                <w:szCs w:val="28"/>
                <w:highlight w:val="none"/>
                <w:lang w:bidi="zh-TW"/>
              </w:rPr>
            </w:pPr>
            <w:r>
              <w:rPr>
                <w:rFonts w:ascii="Times New Roman" w:hAnsi="Times New Roman" w:eastAsia="黑体"/>
                <w:color w:val="auto"/>
                <w:szCs w:val="21"/>
                <w:highlight w:val="none"/>
              </w:rPr>
              <w:t>序号</w:t>
            </w:r>
          </w:p>
        </w:tc>
        <w:tc>
          <w:tcPr>
            <w:tcW w:w="2485" w:type="dxa"/>
            <w:shd w:val="clear" w:color="auto" w:fill="C6D9F0"/>
            <w:vAlign w:val="center"/>
          </w:tcPr>
          <w:p>
            <w:pPr>
              <w:adjustRightInd w:val="0"/>
              <w:snapToGrid w:val="0"/>
              <w:jc w:val="center"/>
              <w:rPr>
                <w:rFonts w:ascii="楷体_GB2312" w:hAnsi="宋体" w:eastAsia="楷体_GB2312" w:cs="宋体"/>
                <w:color w:val="auto"/>
                <w:sz w:val="28"/>
                <w:szCs w:val="28"/>
                <w:highlight w:val="none"/>
                <w:lang w:bidi="zh-TW"/>
              </w:rPr>
            </w:pPr>
            <w:r>
              <w:rPr>
                <w:rFonts w:ascii="Times New Roman" w:hAnsi="Times New Roman" w:eastAsia="黑体"/>
                <w:color w:val="auto"/>
                <w:szCs w:val="21"/>
                <w:highlight w:val="none"/>
              </w:rPr>
              <w:t>指标</w:t>
            </w:r>
          </w:p>
        </w:tc>
        <w:tc>
          <w:tcPr>
            <w:tcW w:w="1134" w:type="dxa"/>
            <w:shd w:val="clear" w:color="auto" w:fill="C6D9F0"/>
            <w:vAlign w:val="center"/>
          </w:tcPr>
          <w:p>
            <w:pPr>
              <w:adjustRightInd w:val="0"/>
              <w:snapToGrid w:val="0"/>
              <w:jc w:val="center"/>
              <w:rPr>
                <w:rFonts w:ascii="楷体_GB2312" w:hAnsi="宋体" w:eastAsia="楷体_GB2312" w:cs="宋体"/>
                <w:color w:val="auto"/>
                <w:sz w:val="28"/>
                <w:szCs w:val="28"/>
                <w:highlight w:val="none"/>
                <w:lang w:bidi="zh-TW"/>
              </w:rPr>
            </w:pPr>
            <w:r>
              <w:rPr>
                <w:rFonts w:ascii="Times New Roman" w:hAnsi="Times New Roman" w:eastAsia="黑体"/>
                <w:color w:val="auto"/>
                <w:szCs w:val="21"/>
                <w:highlight w:val="none"/>
              </w:rPr>
              <w:t>单位</w:t>
            </w:r>
          </w:p>
        </w:tc>
        <w:tc>
          <w:tcPr>
            <w:tcW w:w="1276" w:type="dxa"/>
            <w:shd w:val="clear" w:color="auto" w:fill="C6D9F0"/>
            <w:vAlign w:val="center"/>
          </w:tcPr>
          <w:p>
            <w:pPr>
              <w:adjustRightInd w:val="0"/>
              <w:snapToGrid w:val="0"/>
              <w:jc w:val="center"/>
              <w:rPr>
                <w:rFonts w:ascii="楷体_GB2312" w:hAnsi="宋体" w:eastAsia="楷体_GB2312" w:cs="宋体"/>
                <w:color w:val="auto"/>
                <w:sz w:val="28"/>
                <w:szCs w:val="28"/>
                <w:highlight w:val="none"/>
                <w:lang w:bidi="zh-TW"/>
              </w:rPr>
            </w:pPr>
            <w:r>
              <w:rPr>
                <w:rFonts w:ascii="Times New Roman" w:hAnsi="Times New Roman" w:eastAsia="黑体"/>
                <w:color w:val="auto"/>
                <w:szCs w:val="21"/>
                <w:highlight w:val="none"/>
              </w:rPr>
              <w:t>目标值</w:t>
            </w:r>
          </w:p>
        </w:tc>
        <w:tc>
          <w:tcPr>
            <w:tcW w:w="1134" w:type="dxa"/>
            <w:shd w:val="clear" w:color="auto" w:fill="C6D9F0"/>
            <w:vAlign w:val="center"/>
          </w:tcPr>
          <w:p>
            <w:pPr>
              <w:adjustRightInd w:val="0"/>
              <w:snapToGrid w:val="0"/>
              <w:jc w:val="center"/>
              <w:rPr>
                <w:rFonts w:ascii="楷体_GB2312" w:hAnsi="宋体" w:eastAsia="楷体_GB2312" w:cs="宋体"/>
                <w:color w:val="auto"/>
                <w:sz w:val="28"/>
                <w:szCs w:val="28"/>
                <w:highlight w:val="none"/>
                <w:lang w:bidi="zh-TW"/>
              </w:rPr>
            </w:pPr>
            <w:r>
              <w:rPr>
                <w:rFonts w:ascii="Times New Roman" w:hAnsi="Times New Roman" w:eastAsia="黑体"/>
                <w:color w:val="auto"/>
                <w:szCs w:val="21"/>
                <w:highlight w:val="none"/>
              </w:rPr>
              <w:t>完成值</w:t>
            </w:r>
          </w:p>
        </w:tc>
        <w:tc>
          <w:tcPr>
            <w:tcW w:w="1134" w:type="dxa"/>
            <w:shd w:val="clear" w:color="auto" w:fill="C6D9F0"/>
            <w:vAlign w:val="center"/>
          </w:tcPr>
          <w:p>
            <w:pPr>
              <w:adjustRightInd w:val="0"/>
              <w:snapToGrid w:val="0"/>
              <w:jc w:val="center"/>
              <w:rPr>
                <w:rFonts w:ascii="楷体_GB2312" w:hAnsi="宋体" w:eastAsia="楷体_GB2312" w:cs="宋体"/>
                <w:color w:val="auto"/>
                <w:sz w:val="28"/>
                <w:szCs w:val="28"/>
                <w:highlight w:val="none"/>
                <w:lang w:bidi="zh-TW"/>
              </w:rPr>
            </w:pPr>
            <w:r>
              <w:rPr>
                <w:rFonts w:ascii="Times New Roman" w:hAnsi="Times New Roman" w:eastAsia="黑体"/>
                <w:color w:val="auto"/>
                <w:szCs w:val="21"/>
                <w:highlight w:val="none"/>
              </w:rPr>
              <w:t>完成率</w:t>
            </w:r>
          </w:p>
        </w:tc>
        <w:tc>
          <w:tcPr>
            <w:tcW w:w="951" w:type="dxa"/>
            <w:shd w:val="clear" w:color="auto" w:fill="C6D9F0"/>
            <w:vAlign w:val="center"/>
          </w:tcPr>
          <w:p>
            <w:pPr>
              <w:adjustRightInd w:val="0"/>
              <w:snapToGrid w:val="0"/>
              <w:jc w:val="center"/>
              <w:rPr>
                <w:rFonts w:ascii="楷体_GB2312" w:hAnsi="宋体" w:eastAsia="楷体_GB2312" w:cs="宋体"/>
                <w:color w:val="auto"/>
                <w:sz w:val="28"/>
                <w:szCs w:val="28"/>
                <w:highlight w:val="none"/>
                <w:lang w:bidi="zh-TW"/>
              </w:rPr>
            </w:pPr>
            <w:r>
              <w:rPr>
                <w:rFonts w:ascii="Times New Roman" w:hAnsi="Times New Roman" w:eastAsia="黑体"/>
                <w:color w:val="auto"/>
                <w:szCs w:val="21"/>
                <w:highlight w:val="none"/>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856" w:type="dxa"/>
            <w:gridSpan w:val="7"/>
            <w:shd w:val="clear" w:color="auto" w:fill="C6D9F0"/>
            <w:vAlign w:val="center"/>
          </w:tcPr>
          <w:p>
            <w:pPr>
              <w:adjustRightInd w:val="0"/>
              <w:snapToGrid w:val="0"/>
              <w:jc w:val="left"/>
              <w:rPr>
                <w:rFonts w:ascii="Times New Roman" w:hAnsi="Times New Roman" w:eastAsia="黑体"/>
                <w:color w:val="auto"/>
                <w:szCs w:val="21"/>
                <w:highlight w:val="none"/>
              </w:rPr>
            </w:pPr>
            <w:r>
              <w:rPr>
                <w:rFonts w:hint="eastAsia" w:ascii="Times New Roman" w:hAnsi="Times New Roman" w:eastAsia="黑体"/>
                <w:color w:val="auto"/>
                <w:szCs w:val="21"/>
                <w:highlight w:val="none"/>
              </w:rPr>
              <w:t>一、就业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42" w:type="dxa"/>
            <w:shd w:val="clear" w:color="auto" w:fill="C6D9F0"/>
            <w:vAlign w:val="center"/>
          </w:tcPr>
          <w:p>
            <w:pPr>
              <w:adjustRightInd w:val="0"/>
              <w:snapToGrid w:val="0"/>
              <w:jc w:val="center"/>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1</w:t>
            </w:r>
          </w:p>
        </w:tc>
        <w:tc>
          <w:tcPr>
            <w:tcW w:w="2485" w:type="dxa"/>
            <w:shd w:val="clear" w:color="auto" w:fill="C6D9F0"/>
            <w:vAlign w:val="center"/>
          </w:tcPr>
          <w:p>
            <w:pPr>
              <w:adjustRightInd w:val="0"/>
              <w:snapToGrid w:val="0"/>
              <w:spacing w:before="120" w:beforeLines="50" w:line="312" w:lineRule="auto"/>
              <w:jc w:val="lef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城镇新增就业人数</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万人</w:t>
            </w:r>
          </w:p>
        </w:tc>
        <w:tc>
          <w:tcPr>
            <w:tcW w:w="1276"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[25]</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[25]</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100</w:t>
            </w:r>
          </w:p>
        </w:tc>
        <w:tc>
          <w:tcPr>
            <w:tcW w:w="951"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42" w:type="dxa"/>
            <w:shd w:val="clear" w:color="auto" w:fill="C6D9F0"/>
            <w:vAlign w:val="center"/>
          </w:tcPr>
          <w:p>
            <w:pPr>
              <w:adjustRightInd w:val="0"/>
              <w:snapToGrid w:val="0"/>
              <w:jc w:val="center"/>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2</w:t>
            </w:r>
          </w:p>
        </w:tc>
        <w:tc>
          <w:tcPr>
            <w:tcW w:w="2485" w:type="dxa"/>
            <w:shd w:val="clear" w:color="auto" w:fill="C6D9F0"/>
            <w:vAlign w:val="center"/>
          </w:tcPr>
          <w:p>
            <w:pPr>
              <w:adjustRightInd w:val="0"/>
              <w:snapToGrid w:val="0"/>
              <w:spacing w:before="120" w:beforeLines="50" w:line="312" w:lineRule="auto"/>
              <w:jc w:val="lef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城镇登记失业率</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w:t>
            </w:r>
          </w:p>
        </w:tc>
        <w:tc>
          <w:tcPr>
            <w:tcW w:w="1276"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3.0以内</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3.0以内</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100</w:t>
            </w:r>
          </w:p>
        </w:tc>
        <w:tc>
          <w:tcPr>
            <w:tcW w:w="951"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856" w:type="dxa"/>
            <w:gridSpan w:val="7"/>
            <w:shd w:val="clear" w:color="auto" w:fill="C6D9F0"/>
            <w:vAlign w:val="center"/>
          </w:tcPr>
          <w:p>
            <w:pPr>
              <w:adjustRightInd w:val="0"/>
              <w:snapToGrid w:val="0"/>
              <w:jc w:val="left"/>
              <w:rPr>
                <w:rFonts w:ascii="楷体_GB2312" w:hAnsi="宋体" w:eastAsia="楷体_GB2312" w:cs="宋体"/>
                <w:color w:val="auto"/>
                <w:sz w:val="28"/>
                <w:szCs w:val="28"/>
                <w:highlight w:val="none"/>
                <w:lang w:bidi="zh-TW"/>
              </w:rPr>
            </w:pPr>
            <w:r>
              <w:rPr>
                <w:rFonts w:hint="eastAsia" w:ascii="Times New Roman" w:hAnsi="Times New Roman" w:eastAsia="黑体"/>
                <w:color w:val="auto"/>
                <w:szCs w:val="21"/>
                <w:highlight w:val="none"/>
              </w:rPr>
              <w:t>二、社会保险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742" w:type="dxa"/>
            <w:shd w:val="clear" w:color="auto" w:fill="C6D9F0"/>
            <w:vAlign w:val="center"/>
          </w:tcPr>
          <w:p>
            <w:pPr>
              <w:keepLines w:val="0"/>
              <w:pageBreakBefore w:val="0"/>
              <w:kinsoku/>
              <w:wordWrap/>
              <w:overflowPunct/>
              <w:topLinePunct w:val="0"/>
              <w:autoSpaceDE/>
              <w:autoSpaceDN/>
              <w:bidi w:val="0"/>
              <w:adjustRightInd w:val="0"/>
              <w:snapToGrid w:val="0"/>
              <w:spacing w:before="120" w:beforeLines="50" w:line="300" w:lineRule="exact"/>
              <w:jc w:val="center"/>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3</w:t>
            </w:r>
          </w:p>
        </w:tc>
        <w:tc>
          <w:tcPr>
            <w:tcW w:w="2485" w:type="dxa"/>
            <w:shd w:val="clear" w:color="auto" w:fill="C6D9F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基本养老保险参保率</w:t>
            </w:r>
          </w:p>
        </w:tc>
        <w:tc>
          <w:tcPr>
            <w:tcW w:w="1134" w:type="dxa"/>
            <w:shd w:val="clear" w:color="auto" w:fill="C6D9F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w:t>
            </w:r>
          </w:p>
        </w:tc>
        <w:tc>
          <w:tcPr>
            <w:tcW w:w="1276" w:type="dxa"/>
            <w:shd w:val="clear" w:color="auto" w:fill="C6D9F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98</w:t>
            </w:r>
          </w:p>
        </w:tc>
        <w:tc>
          <w:tcPr>
            <w:tcW w:w="1134" w:type="dxa"/>
            <w:shd w:val="clear" w:color="auto" w:fill="C6D9F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宋体"/>
                <w:color w:val="auto"/>
                <w:szCs w:val="21"/>
                <w:highlight w:val="none"/>
              </w:rPr>
            </w:pPr>
            <w:r>
              <w:rPr>
                <w:rFonts w:hint="eastAsia" w:ascii="Times New Roman" w:hAnsi="Times New Roman" w:eastAsia="宋体"/>
                <w:color w:val="auto"/>
                <w:szCs w:val="21"/>
                <w:highlight w:val="none"/>
              </w:rPr>
              <w:t>91</w:t>
            </w:r>
          </w:p>
        </w:tc>
        <w:tc>
          <w:tcPr>
            <w:tcW w:w="1134" w:type="dxa"/>
            <w:shd w:val="clear" w:color="auto" w:fill="C6D9F0"/>
            <w:vAlign w:val="center"/>
          </w:tcPr>
          <w:p>
            <w:pPr>
              <w:keepLines w:val="0"/>
              <w:pageBreakBefore w:val="0"/>
              <w:kinsoku/>
              <w:wordWrap/>
              <w:overflowPunct/>
              <w:topLinePunct w:val="0"/>
              <w:autoSpaceDE/>
              <w:autoSpaceDN/>
              <w:bidi w:val="0"/>
              <w:adjustRightInd w:val="0"/>
              <w:snapToGrid w:val="0"/>
              <w:spacing w:before="120" w:beforeLines="50" w:line="300" w:lineRule="exact"/>
              <w:jc w:val="center"/>
              <w:textAlignment w:val="auto"/>
              <w:outlineLvl w:val="9"/>
              <w:rPr>
                <w:rFonts w:ascii="Times New Roman" w:hAnsi="Times New Roman" w:eastAsia="宋体"/>
                <w:color w:val="auto"/>
                <w:szCs w:val="21"/>
                <w:highlight w:val="none"/>
              </w:rPr>
            </w:pPr>
            <w:r>
              <w:rPr>
                <w:rFonts w:hint="eastAsia" w:ascii="Times New Roman" w:hAnsi="Times New Roman" w:eastAsia="宋体"/>
                <w:color w:val="auto"/>
                <w:szCs w:val="21"/>
                <w:highlight w:val="none"/>
              </w:rPr>
              <w:t>统计口径调整</w:t>
            </w:r>
          </w:p>
        </w:tc>
        <w:tc>
          <w:tcPr>
            <w:tcW w:w="951" w:type="dxa"/>
            <w:shd w:val="clear" w:color="auto" w:fill="C6D9F0"/>
            <w:vAlign w:val="center"/>
          </w:tcPr>
          <w:p>
            <w:pPr>
              <w:keepNext/>
              <w:keepLines w:val="0"/>
              <w:pageBreakBefore w:val="0"/>
              <w:widowControl/>
              <w:kinsoku/>
              <w:wordWrap/>
              <w:overflowPunct/>
              <w:topLinePunct w:val="0"/>
              <w:autoSpaceDE/>
              <w:autoSpaceDN/>
              <w:bidi w:val="0"/>
              <w:adjustRightInd w:val="0"/>
              <w:snapToGrid w:val="0"/>
              <w:spacing w:before="120" w:beforeLines="50" w:line="300" w:lineRule="exact"/>
              <w:jc w:val="center"/>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shd w:val="clear" w:color="auto" w:fill="C6D9F0"/>
            <w:vAlign w:val="center"/>
          </w:tcPr>
          <w:p>
            <w:pPr>
              <w:keepLines w:val="0"/>
              <w:pageBreakBefore w:val="0"/>
              <w:kinsoku/>
              <w:wordWrap/>
              <w:overflowPunct/>
              <w:topLinePunct w:val="0"/>
              <w:autoSpaceDE/>
              <w:autoSpaceDN/>
              <w:bidi w:val="0"/>
              <w:adjustRightInd w:val="0"/>
              <w:snapToGrid w:val="0"/>
              <w:spacing w:before="120" w:beforeLines="50" w:line="300" w:lineRule="exact"/>
              <w:jc w:val="center"/>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4</w:t>
            </w:r>
          </w:p>
        </w:tc>
        <w:tc>
          <w:tcPr>
            <w:tcW w:w="2485" w:type="dxa"/>
            <w:shd w:val="clear" w:color="auto" w:fill="C6D9F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失业保险参保人数</w:t>
            </w:r>
          </w:p>
        </w:tc>
        <w:tc>
          <w:tcPr>
            <w:tcW w:w="1134" w:type="dxa"/>
            <w:shd w:val="clear" w:color="auto" w:fill="C6D9F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万人</w:t>
            </w:r>
          </w:p>
        </w:tc>
        <w:tc>
          <w:tcPr>
            <w:tcW w:w="1276" w:type="dxa"/>
            <w:shd w:val="clear" w:color="auto" w:fill="C6D9F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28</w:t>
            </w:r>
          </w:p>
        </w:tc>
        <w:tc>
          <w:tcPr>
            <w:tcW w:w="1134" w:type="dxa"/>
            <w:shd w:val="clear" w:color="auto" w:fill="C6D9F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12.33</w:t>
            </w:r>
          </w:p>
        </w:tc>
        <w:tc>
          <w:tcPr>
            <w:tcW w:w="1134" w:type="dxa"/>
            <w:shd w:val="clear" w:color="auto" w:fill="C6D9F0"/>
            <w:vAlign w:val="center"/>
          </w:tcPr>
          <w:p>
            <w:pPr>
              <w:keepLines w:val="0"/>
              <w:pageBreakBefore w:val="0"/>
              <w:kinsoku/>
              <w:wordWrap/>
              <w:overflowPunct/>
              <w:topLinePunct w:val="0"/>
              <w:autoSpaceDE/>
              <w:autoSpaceDN/>
              <w:bidi w:val="0"/>
              <w:adjustRightInd w:val="0"/>
              <w:snapToGrid w:val="0"/>
              <w:spacing w:before="120" w:beforeLines="50" w:line="300" w:lineRule="exact"/>
              <w:jc w:val="center"/>
              <w:textAlignment w:val="auto"/>
              <w:outlineLvl w:val="9"/>
              <w:rPr>
                <w:rFonts w:ascii="Times New Roman" w:hAnsi="Times New Roman" w:eastAsia="宋体"/>
                <w:color w:val="auto"/>
                <w:szCs w:val="21"/>
                <w:highlight w:val="none"/>
              </w:rPr>
            </w:pPr>
            <w:r>
              <w:rPr>
                <w:rFonts w:hint="eastAsia" w:ascii="Times New Roman" w:hAnsi="Times New Roman" w:eastAsia="宋体"/>
                <w:color w:val="auto"/>
                <w:szCs w:val="21"/>
                <w:highlight w:val="none"/>
              </w:rPr>
              <w:t>统计口径调整</w:t>
            </w:r>
          </w:p>
        </w:tc>
        <w:tc>
          <w:tcPr>
            <w:tcW w:w="951" w:type="dxa"/>
            <w:shd w:val="clear" w:color="auto" w:fill="C6D9F0"/>
            <w:vAlign w:val="center"/>
          </w:tcPr>
          <w:p>
            <w:pPr>
              <w:keepLines w:val="0"/>
              <w:pageBreakBefore w:val="0"/>
              <w:kinsoku/>
              <w:wordWrap/>
              <w:overflowPunct/>
              <w:topLinePunct w:val="0"/>
              <w:autoSpaceDE/>
              <w:autoSpaceDN/>
              <w:bidi w:val="0"/>
              <w:adjustRightInd w:val="0"/>
              <w:snapToGrid w:val="0"/>
              <w:spacing w:before="120" w:beforeLines="50" w:line="300" w:lineRule="exact"/>
              <w:jc w:val="center"/>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shd w:val="clear" w:color="auto" w:fill="C6D9F0"/>
            <w:vAlign w:val="center"/>
          </w:tcPr>
          <w:p>
            <w:pPr>
              <w:keepLines w:val="0"/>
              <w:pageBreakBefore w:val="0"/>
              <w:kinsoku/>
              <w:wordWrap/>
              <w:overflowPunct/>
              <w:topLinePunct w:val="0"/>
              <w:autoSpaceDE/>
              <w:autoSpaceDN/>
              <w:bidi w:val="0"/>
              <w:adjustRightInd w:val="0"/>
              <w:snapToGrid w:val="0"/>
              <w:spacing w:before="120" w:beforeLines="50" w:line="300" w:lineRule="exact"/>
              <w:jc w:val="center"/>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5</w:t>
            </w:r>
          </w:p>
        </w:tc>
        <w:tc>
          <w:tcPr>
            <w:tcW w:w="2485" w:type="dxa"/>
            <w:shd w:val="clear" w:color="auto" w:fill="C6D9F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工伤保险参保人数</w:t>
            </w:r>
          </w:p>
        </w:tc>
        <w:tc>
          <w:tcPr>
            <w:tcW w:w="1134" w:type="dxa"/>
            <w:shd w:val="clear" w:color="auto" w:fill="C6D9F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万人</w:t>
            </w:r>
          </w:p>
        </w:tc>
        <w:tc>
          <w:tcPr>
            <w:tcW w:w="1276" w:type="dxa"/>
            <w:shd w:val="clear" w:color="auto" w:fill="C6D9F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22.5</w:t>
            </w:r>
          </w:p>
        </w:tc>
        <w:tc>
          <w:tcPr>
            <w:tcW w:w="1134" w:type="dxa"/>
            <w:shd w:val="clear" w:color="auto" w:fill="C6D9F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16.80</w:t>
            </w:r>
          </w:p>
        </w:tc>
        <w:tc>
          <w:tcPr>
            <w:tcW w:w="1134" w:type="dxa"/>
            <w:shd w:val="clear" w:color="auto" w:fill="C6D9F0"/>
            <w:vAlign w:val="center"/>
          </w:tcPr>
          <w:p>
            <w:pPr>
              <w:keepLines w:val="0"/>
              <w:pageBreakBefore w:val="0"/>
              <w:kinsoku/>
              <w:wordWrap/>
              <w:overflowPunct/>
              <w:topLinePunct w:val="0"/>
              <w:autoSpaceDE/>
              <w:autoSpaceDN/>
              <w:bidi w:val="0"/>
              <w:adjustRightInd w:val="0"/>
              <w:snapToGrid w:val="0"/>
              <w:spacing w:before="120" w:beforeLines="50" w:line="300" w:lineRule="exact"/>
              <w:jc w:val="center"/>
              <w:textAlignment w:val="auto"/>
              <w:outlineLvl w:val="9"/>
              <w:rPr>
                <w:rFonts w:ascii="Times New Roman" w:hAnsi="Times New Roman" w:eastAsia="宋体"/>
                <w:color w:val="auto"/>
                <w:szCs w:val="21"/>
                <w:highlight w:val="none"/>
              </w:rPr>
            </w:pPr>
            <w:r>
              <w:rPr>
                <w:rFonts w:hint="eastAsia" w:ascii="Times New Roman" w:hAnsi="Times New Roman" w:eastAsia="宋体"/>
                <w:color w:val="auto"/>
                <w:szCs w:val="21"/>
                <w:highlight w:val="none"/>
              </w:rPr>
              <w:t>统计口径调整</w:t>
            </w:r>
          </w:p>
        </w:tc>
        <w:tc>
          <w:tcPr>
            <w:tcW w:w="951" w:type="dxa"/>
            <w:shd w:val="clear" w:color="auto" w:fill="C6D9F0"/>
            <w:vAlign w:val="center"/>
          </w:tcPr>
          <w:p>
            <w:pPr>
              <w:keepLines w:val="0"/>
              <w:pageBreakBefore w:val="0"/>
              <w:kinsoku/>
              <w:wordWrap/>
              <w:overflowPunct/>
              <w:topLinePunct w:val="0"/>
              <w:autoSpaceDE/>
              <w:autoSpaceDN/>
              <w:bidi w:val="0"/>
              <w:adjustRightInd w:val="0"/>
              <w:snapToGrid w:val="0"/>
              <w:spacing w:before="120" w:beforeLines="50" w:line="300" w:lineRule="exact"/>
              <w:jc w:val="center"/>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856" w:type="dxa"/>
            <w:gridSpan w:val="7"/>
            <w:shd w:val="clear" w:color="auto" w:fill="C6D9F0"/>
            <w:vAlign w:val="center"/>
          </w:tcPr>
          <w:p>
            <w:pPr>
              <w:adjustRightInd w:val="0"/>
              <w:snapToGrid w:val="0"/>
              <w:jc w:val="left"/>
              <w:rPr>
                <w:rFonts w:ascii="楷体_GB2312" w:hAnsi="宋体" w:eastAsia="楷体_GB2312" w:cs="宋体"/>
                <w:color w:val="auto"/>
                <w:sz w:val="28"/>
                <w:szCs w:val="28"/>
                <w:highlight w:val="none"/>
                <w:lang w:bidi="zh-TW"/>
              </w:rPr>
            </w:pPr>
            <w:r>
              <w:rPr>
                <w:rFonts w:hint="eastAsia" w:ascii="Times New Roman" w:hAnsi="Times New Roman" w:eastAsia="黑体"/>
                <w:color w:val="auto"/>
                <w:szCs w:val="21"/>
                <w:highlight w:val="none"/>
              </w:rPr>
              <w:t>三、人才队伍建设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6</w:t>
            </w:r>
          </w:p>
        </w:tc>
        <w:tc>
          <w:tcPr>
            <w:tcW w:w="2485" w:type="dxa"/>
            <w:shd w:val="clear" w:color="auto" w:fill="C6D9F0"/>
            <w:vAlign w:val="center"/>
          </w:tcPr>
          <w:p>
            <w:pPr>
              <w:adjustRightInd w:val="0"/>
              <w:snapToGrid w:val="0"/>
              <w:spacing w:before="120" w:beforeLines="50" w:line="312"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专业技术人才总量</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 w:val="20"/>
                <w:szCs w:val="20"/>
                <w:highlight w:val="none"/>
              </w:rPr>
            </w:pPr>
            <w:r>
              <w:rPr>
                <w:rFonts w:ascii="Times New Roman" w:hAnsi="Times New Roman" w:eastAsia="宋体"/>
                <w:color w:val="auto"/>
                <w:sz w:val="20"/>
                <w:szCs w:val="20"/>
                <w:highlight w:val="none"/>
              </w:rPr>
              <w:t>万人</w:t>
            </w:r>
          </w:p>
        </w:tc>
        <w:tc>
          <w:tcPr>
            <w:tcW w:w="1276"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13.6</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10.78</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79.26%</w:t>
            </w:r>
          </w:p>
        </w:tc>
        <w:tc>
          <w:tcPr>
            <w:tcW w:w="951"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7</w:t>
            </w:r>
          </w:p>
        </w:tc>
        <w:tc>
          <w:tcPr>
            <w:tcW w:w="2485" w:type="dxa"/>
            <w:shd w:val="clear" w:color="auto" w:fill="C6D9F0"/>
            <w:vAlign w:val="center"/>
          </w:tcPr>
          <w:p>
            <w:pPr>
              <w:adjustRightInd w:val="0"/>
              <w:snapToGrid w:val="0"/>
              <w:spacing w:before="120" w:beforeLines="50" w:line="312"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高、中、初级专业技术人才比例</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 w:val="20"/>
                <w:szCs w:val="20"/>
                <w:highlight w:val="none"/>
              </w:rPr>
            </w:pPr>
            <w:bookmarkStart w:id="7" w:name="bkReivew1112726"/>
            <w:r>
              <w:rPr>
                <w:rFonts w:ascii="Times New Roman" w:hAnsi="Times New Roman" w:eastAsia="宋体"/>
                <w:color w:val="auto"/>
                <w:sz w:val="20"/>
                <w:szCs w:val="20"/>
                <w:highlight w:val="none"/>
              </w:rPr>
              <w:t>：：</w:t>
            </w:r>
            <w:bookmarkEnd w:id="7"/>
          </w:p>
        </w:tc>
        <w:tc>
          <w:tcPr>
            <w:tcW w:w="1276"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pacing w:val="10"/>
                <w:szCs w:val="21"/>
                <w:highlight w:val="none"/>
              </w:rPr>
              <w:t>14:42:44</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bookmarkStart w:id="8" w:name="bkReivew110513"/>
            <w:r>
              <w:rPr>
                <w:rFonts w:ascii="Times New Roman" w:hAnsi="Times New Roman" w:eastAsia="宋体"/>
                <w:color w:val="auto"/>
                <w:szCs w:val="21"/>
                <w:highlight w:val="none"/>
              </w:rPr>
              <w:t>—</w:t>
            </w:r>
            <w:bookmarkEnd w:id="8"/>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pacing w:val="10"/>
                <w:szCs w:val="21"/>
                <w:highlight w:val="none"/>
              </w:rPr>
            </w:pPr>
            <w:bookmarkStart w:id="9" w:name="bkReivew160705"/>
            <w:r>
              <w:rPr>
                <w:rFonts w:ascii="Times New Roman" w:hAnsi="Times New Roman" w:eastAsia="宋体"/>
                <w:color w:val="auto"/>
                <w:spacing w:val="10"/>
                <w:szCs w:val="21"/>
                <w:highlight w:val="none"/>
              </w:rPr>
              <w:t>—</w:t>
            </w:r>
            <w:bookmarkEnd w:id="9"/>
          </w:p>
        </w:tc>
        <w:tc>
          <w:tcPr>
            <w:tcW w:w="951"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pacing w:val="-14"/>
                <w:szCs w:val="21"/>
                <w:highlight w:val="none"/>
              </w:rPr>
            </w:pPr>
            <w:r>
              <w:rPr>
                <w:rFonts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8</w:t>
            </w:r>
          </w:p>
        </w:tc>
        <w:tc>
          <w:tcPr>
            <w:tcW w:w="2485" w:type="dxa"/>
            <w:shd w:val="clear" w:color="auto" w:fill="C6D9F0"/>
            <w:vAlign w:val="center"/>
          </w:tcPr>
          <w:p>
            <w:pPr>
              <w:adjustRightInd w:val="0"/>
              <w:snapToGrid w:val="0"/>
              <w:spacing w:before="120" w:beforeLines="50" w:line="312"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高技能人才占技能人才比例</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 w:val="20"/>
                <w:szCs w:val="20"/>
                <w:highlight w:val="none"/>
              </w:rPr>
            </w:pPr>
            <w:r>
              <w:rPr>
                <w:rFonts w:ascii="Times New Roman" w:hAnsi="Times New Roman" w:eastAsia="宋体"/>
                <w:color w:val="auto"/>
                <w:sz w:val="20"/>
                <w:szCs w:val="20"/>
                <w:highlight w:val="none"/>
              </w:rPr>
              <w:t>%</w:t>
            </w:r>
          </w:p>
        </w:tc>
        <w:tc>
          <w:tcPr>
            <w:tcW w:w="1276"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29</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16.02</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统计口径调整</w:t>
            </w:r>
          </w:p>
        </w:tc>
        <w:tc>
          <w:tcPr>
            <w:tcW w:w="951"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856" w:type="dxa"/>
            <w:gridSpan w:val="7"/>
            <w:shd w:val="clear" w:color="auto" w:fill="C6D9F0"/>
            <w:vAlign w:val="center"/>
          </w:tcPr>
          <w:p>
            <w:pPr>
              <w:adjustRightInd w:val="0"/>
              <w:snapToGrid w:val="0"/>
              <w:jc w:val="left"/>
              <w:rPr>
                <w:rFonts w:ascii="楷体_GB2312" w:hAnsi="宋体" w:eastAsia="楷体_GB2312" w:cs="宋体"/>
                <w:color w:val="auto"/>
                <w:sz w:val="28"/>
                <w:szCs w:val="28"/>
                <w:highlight w:val="none"/>
                <w:lang w:bidi="zh-TW"/>
              </w:rPr>
            </w:pPr>
            <w:r>
              <w:rPr>
                <w:rFonts w:hint="eastAsia" w:ascii="Times New Roman" w:hAnsi="Times New Roman" w:eastAsia="黑体"/>
                <w:color w:val="auto"/>
                <w:szCs w:val="21"/>
                <w:highlight w:val="none"/>
              </w:rPr>
              <w:t>四、劳动关系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9</w:t>
            </w:r>
          </w:p>
        </w:tc>
        <w:tc>
          <w:tcPr>
            <w:tcW w:w="2485" w:type="dxa"/>
            <w:shd w:val="clear" w:color="auto" w:fill="C6D9F0"/>
            <w:vAlign w:val="center"/>
          </w:tcPr>
          <w:p>
            <w:pPr>
              <w:adjustRightInd w:val="0"/>
              <w:snapToGrid w:val="0"/>
              <w:spacing w:before="120" w:beforeLines="50" w:line="312"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企业劳动合同签订率</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w:t>
            </w:r>
          </w:p>
        </w:tc>
        <w:tc>
          <w:tcPr>
            <w:tcW w:w="1276"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96</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98.3</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102.4</w:t>
            </w:r>
          </w:p>
        </w:tc>
        <w:tc>
          <w:tcPr>
            <w:tcW w:w="951"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10</w:t>
            </w:r>
          </w:p>
        </w:tc>
        <w:tc>
          <w:tcPr>
            <w:tcW w:w="2485" w:type="dxa"/>
            <w:shd w:val="clear" w:color="auto" w:fill="C6D9F0"/>
            <w:vAlign w:val="center"/>
          </w:tcPr>
          <w:p>
            <w:pPr>
              <w:adjustRightInd w:val="0"/>
              <w:snapToGrid w:val="0"/>
              <w:spacing w:before="120" w:beforeLines="50" w:line="312"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劳动人事争议调解成功率</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w:t>
            </w:r>
          </w:p>
        </w:tc>
        <w:tc>
          <w:tcPr>
            <w:tcW w:w="1276"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&gt;60</w:t>
            </w:r>
          </w:p>
        </w:tc>
        <w:tc>
          <w:tcPr>
            <w:tcW w:w="113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79.69</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100</w:t>
            </w:r>
          </w:p>
        </w:tc>
        <w:tc>
          <w:tcPr>
            <w:tcW w:w="951"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11</w:t>
            </w:r>
          </w:p>
        </w:tc>
        <w:tc>
          <w:tcPr>
            <w:tcW w:w="2485" w:type="dxa"/>
            <w:shd w:val="clear" w:color="auto" w:fill="C6D9F0"/>
            <w:vAlign w:val="center"/>
          </w:tcPr>
          <w:p>
            <w:pPr>
              <w:adjustRightInd w:val="0"/>
              <w:snapToGrid w:val="0"/>
              <w:spacing w:before="120" w:beforeLines="50" w:line="312"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劳动人事争议仲裁结案率</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w:t>
            </w:r>
          </w:p>
        </w:tc>
        <w:tc>
          <w:tcPr>
            <w:tcW w:w="1276"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&gt;90</w:t>
            </w:r>
          </w:p>
        </w:tc>
        <w:tc>
          <w:tcPr>
            <w:tcW w:w="113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99.58</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100</w:t>
            </w:r>
          </w:p>
        </w:tc>
        <w:tc>
          <w:tcPr>
            <w:tcW w:w="951"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12</w:t>
            </w:r>
          </w:p>
        </w:tc>
        <w:tc>
          <w:tcPr>
            <w:tcW w:w="2485" w:type="dxa"/>
            <w:shd w:val="clear" w:color="auto" w:fill="C6D9F0"/>
            <w:vAlign w:val="center"/>
          </w:tcPr>
          <w:p>
            <w:pPr>
              <w:adjustRightInd w:val="0"/>
              <w:snapToGrid w:val="0"/>
              <w:spacing w:before="120" w:beforeLines="50" w:line="312"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劳动保障监察举报投诉案件结案率</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w:t>
            </w:r>
          </w:p>
        </w:tc>
        <w:tc>
          <w:tcPr>
            <w:tcW w:w="1276"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&gt;95</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100</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100</w:t>
            </w:r>
          </w:p>
        </w:tc>
        <w:tc>
          <w:tcPr>
            <w:tcW w:w="951"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856" w:type="dxa"/>
            <w:gridSpan w:val="7"/>
            <w:shd w:val="clear" w:color="auto" w:fill="C6D9F0"/>
            <w:vAlign w:val="center"/>
          </w:tcPr>
          <w:p>
            <w:pPr>
              <w:adjustRightInd w:val="0"/>
              <w:snapToGrid w:val="0"/>
              <w:jc w:val="left"/>
              <w:rPr>
                <w:rFonts w:ascii="楷体_GB2312" w:hAnsi="宋体" w:eastAsia="楷体_GB2312" w:cs="宋体"/>
                <w:color w:val="auto"/>
                <w:sz w:val="28"/>
                <w:szCs w:val="28"/>
                <w:highlight w:val="none"/>
                <w:lang w:bidi="zh-TW"/>
              </w:rPr>
            </w:pPr>
            <w:r>
              <w:rPr>
                <w:rFonts w:ascii="Times New Roman" w:hAnsi="Times New Roman" w:eastAsia="黑体"/>
                <w:color w:val="auto"/>
                <w:szCs w:val="21"/>
                <w:highlight w:val="none"/>
              </w:rPr>
              <w:t>五、公共服务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42"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13</w:t>
            </w:r>
          </w:p>
        </w:tc>
        <w:tc>
          <w:tcPr>
            <w:tcW w:w="2485" w:type="dxa"/>
            <w:shd w:val="clear" w:color="auto" w:fill="C6D9F0"/>
            <w:vAlign w:val="center"/>
          </w:tcPr>
          <w:p>
            <w:pPr>
              <w:adjustRightInd w:val="0"/>
              <w:snapToGrid w:val="0"/>
              <w:spacing w:before="120" w:beforeLines="50" w:line="312"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社会保障卡持卡人口覆盖率</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w:t>
            </w:r>
          </w:p>
        </w:tc>
        <w:tc>
          <w:tcPr>
            <w:tcW w:w="1276"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94.5</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100</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100</w:t>
            </w:r>
          </w:p>
        </w:tc>
        <w:tc>
          <w:tcPr>
            <w:tcW w:w="951"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预期性</w:t>
            </w:r>
          </w:p>
        </w:tc>
      </w:tr>
    </w:tbl>
    <w:p>
      <w:pPr>
        <w:rPr>
          <w:rFonts w:ascii="Times New Roman" w:hAnsi="Times New Roman" w:eastAsia="楷体"/>
          <w:color w:val="auto"/>
          <w:szCs w:val="21"/>
          <w:highlight w:val="none"/>
        </w:rPr>
      </w:pPr>
      <w:r>
        <w:rPr>
          <w:rFonts w:ascii="Times New Roman" w:hAnsi="Times New Roman" w:eastAsia="楷体"/>
          <w:color w:val="auto"/>
          <w:szCs w:val="21"/>
          <w:highlight w:val="none"/>
        </w:rPr>
        <w:t>注：[  ]为累计数。</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10" w:name="_Toc22754"/>
      <w:bookmarkStart w:id="11" w:name="_Toc20503"/>
      <w:r>
        <w:rPr>
          <w:rFonts w:hint="eastAsia" w:ascii="Cambria" w:hAnsi="Cambria" w:eastAsia="楷体_GB2312"/>
          <w:color w:val="auto"/>
          <w:sz w:val="34"/>
          <w:highlight w:val="none"/>
        </w:rPr>
        <w:t>第二节  机遇挑战</w:t>
      </w:r>
      <w:bookmarkEnd w:id="10"/>
      <w:bookmarkEnd w:id="11"/>
    </w:p>
    <w:p>
      <w:pPr>
        <w:adjustRightInd w:val="0"/>
        <w:snapToGrid w:val="0"/>
        <w:spacing w:line="360" w:lineRule="auto"/>
        <w:ind w:firstLine="640" w:firstLineChars="200"/>
        <w:rPr>
          <w:rStyle w:val="32"/>
          <w:rFonts w:ascii="仿宋_GB2312" w:hAnsi="仿宋" w:eastAsia="仿宋_GB2312" w:cs="仿宋"/>
          <w:bCs/>
          <w:color w:val="auto"/>
          <w:sz w:val="32"/>
          <w:szCs w:val="32"/>
          <w:highlight w:val="none"/>
        </w:rPr>
      </w:pPr>
      <w:r>
        <w:rPr>
          <w:rStyle w:val="32"/>
          <w:rFonts w:hint="eastAsia" w:ascii="仿宋_GB2312" w:hAnsi="仿宋" w:eastAsia="仿宋_GB2312" w:cs="仿宋"/>
          <w:bCs/>
          <w:color w:val="auto"/>
          <w:sz w:val="32"/>
          <w:szCs w:val="32"/>
          <w:highlight w:val="none"/>
        </w:rPr>
        <w:t>“十四五”时期，是我国在全面建成小康社会基础上，乘势而上</w:t>
      </w:r>
      <w:bookmarkStart w:id="12" w:name="bkPolitics2162314"/>
      <w:r>
        <w:rPr>
          <w:rStyle w:val="32"/>
          <w:rFonts w:hint="eastAsia" w:ascii="仿宋_GB2312" w:hAnsi="仿宋" w:eastAsia="仿宋_GB2312" w:cs="仿宋"/>
          <w:bCs/>
          <w:color w:val="auto"/>
          <w:sz w:val="32"/>
          <w:szCs w:val="32"/>
          <w:highlight w:val="none"/>
        </w:rPr>
        <w:t>开启</w:t>
      </w:r>
      <w:r>
        <w:rPr>
          <w:rStyle w:val="32"/>
          <w:rFonts w:hint="eastAsia" w:ascii="仿宋_GB2312" w:hAnsi="仿宋" w:eastAsia="仿宋_GB2312" w:cs="仿宋"/>
          <w:bCs/>
          <w:color w:val="auto"/>
          <w:sz w:val="32"/>
          <w:szCs w:val="32"/>
          <w:highlight w:val="none"/>
          <w:lang w:eastAsia="zh-CN"/>
        </w:rPr>
        <w:t>全面</w:t>
      </w:r>
      <w:r>
        <w:rPr>
          <w:rStyle w:val="32"/>
          <w:rFonts w:hint="eastAsia" w:ascii="仿宋_GB2312" w:hAnsi="仿宋" w:eastAsia="仿宋_GB2312" w:cs="仿宋"/>
          <w:bCs/>
          <w:color w:val="auto"/>
          <w:sz w:val="32"/>
          <w:szCs w:val="32"/>
          <w:highlight w:val="none"/>
        </w:rPr>
        <w:t>建设社会主义现代化国家</w:t>
      </w:r>
      <w:bookmarkEnd w:id="12"/>
      <w:r>
        <w:rPr>
          <w:rStyle w:val="32"/>
          <w:rFonts w:hint="eastAsia" w:ascii="仿宋_GB2312" w:hAnsi="仿宋" w:eastAsia="仿宋_GB2312" w:cs="仿宋"/>
          <w:bCs/>
          <w:color w:val="auto"/>
          <w:sz w:val="32"/>
          <w:szCs w:val="32"/>
          <w:highlight w:val="none"/>
        </w:rPr>
        <w:t>新征程的第一个五年，要从更长期的坐标系辩证看待“十四五”时期人力资源</w:t>
      </w:r>
      <w:r>
        <w:rPr>
          <w:rStyle w:val="32"/>
          <w:rFonts w:hint="eastAsia" w:ascii="仿宋_GB2312" w:hAnsi="仿宋" w:eastAsia="仿宋_GB2312" w:cs="仿宋"/>
          <w:bCs/>
          <w:color w:val="auto"/>
          <w:sz w:val="32"/>
          <w:szCs w:val="32"/>
          <w:highlight w:val="none"/>
          <w:lang w:eastAsia="zh-CN"/>
        </w:rPr>
        <w:t>和</w:t>
      </w:r>
      <w:r>
        <w:rPr>
          <w:rStyle w:val="32"/>
          <w:rFonts w:hint="eastAsia" w:ascii="仿宋_GB2312" w:hAnsi="仿宋" w:eastAsia="仿宋_GB2312" w:cs="仿宋"/>
          <w:bCs/>
          <w:color w:val="auto"/>
          <w:sz w:val="32"/>
          <w:szCs w:val="32"/>
          <w:highlight w:val="none"/>
        </w:rPr>
        <w:t>社会保障事业发展的危与机，既面临世界百年未有之大变局的新机遇、新挑战，又面临着新时期主要矛盾变化的新任务、新要求。汕尾要抓住机遇，化危为机，推动人力资源社会保障事业再上新台阶</w:t>
      </w:r>
      <w:r>
        <w:rPr>
          <w:rStyle w:val="32"/>
          <w:rFonts w:hint="eastAsia" w:ascii="仿宋_GB2312" w:hAnsi="仿宋" w:eastAsia="仿宋_GB2312" w:cs="仿宋"/>
          <w:bCs/>
          <w:color w:val="auto"/>
          <w:sz w:val="32"/>
          <w:szCs w:val="32"/>
          <w:highlight w:val="none"/>
          <w:lang w:eastAsia="zh-CN"/>
        </w:rPr>
        <w:t>、</w:t>
      </w:r>
      <w:r>
        <w:rPr>
          <w:rStyle w:val="32"/>
          <w:rFonts w:hint="eastAsia" w:ascii="仿宋_GB2312" w:hAnsi="仿宋" w:eastAsia="仿宋_GB2312" w:cs="仿宋"/>
          <w:bCs/>
          <w:color w:val="auto"/>
          <w:sz w:val="32"/>
          <w:szCs w:val="32"/>
          <w:highlight w:val="none"/>
          <w:lang w:val="en-US" w:eastAsia="zh-CN"/>
        </w:rPr>
        <w:t>再谱新篇章。</w:t>
      </w:r>
    </w:p>
    <w:p>
      <w:pPr>
        <w:adjustRightInd w:val="0"/>
        <w:snapToGrid w:val="0"/>
        <w:spacing w:line="360" w:lineRule="auto"/>
        <w:ind w:firstLine="643" w:firstLineChars="200"/>
        <w:rPr>
          <w:rStyle w:val="32"/>
          <w:rFonts w:ascii="仿宋_GB2312" w:hAnsi="仿宋" w:eastAsia="仿宋_GB2312" w:cs="仿宋"/>
          <w:b/>
          <w:bCs/>
          <w:color w:val="auto"/>
          <w:sz w:val="32"/>
          <w:szCs w:val="32"/>
          <w:highlight w:val="none"/>
        </w:rPr>
      </w:pPr>
      <w:r>
        <w:rPr>
          <w:rStyle w:val="32"/>
          <w:rFonts w:hint="eastAsia" w:ascii="仿宋_GB2312" w:hAnsi="仿宋" w:eastAsia="仿宋_GB2312" w:cs="仿宋"/>
          <w:b/>
          <w:bCs/>
          <w:color w:val="auto"/>
          <w:sz w:val="32"/>
          <w:szCs w:val="32"/>
          <w:highlight w:val="none"/>
        </w:rPr>
        <w:t>一、重要机遇</w:t>
      </w:r>
    </w:p>
    <w:p>
      <w:pPr>
        <w:adjustRightInd w:val="0"/>
        <w:snapToGrid w:val="0"/>
        <w:spacing w:line="360" w:lineRule="auto"/>
        <w:ind w:firstLine="643" w:firstLineChars="200"/>
        <w:rPr>
          <w:rStyle w:val="32"/>
          <w:rFonts w:ascii="仿宋_GB2312" w:hAnsi="仿宋" w:eastAsia="仿宋_GB2312" w:cs="仿宋"/>
          <w:bCs/>
          <w:color w:val="auto"/>
          <w:sz w:val="32"/>
          <w:szCs w:val="32"/>
          <w:highlight w:val="none"/>
        </w:rPr>
      </w:pPr>
      <w:r>
        <w:rPr>
          <w:rStyle w:val="32"/>
          <w:rFonts w:hint="eastAsia" w:ascii="仿宋_GB2312" w:hAnsi="仿宋" w:eastAsia="仿宋_GB2312" w:cs="仿宋"/>
          <w:b/>
          <w:bCs/>
          <w:color w:val="auto"/>
          <w:sz w:val="32"/>
          <w:szCs w:val="32"/>
          <w:highlight w:val="none"/>
        </w:rPr>
        <w:t>——中央和省市党委政府的坚强领导，为</w:t>
      </w:r>
      <w:r>
        <w:rPr>
          <w:rStyle w:val="32"/>
          <w:rFonts w:hint="eastAsia" w:ascii="仿宋_GB2312" w:hAnsi="仿宋" w:eastAsia="仿宋_GB2312" w:cs="仿宋"/>
          <w:b/>
          <w:bCs/>
          <w:color w:val="auto"/>
          <w:sz w:val="32"/>
          <w:szCs w:val="32"/>
          <w:highlight w:val="none"/>
          <w:lang w:val="en-US" w:eastAsia="zh-CN"/>
        </w:rPr>
        <w:t>人社</w:t>
      </w:r>
      <w:r>
        <w:rPr>
          <w:rStyle w:val="32"/>
          <w:rFonts w:hint="eastAsia" w:ascii="仿宋_GB2312" w:hAnsi="仿宋" w:eastAsia="仿宋_GB2312" w:cs="仿宋"/>
          <w:b/>
          <w:bCs/>
          <w:color w:val="auto"/>
          <w:sz w:val="32"/>
          <w:szCs w:val="32"/>
          <w:highlight w:val="none"/>
        </w:rPr>
        <w:t>事业发展提供强大</w:t>
      </w:r>
      <w:r>
        <w:rPr>
          <w:rStyle w:val="32"/>
          <w:rFonts w:hint="eastAsia" w:ascii="仿宋_GB2312" w:hAnsi="仿宋" w:eastAsia="仿宋_GB2312" w:cs="仿宋"/>
          <w:b/>
          <w:bCs/>
          <w:color w:val="auto"/>
          <w:sz w:val="32"/>
          <w:szCs w:val="32"/>
          <w:highlight w:val="none"/>
          <w:lang w:val="en-US" w:eastAsia="zh-CN"/>
        </w:rPr>
        <w:t>保障</w:t>
      </w:r>
      <w:r>
        <w:rPr>
          <w:rStyle w:val="32"/>
          <w:rFonts w:hint="eastAsia" w:ascii="仿宋_GB2312" w:hAnsi="仿宋" w:eastAsia="仿宋_GB2312" w:cs="仿宋"/>
          <w:b/>
          <w:bCs/>
          <w:color w:val="auto"/>
          <w:sz w:val="32"/>
          <w:szCs w:val="32"/>
          <w:highlight w:val="none"/>
        </w:rPr>
        <w:t>。</w:t>
      </w:r>
      <w:r>
        <w:rPr>
          <w:rStyle w:val="32"/>
          <w:rFonts w:hint="eastAsia" w:ascii="仿宋_GB2312" w:hAnsi="仿宋" w:eastAsia="仿宋_GB2312" w:cs="仿宋"/>
          <w:bCs/>
          <w:color w:val="auto"/>
          <w:sz w:val="32"/>
          <w:szCs w:val="32"/>
          <w:highlight w:val="none"/>
        </w:rPr>
        <w:t>中央高度重视人力资源社会保障事业发展，党的十九大</w:t>
      </w:r>
      <w:r>
        <w:rPr>
          <w:rStyle w:val="32"/>
          <w:rFonts w:hint="eastAsia" w:ascii="仿宋_GB2312" w:hAnsi="仿宋" w:eastAsia="仿宋_GB2312" w:cs="仿宋"/>
          <w:bCs/>
          <w:color w:val="auto"/>
          <w:sz w:val="32"/>
          <w:szCs w:val="32"/>
          <w:highlight w:val="none"/>
          <w:lang w:val="en-US" w:eastAsia="zh-CN"/>
        </w:rPr>
        <w:t>和</w:t>
      </w:r>
      <w:r>
        <w:rPr>
          <w:rStyle w:val="32"/>
          <w:rFonts w:hint="eastAsia" w:ascii="仿宋_GB2312" w:hAnsi="仿宋" w:eastAsia="仿宋_GB2312" w:cs="仿宋"/>
          <w:bCs/>
          <w:color w:val="auto"/>
          <w:sz w:val="32"/>
          <w:szCs w:val="32"/>
          <w:highlight w:val="none"/>
        </w:rPr>
        <w:t>十九届</w:t>
      </w:r>
      <w:r>
        <w:rPr>
          <w:rStyle w:val="32"/>
          <w:rFonts w:hint="eastAsia" w:ascii="仿宋_GB2312" w:hAnsi="仿宋" w:eastAsia="仿宋_GB2312" w:cs="仿宋"/>
          <w:bCs/>
          <w:color w:val="auto"/>
          <w:sz w:val="32"/>
          <w:szCs w:val="32"/>
          <w:highlight w:val="none"/>
          <w:lang w:val="en-US" w:eastAsia="zh-CN"/>
        </w:rPr>
        <w:t>二中、三中、四中、</w:t>
      </w:r>
      <w:r>
        <w:rPr>
          <w:rStyle w:val="32"/>
          <w:rFonts w:hint="eastAsia" w:ascii="仿宋_GB2312" w:hAnsi="仿宋" w:eastAsia="仿宋_GB2312" w:cs="仿宋"/>
          <w:bCs/>
          <w:color w:val="auto"/>
          <w:sz w:val="32"/>
          <w:szCs w:val="32"/>
          <w:highlight w:val="none"/>
        </w:rPr>
        <w:t>五中</w:t>
      </w:r>
      <w:r>
        <w:rPr>
          <w:rStyle w:val="32"/>
          <w:rFonts w:hint="eastAsia" w:ascii="仿宋_GB2312" w:hAnsi="仿宋" w:eastAsia="仿宋_GB2312" w:cs="仿宋"/>
          <w:bCs/>
          <w:color w:val="auto"/>
          <w:sz w:val="32"/>
          <w:szCs w:val="32"/>
          <w:highlight w:val="none"/>
          <w:lang w:eastAsia="zh-CN"/>
        </w:rPr>
        <w:t>、</w:t>
      </w:r>
      <w:r>
        <w:rPr>
          <w:rStyle w:val="32"/>
          <w:rFonts w:hint="eastAsia" w:ascii="仿宋_GB2312" w:hAnsi="仿宋" w:eastAsia="仿宋_GB2312" w:cs="仿宋"/>
          <w:bCs/>
          <w:color w:val="auto"/>
          <w:sz w:val="32"/>
          <w:szCs w:val="32"/>
          <w:highlight w:val="none"/>
          <w:lang w:val="en-US" w:eastAsia="zh-CN"/>
        </w:rPr>
        <w:t>六中</w:t>
      </w:r>
      <w:r>
        <w:rPr>
          <w:rStyle w:val="32"/>
          <w:rFonts w:hint="eastAsia" w:ascii="仿宋_GB2312" w:hAnsi="仿宋" w:eastAsia="仿宋_GB2312" w:cs="仿宋"/>
          <w:bCs/>
          <w:color w:val="auto"/>
          <w:sz w:val="32"/>
          <w:szCs w:val="32"/>
          <w:highlight w:val="none"/>
        </w:rPr>
        <w:t>全会强调坚持在发展中保障和改善民生</w:t>
      </w:r>
      <w:r>
        <w:rPr>
          <w:rStyle w:val="32"/>
          <w:rFonts w:hint="eastAsia" w:ascii="仿宋_GB2312" w:hAnsi="仿宋" w:eastAsia="仿宋_GB2312" w:cs="仿宋"/>
          <w:bCs/>
          <w:color w:val="auto"/>
          <w:sz w:val="32"/>
          <w:szCs w:val="32"/>
          <w:highlight w:val="none"/>
          <w:lang w:eastAsia="zh-CN"/>
        </w:rPr>
        <w:t>，</w:t>
      </w:r>
      <w:r>
        <w:rPr>
          <w:rFonts w:hint="eastAsia" w:ascii="仿宋_GB2312" w:eastAsia="仿宋_GB2312"/>
          <w:color w:val="auto"/>
          <w:sz w:val="32"/>
          <w:szCs w:val="32"/>
          <w:highlight w:val="none"/>
        </w:rPr>
        <w:t>强化就业优先政策、健全多层次社会保障体系</w:t>
      </w:r>
      <w:r>
        <w:rPr>
          <w:rStyle w:val="32"/>
          <w:rFonts w:hint="eastAsia" w:ascii="仿宋_GB2312" w:hAnsi="仿宋" w:eastAsia="仿宋_GB2312" w:cs="仿宋"/>
          <w:bCs/>
          <w:color w:val="auto"/>
          <w:sz w:val="32"/>
          <w:szCs w:val="32"/>
          <w:highlight w:val="none"/>
        </w:rPr>
        <w:t>等重点任务。省委省政府积极推动“双区”驱动、“双城”联动、构建“一核一带一区”区域发展格局，为我市人力资源社会保障领域政策创新、资源整合、服务优化拓展了新空间。汕尾市委市政府为加快改变汕尾发展落后现状，进一步强化责任担当，通过抓基础利长远、抓项目强实力、抓改革优环境，</w:t>
      </w:r>
      <w:r>
        <w:rPr>
          <w:rStyle w:val="32"/>
          <w:rFonts w:hint="eastAsia" w:ascii="仿宋_GB2312" w:hAnsi="仿宋" w:eastAsia="仿宋_GB2312" w:cs="仿宋"/>
          <w:bCs/>
          <w:color w:val="auto"/>
          <w:sz w:val="32"/>
          <w:szCs w:val="32"/>
          <w:highlight w:val="none"/>
          <w:lang w:val="en-US" w:eastAsia="zh-CN"/>
        </w:rPr>
        <w:t>推动经济社会高质量发展的同时，也</w:t>
      </w:r>
      <w:r>
        <w:rPr>
          <w:rStyle w:val="32"/>
          <w:rFonts w:hint="eastAsia" w:ascii="仿宋_GB2312" w:hAnsi="仿宋" w:eastAsia="仿宋_GB2312" w:cs="仿宋"/>
          <w:bCs/>
          <w:color w:val="auto"/>
          <w:sz w:val="32"/>
          <w:szCs w:val="32"/>
          <w:highlight w:val="none"/>
        </w:rPr>
        <w:t>为汕尾人力资源社会保障事业发展提供了</w:t>
      </w:r>
      <w:r>
        <w:rPr>
          <w:rStyle w:val="32"/>
          <w:rFonts w:hint="eastAsia" w:ascii="仿宋_GB2312" w:hAnsi="仿宋" w:eastAsia="仿宋_GB2312" w:cs="仿宋"/>
          <w:bCs/>
          <w:color w:val="auto"/>
          <w:sz w:val="32"/>
          <w:szCs w:val="32"/>
          <w:highlight w:val="none"/>
          <w:lang w:val="en-US" w:eastAsia="zh-CN"/>
        </w:rPr>
        <w:t>强大保障</w:t>
      </w:r>
      <w:r>
        <w:rPr>
          <w:rStyle w:val="32"/>
          <w:rFonts w:hint="eastAsia" w:ascii="仿宋_GB2312" w:hAnsi="仿宋" w:eastAsia="仿宋_GB2312" w:cs="仿宋"/>
          <w:bCs/>
          <w:color w:val="auto"/>
          <w:sz w:val="32"/>
          <w:szCs w:val="32"/>
          <w:highlight w:val="none"/>
        </w:rPr>
        <w:t>。</w:t>
      </w:r>
    </w:p>
    <w:p>
      <w:pPr>
        <w:adjustRightInd w:val="0"/>
        <w:snapToGrid w:val="0"/>
        <w:spacing w:line="360" w:lineRule="auto"/>
        <w:ind w:firstLine="643" w:firstLineChars="200"/>
        <w:rPr>
          <w:rStyle w:val="32"/>
          <w:rFonts w:ascii="仿宋_GB2312" w:hAnsi="仿宋" w:eastAsia="仿宋_GB2312" w:cs="仿宋"/>
          <w:bCs/>
          <w:color w:val="auto"/>
          <w:sz w:val="32"/>
          <w:szCs w:val="32"/>
          <w:highlight w:val="none"/>
        </w:rPr>
      </w:pPr>
      <w:r>
        <w:rPr>
          <w:rStyle w:val="32"/>
          <w:rFonts w:hint="eastAsia" w:ascii="仿宋_GB2312" w:hAnsi="仿宋" w:eastAsia="仿宋_GB2312" w:cs="仿宋"/>
          <w:b/>
          <w:bCs/>
          <w:color w:val="auto"/>
          <w:sz w:val="32"/>
          <w:szCs w:val="32"/>
          <w:highlight w:val="none"/>
        </w:rPr>
        <w:t>——汕尾经济发展质量效益持续提升，为</w:t>
      </w:r>
      <w:r>
        <w:rPr>
          <w:rStyle w:val="32"/>
          <w:rFonts w:hint="eastAsia" w:ascii="仿宋_GB2312" w:hAnsi="仿宋" w:eastAsia="仿宋_GB2312" w:cs="仿宋"/>
          <w:b/>
          <w:bCs/>
          <w:color w:val="auto"/>
          <w:sz w:val="32"/>
          <w:szCs w:val="32"/>
          <w:highlight w:val="none"/>
          <w:lang w:val="en-US" w:eastAsia="zh-CN"/>
        </w:rPr>
        <w:t>人社</w:t>
      </w:r>
      <w:r>
        <w:rPr>
          <w:rStyle w:val="32"/>
          <w:rFonts w:hint="eastAsia" w:ascii="仿宋_GB2312" w:hAnsi="仿宋" w:eastAsia="仿宋_GB2312" w:cs="仿宋"/>
          <w:b/>
          <w:bCs/>
          <w:color w:val="auto"/>
          <w:sz w:val="32"/>
          <w:szCs w:val="32"/>
          <w:highlight w:val="none"/>
        </w:rPr>
        <w:t>事业发展孕育新潜力。</w:t>
      </w:r>
      <w:r>
        <w:rPr>
          <w:rStyle w:val="32"/>
          <w:rFonts w:hint="eastAsia" w:ascii="仿宋_GB2312" w:hAnsi="仿宋" w:eastAsia="仿宋_GB2312" w:cs="仿宋"/>
          <w:bCs/>
          <w:color w:val="auto"/>
          <w:sz w:val="32"/>
          <w:szCs w:val="32"/>
          <w:highlight w:val="none"/>
        </w:rPr>
        <w:t>2020年汕尾GDP跨越千亿元台阶，“十三五”期间年均增长6.9%，提前两年实现比2010年翻一番目标。人均生产总值年均增长6.3%，城镇和农村居民人均可支配收入分别年均增长7.7%和9.5%。主要经济指标增幅持续位居全省前列，三次产业结构调整为14.2:36.3:49.5。先进制造业、高技术制造业增加值占规上工业增加值比重分别提高到41.7%、31.1%，现代服务业增加值占服务业增加值比重提高到53%。政府公共服务总体满意度从全省第15位跃升至第8位。这些为就业资金稳定投入、社保待遇稳步提高、收入分配改革、基础能力建设等奠定坚实物质基础。当前及今后较长的一段时期，汕尾经济持续增长的良好基础和条件没有变，结构调整优化的前进态势没有变，治理体系和治理能力形成的制度优势没有变，为促进</w:t>
      </w:r>
      <w:r>
        <w:rPr>
          <w:rStyle w:val="32"/>
          <w:rFonts w:hint="eastAsia" w:ascii="仿宋_GB2312" w:hAnsi="仿宋" w:eastAsia="仿宋_GB2312" w:cs="仿宋"/>
          <w:bCs/>
          <w:color w:val="auto"/>
          <w:sz w:val="32"/>
          <w:szCs w:val="32"/>
          <w:highlight w:val="none"/>
          <w:lang w:val="en-US" w:eastAsia="zh-CN"/>
        </w:rPr>
        <w:t>人社</w:t>
      </w:r>
      <w:r>
        <w:rPr>
          <w:rStyle w:val="32"/>
          <w:rFonts w:hint="eastAsia" w:ascii="仿宋_GB2312" w:hAnsi="仿宋" w:eastAsia="仿宋_GB2312" w:cs="仿宋"/>
          <w:bCs/>
          <w:color w:val="auto"/>
          <w:sz w:val="32"/>
          <w:szCs w:val="32"/>
          <w:highlight w:val="none"/>
        </w:rPr>
        <w:t>事业可持续发展提供</w:t>
      </w:r>
      <w:r>
        <w:rPr>
          <w:rStyle w:val="32"/>
          <w:rFonts w:hint="eastAsia" w:ascii="仿宋_GB2312" w:hAnsi="仿宋" w:eastAsia="仿宋_GB2312" w:cs="仿宋"/>
          <w:bCs/>
          <w:color w:val="auto"/>
          <w:sz w:val="32"/>
          <w:szCs w:val="32"/>
          <w:highlight w:val="none"/>
          <w:lang w:eastAsia="zh-CN"/>
        </w:rPr>
        <w:t>了</w:t>
      </w:r>
      <w:r>
        <w:rPr>
          <w:rStyle w:val="32"/>
          <w:rFonts w:hint="eastAsia" w:ascii="仿宋_GB2312" w:hAnsi="仿宋" w:eastAsia="仿宋_GB2312" w:cs="仿宋"/>
          <w:bCs/>
          <w:color w:val="auto"/>
          <w:sz w:val="32"/>
          <w:szCs w:val="32"/>
          <w:highlight w:val="none"/>
        </w:rPr>
        <w:t>新的</w:t>
      </w:r>
      <w:r>
        <w:rPr>
          <w:rStyle w:val="32"/>
          <w:rFonts w:hint="eastAsia" w:ascii="仿宋_GB2312" w:hAnsi="仿宋" w:eastAsia="仿宋_GB2312" w:cs="仿宋"/>
          <w:bCs/>
          <w:color w:val="auto"/>
          <w:sz w:val="32"/>
          <w:szCs w:val="32"/>
          <w:highlight w:val="none"/>
          <w:lang w:eastAsia="zh-CN"/>
        </w:rPr>
        <w:t>潜力和</w:t>
      </w:r>
      <w:r>
        <w:rPr>
          <w:rStyle w:val="32"/>
          <w:rFonts w:hint="eastAsia" w:ascii="仿宋_GB2312" w:hAnsi="仿宋" w:eastAsia="仿宋_GB2312" w:cs="仿宋"/>
          <w:bCs/>
          <w:color w:val="auto"/>
          <w:sz w:val="32"/>
          <w:szCs w:val="32"/>
          <w:highlight w:val="none"/>
        </w:rPr>
        <w:t>机遇。</w:t>
      </w:r>
      <w:bookmarkStart w:id="13" w:name="_Hlk49495486"/>
    </w:p>
    <w:p>
      <w:pPr>
        <w:adjustRightInd w:val="0"/>
        <w:snapToGrid w:val="0"/>
        <w:spacing w:line="360" w:lineRule="auto"/>
        <w:ind w:firstLine="643" w:firstLineChars="200"/>
        <w:rPr>
          <w:rStyle w:val="32"/>
          <w:rFonts w:ascii="仿宋_GB2312" w:hAnsi="仿宋" w:eastAsia="仿宋_GB2312" w:cs="仿宋"/>
          <w:bCs/>
          <w:color w:val="auto"/>
          <w:sz w:val="32"/>
          <w:szCs w:val="32"/>
          <w:highlight w:val="none"/>
        </w:rPr>
      </w:pPr>
      <w:r>
        <w:rPr>
          <w:rStyle w:val="32"/>
          <w:rFonts w:hint="eastAsia" w:ascii="仿宋_GB2312" w:hAnsi="仿宋" w:eastAsia="仿宋_GB2312" w:cs="仿宋"/>
          <w:b/>
          <w:bCs/>
          <w:color w:val="auto"/>
          <w:sz w:val="32"/>
          <w:szCs w:val="32"/>
          <w:highlight w:val="none"/>
        </w:rPr>
        <w:t>——“特区带老区”体制机制不断完善，为</w:t>
      </w:r>
      <w:r>
        <w:rPr>
          <w:rStyle w:val="32"/>
          <w:rFonts w:hint="eastAsia" w:ascii="仿宋_GB2312" w:hAnsi="仿宋" w:eastAsia="仿宋_GB2312" w:cs="仿宋"/>
          <w:b/>
          <w:bCs/>
          <w:color w:val="auto"/>
          <w:sz w:val="32"/>
          <w:szCs w:val="32"/>
          <w:highlight w:val="none"/>
          <w:lang w:val="en-US" w:eastAsia="zh-CN"/>
        </w:rPr>
        <w:t>人社</w:t>
      </w:r>
      <w:r>
        <w:rPr>
          <w:rStyle w:val="32"/>
          <w:rFonts w:hint="eastAsia" w:ascii="仿宋_GB2312" w:hAnsi="仿宋" w:eastAsia="仿宋_GB2312" w:cs="仿宋"/>
          <w:b/>
          <w:bCs/>
          <w:color w:val="auto"/>
          <w:sz w:val="32"/>
          <w:szCs w:val="32"/>
          <w:highlight w:val="none"/>
        </w:rPr>
        <w:t>事业发展增添</w:t>
      </w:r>
      <w:r>
        <w:rPr>
          <w:rStyle w:val="32"/>
          <w:rFonts w:hint="eastAsia" w:ascii="仿宋_GB2312" w:hAnsi="仿宋" w:eastAsia="仿宋_GB2312" w:cs="仿宋"/>
          <w:b/>
          <w:bCs/>
          <w:color w:val="auto"/>
          <w:sz w:val="32"/>
          <w:szCs w:val="32"/>
          <w:highlight w:val="none"/>
          <w:lang w:eastAsia="zh-CN"/>
        </w:rPr>
        <w:t>新动力</w:t>
      </w:r>
      <w:r>
        <w:rPr>
          <w:rStyle w:val="32"/>
          <w:rFonts w:hint="eastAsia" w:ascii="仿宋_GB2312" w:hAnsi="仿宋" w:eastAsia="仿宋_GB2312" w:cs="仿宋"/>
          <w:b/>
          <w:bCs/>
          <w:color w:val="auto"/>
          <w:sz w:val="32"/>
          <w:szCs w:val="32"/>
          <w:highlight w:val="none"/>
        </w:rPr>
        <w:t>。</w:t>
      </w:r>
      <w:bookmarkEnd w:id="13"/>
      <w:r>
        <w:rPr>
          <w:rStyle w:val="32"/>
          <w:rFonts w:hint="eastAsia" w:ascii="仿宋_GB2312" w:hAnsi="仿宋" w:eastAsia="仿宋_GB2312" w:cs="仿宋"/>
          <w:bCs/>
          <w:color w:val="auto"/>
          <w:sz w:val="32"/>
          <w:szCs w:val="32"/>
          <w:highlight w:val="none"/>
        </w:rPr>
        <w:t>中央对革命老区形成了完整的政策支持体系，省委、省政府出台《关于进一步推动我省革命老区和原中央苏区振兴发展的意见》，继续安排深圳全面对口帮扶汕尾。</w:t>
      </w:r>
      <w:bookmarkStart w:id="14" w:name="_Hlk49496158"/>
      <w:r>
        <w:rPr>
          <w:rStyle w:val="32"/>
          <w:rFonts w:hint="eastAsia" w:ascii="仿宋_GB2312" w:hAnsi="仿宋" w:eastAsia="仿宋_GB2312" w:cs="仿宋"/>
          <w:bCs/>
          <w:color w:val="auto"/>
          <w:sz w:val="32"/>
          <w:szCs w:val="32"/>
          <w:highlight w:val="none"/>
        </w:rPr>
        <w:t>国家和省均明确将汕尾纳入深圳都市圈建设范围。汕尾正按照“规划共绘、设施共建、产业共兴、资源共享、机制共活”的思路加快全面接轨深圳，推动经济社会实现高质量跨越式发展，为我市用好用活各级支持政策，加快振兴发展提供了强力支撑，也为我市人力资源社会保障事业发展提供了新</w:t>
      </w:r>
      <w:r>
        <w:rPr>
          <w:rStyle w:val="32"/>
          <w:rFonts w:hint="eastAsia" w:ascii="仿宋_GB2312" w:hAnsi="仿宋" w:eastAsia="仿宋_GB2312" w:cs="仿宋"/>
          <w:bCs/>
          <w:color w:val="auto"/>
          <w:sz w:val="32"/>
          <w:szCs w:val="32"/>
          <w:highlight w:val="none"/>
          <w:lang w:eastAsia="zh-CN"/>
        </w:rPr>
        <w:t>动力</w:t>
      </w:r>
      <w:r>
        <w:rPr>
          <w:rStyle w:val="32"/>
          <w:rFonts w:hint="eastAsia" w:ascii="仿宋_GB2312" w:hAnsi="仿宋" w:eastAsia="仿宋_GB2312" w:cs="仿宋"/>
          <w:bCs/>
          <w:color w:val="auto"/>
          <w:sz w:val="32"/>
          <w:szCs w:val="32"/>
          <w:highlight w:val="none"/>
        </w:rPr>
        <w:t>。</w:t>
      </w:r>
    </w:p>
    <w:bookmarkEnd w:id="14"/>
    <w:p>
      <w:pPr>
        <w:adjustRightInd w:val="0"/>
        <w:snapToGrid w:val="0"/>
        <w:spacing w:line="360" w:lineRule="auto"/>
        <w:ind w:firstLine="643" w:firstLineChars="200"/>
        <w:rPr>
          <w:rStyle w:val="32"/>
          <w:rFonts w:ascii="仿宋_GB2312" w:hAnsi="仿宋" w:eastAsia="仿宋_GB2312" w:cs="仿宋"/>
          <w:b/>
          <w:bCs/>
          <w:color w:val="auto"/>
          <w:sz w:val="32"/>
          <w:szCs w:val="32"/>
          <w:highlight w:val="none"/>
        </w:rPr>
      </w:pPr>
      <w:r>
        <w:rPr>
          <w:rStyle w:val="32"/>
          <w:rFonts w:hint="eastAsia" w:ascii="仿宋_GB2312" w:hAnsi="仿宋" w:eastAsia="仿宋_GB2312" w:cs="仿宋"/>
          <w:b/>
          <w:bCs/>
          <w:color w:val="auto"/>
          <w:sz w:val="32"/>
          <w:szCs w:val="32"/>
          <w:highlight w:val="none"/>
        </w:rPr>
        <w:t>二、主要挑战</w:t>
      </w:r>
    </w:p>
    <w:p>
      <w:pPr>
        <w:adjustRightInd w:val="0"/>
        <w:snapToGrid w:val="0"/>
        <w:spacing w:line="360" w:lineRule="auto"/>
        <w:ind w:firstLine="643" w:firstLineChars="200"/>
        <w:rPr>
          <w:rStyle w:val="32"/>
          <w:rFonts w:ascii="仿宋_GB2312" w:hAnsi="仿宋" w:eastAsia="仿宋_GB2312" w:cs="仿宋"/>
          <w:bCs/>
          <w:color w:val="auto"/>
          <w:sz w:val="32"/>
          <w:szCs w:val="32"/>
          <w:highlight w:val="none"/>
        </w:rPr>
      </w:pPr>
      <w:r>
        <w:rPr>
          <w:rStyle w:val="32"/>
          <w:rFonts w:hint="eastAsia" w:ascii="仿宋_GB2312" w:hAnsi="仿宋" w:eastAsia="仿宋_GB2312" w:cs="仿宋"/>
          <w:b/>
          <w:bCs/>
          <w:color w:val="auto"/>
          <w:sz w:val="32"/>
          <w:szCs w:val="32"/>
          <w:highlight w:val="none"/>
        </w:rPr>
        <w:t>——世界处于百年未有之大变局，不</w:t>
      </w:r>
      <w:r>
        <w:rPr>
          <w:rStyle w:val="32"/>
          <w:rFonts w:hint="eastAsia" w:ascii="仿宋_GB2312" w:hAnsi="仿宋" w:eastAsia="仿宋_GB2312" w:cs="仿宋"/>
          <w:b/>
          <w:bCs/>
          <w:color w:val="auto"/>
          <w:sz w:val="32"/>
          <w:szCs w:val="32"/>
          <w:highlight w:val="none"/>
          <w:lang w:eastAsia="zh-CN"/>
        </w:rPr>
        <w:t>稳定性不</w:t>
      </w:r>
      <w:r>
        <w:rPr>
          <w:rStyle w:val="32"/>
          <w:rFonts w:hint="eastAsia" w:ascii="仿宋_GB2312" w:hAnsi="仿宋" w:eastAsia="仿宋_GB2312" w:cs="仿宋"/>
          <w:b/>
          <w:bCs/>
          <w:color w:val="auto"/>
          <w:sz w:val="32"/>
          <w:szCs w:val="32"/>
          <w:highlight w:val="none"/>
        </w:rPr>
        <w:t>确定性</w:t>
      </w:r>
      <w:r>
        <w:rPr>
          <w:rStyle w:val="32"/>
          <w:rFonts w:hint="eastAsia" w:ascii="仿宋_GB2312" w:hAnsi="仿宋" w:eastAsia="仿宋_GB2312" w:cs="仿宋"/>
          <w:b/>
          <w:bCs/>
          <w:color w:val="auto"/>
          <w:sz w:val="32"/>
          <w:szCs w:val="32"/>
          <w:highlight w:val="none"/>
          <w:lang w:eastAsia="zh-CN"/>
        </w:rPr>
        <w:t>明显增强</w:t>
      </w:r>
      <w:r>
        <w:rPr>
          <w:rStyle w:val="32"/>
          <w:rFonts w:hint="eastAsia" w:ascii="仿宋_GB2312" w:hAnsi="仿宋" w:eastAsia="仿宋_GB2312" w:cs="仿宋"/>
          <w:b/>
          <w:bCs/>
          <w:color w:val="auto"/>
          <w:sz w:val="32"/>
          <w:szCs w:val="32"/>
          <w:highlight w:val="none"/>
        </w:rPr>
        <w:t>。</w:t>
      </w:r>
      <w:r>
        <w:rPr>
          <w:rStyle w:val="32"/>
          <w:rFonts w:hint="eastAsia" w:ascii="仿宋_GB2312" w:hAnsi="仿宋" w:eastAsia="仿宋_GB2312" w:cs="仿宋"/>
          <w:bCs/>
          <w:color w:val="auto"/>
          <w:sz w:val="32"/>
          <w:szCs w:val="32"/>
          <w:highlight w:val="none"/>
        </w:rPr>
        <w:t>我国经济发展面临需求收缩、供给冲击、预期转弱三重压力。世纪疫情冲击下，百年变局加速演进，外部环境更趋复杂严峻。全球新冠肺炎疫情影响下贸易保护主义抬头，对外贸易</w:t>
      </w:r>
      <w:r>
        <w:rPr>
          <w:rStyle w:val="32"/>
          <w:rFonts w:hint="eastAsia" w:ascii="仿宋_GB2312" w:hAnsi="仿宋" w:eastAsia="仿宋_GB2312" w:cs="仿宋"/>
          <w:bCs/>
          <w:color w:val="auto"/>
          <w:sz w:val="32"/>
          <w:szCs w:val="32"/>
          <w:highlight w:val="none"/>
          <w:lang w:val="en-US" w:eastAsia="zh-CN"/>
        </w:rPr>
        <w:t>存在较大不确定性</w:t>
      </w:r>
      <w:r>
        <w:rPr>
          <w:rStyle w:val="32"/>
          <w:rFonts w:hint="eastAsia" w:ascii="仿宋_GB2312" w:hAnsi="仿宋" w:eastAsia="仿宋_GB2312" w:cs="仿宋"/>
          <w:bCs/>
          <w:color w:val="auto"/>
          <w:sz w:val="32"/>
          <w:szCs w:val="32"/>
          <w:highlight w:val="none"/>
        </w:rPr>
        <w:t>，中高端产业</w:t>
      </w:r>
      <w:r>
        <w:rPr>
          <w:rStyle w:val="32"/>
          <w:rFonts w:hint="eastAsia" w:ascii="仿宋_GB2312" w:hAnsi="仿宋" w:eastAsia="仿宋_GB2312" w:cs="仿宋"/>
          <w:bCs/>
          <w:color w:val="auto"/>
          <w:sz w:val="32"/>
          <w:szCs w:val="32"/>
          <w:highlight w:val="none"/>
          <w:lang w:eastAsia="zh-CN"/>
        </w:rPr>
        <w:t>向</w:t>
      </w:r>
      <w:r>
        <w:rPr>
          <w:rStyle w:val="32"/>
          <w:rFonts w:hint="eastAsia" w:ascii="仿宋_GB2312" w:hAnsi="仿宋" w:eastAsia="仿宋_GB2312" w:cs="仿宋"/>
          <w:bCs/>
          <w:color w:val="auto"/>
          <w:sz w:val="32"/>
          <w:szCs w:val="32"/>
          <w:highlight w:val="none"/>
        </w:rPr>
        <w:t>发达国家</w:t>
      </w:r>
      <w:r>
        <w:rPr>
          <w:rStyle w:val="32"/>
          <w:rFonts w:hint="eastAsia" w:ascii="仿宋_GB2312" w:hAnsi="仿宋" w:eastAsia="仿宋_GB2312" w:cs="仿宋"/>
          <w:bCs/>
          <w:color w:val="auto"/>
          <w:sz w:val="32"/>
          <w:szCs w:val="32"/>
          <w:highlight w:val="none"/>
          <w:lang w:eastAsia="zh-CN"/>
        </w:rPr>
        <w:t>回流</w:t>
      </w:r>
      <w:r>
        <w:rPr>
          <w:rStyle w:val="32"/>
          <w:rFonts w:hint="eastAsia" w:ascii="仿宋_GB2312" w:hAnsi="仿宋" w:eastAsia="仿宋_GB2312" w:cs="仿宋"/>
          <w:bCs/>
          <w:color w:val="auto"/>
          <w:sz w:val="32"/>
          <w:szCs w:val="32"/>
          <w:highlight w:val="none"/>
        </w:rPr>
        <w:t>，中低端产业向低成本地区</w:t>
      </w:r>
      <w:r>
        <w:rPr>
          <w:rStyle w:val="32"/>
          <w:rFonts w:hint="eastAsia" w:ascii="仿宋_GB2312" w:hAnsi="仿宋" w:eastAsia="仿宋_GB2312" w:cs="仿宋"/>
          <w:bCs/>
          <w:color w:val="auto"/>
          <w:sz w:val="32"/>
          <w:szCs w:val="32"/>
          <w:highlight w:val="none"/>
          <w:lang w:eastAsia="zh-CN"/>
        </w:rPr>
        <w:t>和国家</w:t>
      </w:r>
      <w:r>
        <w:rPr>
          <w:rStyle w:val="32"/>
          <w:rFonts w:hint="eastAsia" w:ascii="仿宋_GB2312" w:hAnsi="仿宋" w:eastAsia="仿宋_GB2312" w:cs="仿宋"/>
          <w:bCs/>
          <w:color w:val="auto"/>
          <w:sz w:val="32"/>
          <w:szCs w:val="32"/>
          <w:highlight w:val="none"/>
        </w:rPr>
        <w:t>转移</w:t>
      </w:r>
      <w:r>
        <w:rPr>
          <w:rStyle w:val="32"/>
          <w:rFonts w:hint="eastAsia" w:ascii="仿宋_GB2312" w:hAnsi="仿宋" w:eastAsia="仿宋_GB2312" w:cs="仿宋"/>
          <w:bCs/>
          <w:color w:val="auto"/>
          <w:sz w:val="32"/>
          <w:szCs w:val="32"/>
          <w:highlight w:val="none"/>
          <w:lang w:eastAsia="zh-CN"/>
        </w:rPr>
        <w:t>将一定程度影响我国</w:t>
      </w:r>
      <w:r>
        <w:rPr>
          <w:rStyle w:val="32"/>
          <w:rFonts w:hint="eastAsia" w:ascii="仿宋_GB2312" w:hAnsi="仿宋" w:eastAsia="仿宋_GB2312" w:cs="仿宋"/>
          <w:bCs/>
          <w:color w:val="auto"/>
          <w:sz w:val="32"/>
          <w:szCs w:val="32"/>
          <w:highlight w:val="none"/>
        </w:rPr>
        <w:t>产业链和供应链</w:t>
      </w:r>
      <w:r>
        <w:rPr>
          <w:rStyle w:val="32"/>
          <w:rFonts w:hint="eastAsia" w:ascii="仿宋_GB2312" w:hAnsi="仿宋" w:eastAsia="仿宋_GB2312" w:cs="仿宋"/>
          <w:bCs/>
          <w:color w:val="auto"/>
          <w:sz w:val="32"/>
          <w:szCs w:val="32"/>
          <w:highlight w:val="none"/>
          <w:lang w:eastAsia="zh-CN"/>
        </w:rPr>
        <w:t>的稳定</w:t>
      </w:r>
      <w:r>
        <w:rPr>
          <w:rStyle w:val="32"/>
          <w:rFonts w:hint="eastAsia" w:ascii="仿宋_GB2312" w:hAnsi="仿宋" w:eastAsia="仿宋_GB2312" w:cs="仿宋"/>
          <w:bCs/>
          <w:color w:val="auto"/>
          <w:sz w:val="32"/>
          <w:szCs w:val="32"/>
          <w:highlight w:val="none"/>
        </w:rPr>
        <w:t>，整体就业压力将更加严峻，社保扩面征缴空间压缩，人才、资金、数据的自由流动也将面临许多障碍。</w:t>
      </w:r>
    </w:p>
    <w:p>
      <w:pPr>
        <w:adjustRightInd w:val="0"/>
        <w:snapToGrid w:val="0"/>
        <w:spacing w:line="360" w:lineRule="auto"/>
        <w:ind w:firstLine="643" w:firstLineChars="200"/>
        <w:rPr>
          <w:rStyle w:val="32"/>
          <w:rFonts w:ascii="仿宋_GB2312" w:hAnsi="仿宋" w:eastAsia="仿宋_GB2312" w:cs="仿宋"/>
          <w:bCs/>
          <w:color w:val="auto"/>
          <w:sz w:val="32"/>
          <w:szCs w:val="32"/>
          <w:highlight w:val="none"/>
        </w:rPr>
      </w:pPr>
      <w:r>
        <w:rPr>
          <w:rStyle w:val="32"/>
          <w:rFonts w:hint="eastAsia" w:ascii="仿宋_GB2312" w:hAnsi="仿宋" w:eastAsia="仿宋_GB2312" w:cs="仿宋"/>
          <w:b/>
          <w:bCs/>
          <w:color w:val="auto"/>
          <w:sz w:val="32"/>
          <w:szCs w:val="32"/>
          <w:highlight w:val="none"/>
        </w:rPr>
        <w:t>——社会结构变动和转型加速，对自身治理能力要求进一步提升。</w:t>
      </w:r>
      <w:r>
        <w:rPr>
          <w:rStyle w:val="32"/>
          <w:rFonts w:hint="eastAsia" w:ascii="仿宋_GB2312" w:hAnsi="仿宋" w:eastAsia="仿宋_GB2312" w:cs="仿宋"/>
          <w:bCs/>
          <w:color w:val="auto"/>
          <w:sz w:val="32"/>
          <w:szCs w:val="32"/>
          <w:highlight w:val="none"/>
        </w:rPr>
        <w:t>一方面，汕尾与粤港澳大湾区联系密切，人员流动频繁，社会需求多样性、利益关系复杂性和社会矛盾多发性都</w:t>
      </w:r>
      <w:r>
        <w:rPr>
          <w:rStyle w:val="32"/>
          <w:rFonts w:hint="eastAsia" w:ascii="仿宋_GB2312" w:hAnsi="仿宋" w:eastAsia="仿宋_GB2312" w:cs="仿宋"/>
          <w:bCs/>
          <w:color w:val="auto"/>
          <w:sz w:val="32"/>
          <w:szCs w:val="32"/>
          <w:highlight w:val="none"/>
          <w:lang w:eastAsia="zh-CN"/>
        </w:rPr>
        <w:t>较</w:t>
      </w:r>
      <w:r>
        <w:rPr>
          <w:rStyle w:val="32"/>
          <w:rFonts w:hint="eastAsia" w:ascii="仿宋_GB2312" w:hAnsi="仿宋" w:eastAsia="仿宋_GB2312" w:cs="仿宋"/>
          <w:bCs/>
          <w:color w:val="auto"/>
          <w:sz w:val="32"/>
          <w:szCs w:val="32"/>
          <w:highlight w:val="none"/>
        </w:rPr>
        <w:t>突出；另一方面，汕尾人力资源社会保障事业发展质量不高、结构不优、城乡发展不平衡等问题仍然存在，就业创业政策还不能很好适应新产业新业态的发展，劳资纠纷隐患凸显，公共服务需求与供给不足的矛盾愈加突出，需要进一步深化改革，形成更高质量的制度供给，稳步推进社会治理体系和治理能力现代化。</w:t>
      </w:r>
    </w:p>
    <w:p>
      <w:pPr>
        <w:adjustRightInd w:val="0"/>
        <w:snapToGrid w:val="0"/>
        <w:spacing w:line="360" w:lineRule="auto"/>
        <w:ind w:firstLine="643" w:firstLineChars="200"/>
        <w:rPr>
          <w:rStyle w:val="32"/>
          <w:rFonts w:ascii="仿宋_GB2312" w:hAnsi="仿宋" w:eastAsia="仿宋_GB2312" w:cs="仿宋"/>
          <w:bCs/>
          <w:color w:val="auto"/>
          <w:sz w:val="32"/>
          <w:szCs w:val="32"/>
          <w:highlight w:val="none"/>
        </w:rPr>
      </w:pPr>
      <w:r>
        <w:rPr>
          <w:rStyle w:val="32"/>
          <w:rFonts w:hint="eastAsia" w:ascii="仿宋_GB2312" w:hAnsi="仿宋" w:eastAsia="仿宋_GB2312" w:cs="仿宋"/>
          <w:b/>
          <w:bCs/>
          <w:color w:val="auto"/>
          <w:sz w:val="32"/>
          <w:szCs w:val="32"/>
          <w:highlight w:val="none"/>
        </w:rPr>
        <w:t>——经济发展基础仍较薄弱，</w:t>
      </w:r>
      <w:r>
        <w:rPr>
          <w:rStyle w:val="32"/>
          <w:rFonts w:hint="eastAsia" w:ascii="仿宋_GB2312" w:hAnsi="仿宋" w:eastAsia="仿宋_GB2312" w:cs="仿宋"/>
          <w:b/>
          <w:bCs/>
          <w:color w:val="auto"/>
          <w:sz w:val="32"/>
          <w:szCs w:val="32"/>
          <w:highlight w:val="none"/>
          <w:lang w:val="en-US" w:eastAsia="zh-CN"/>
        </w:rPr>
        <w:t>人社</w:t>
      </w:r>
      <w:r>
        <w:rPr>
          <w:rStyle w:val="32"/>
          <w:rFonts w:hint="eastAsia" w:ascii="仿宋_GB2312" w:hAnsi="仿宋" w:eastAsia="仿宋_GB2312" w:cs="仿宋"/>
          <w:b/>
          <w:bCs/>
          <w:color w:val="auto"/>
          <w:sz w:val="32"/>
          <w:szCs w:val="32"/>
          <w:highlight w:val="none"/>
        </w:rPr>
        <w:t>事业发展仍存在较多短板。</w:t>
      </w:r>
      <w:r>
        <w:rPr>
          <w:rStyle w:val="32"/>
          <w:rFonts w:hint="eastAsia" w:ascii="仿宋_GB2312" w:hAnsi="仿宋" w:eastAsia="仿宋_GB2312" w:cs="仿宋"/>
          <w:bCs/>
          <w:color w:val="auto"/>
          <w:sz w:val="32"/>
          <w:szCs w:val="32"/>
          <w:highlight w:val="none"/>
        </w:rPr>
        <w:t>汕尾经济发展总体水平较为落后，经济体量较小，2020年GDP仅为广州的4.</w:t>
      </w:r>
      <w:r>
        <w:rPr>
          <w:rStyle w:val="32"/>
          <w:rFonts w:ascii="仿宋_GB2312" w:hAnsi="仿宋" w:eastAsia="仿宋_GB2312" w:cs="仿宋"/>
          <w:bCs/>
          <w:color w:val="auto"/>
          <w:sz w:val="32"/>
          <w:szCs w:val="32"/>
          <w:highlight w:val="none"/>
        </w:rPr>
        <w:t>0</w:t>
      </w:r>
      <w:r>
        <w:rPr>
          <w:rStyle w:val="32"/>
          <w:rFonts w:hint="eastAsia" w:ascii="仿宋_GB2312" w:hAnsi="仿宋" w:eastAsia="仿宋_GB2312" w:cs="仿宋"/>
          <w:bCs/>
          <w:color w:val="auto"/>
          <w:sz w:val="32"/>
          <w:szCs w:val="32"/>
          <w:highlight w:val="none"/>
        </w:rPr>
        <w:t>6%、深圳的4</w:t>
      </w:r>
      <w:r>
        <w:rPr>
          <w:rStyle w:val="32"/>
          <w:rFonts w:ascii="仿宋_GB2312" w:hAnsi="仿宋" w:eastAsia="仿宋_GB2312" w:cs="仿宋"/>
          <w:bCs/>
          <w:color w:val="auto"/>
          <w:sz w:val="32"/>
          <w:szCs w:val="32"/>
          <w:highlight w:val="none"/>
        </w:rPr>
        <w:t>.49</w:t>
      </w:r>
      <w:r>
        <w:rPr>
          <w:rStyle w:val="32"/>
          <w:rFonts w:hint="eastAsia" w:ascii="仿宋_GB2312" w:hAnsi="仿宋" w:eastAsia="仿宋_GB2312" w:cs="仿宋"/>
          <w:bCs/>
          <w:color w:val="auto"/>
          <w:sz w:val="32"/>
          <w:szCs w:val="32"/>
          <w:highlight w:val="none"/>
        </w:rPr>
        <w:t>%，人均GDP仅为全国人均水平的一半，整体处于工业化中期初级阶段。汕尾地方财政资金紧张，民生领域欠账较多，基层治理体系和治理能力较为薄弱，深层次矛盾日益凸显，新旧矛盾相互交织，维护社会和谐稳定难度增加，为汕尾人力资源社会保障事业发展带来较大挑战。</w:t>
      </w:r>
    </w:p>
    <w:p>
      <w:pPr>
        <w:adjustRightInd w:val="0"/>
        <w:snapToGrid w:val="0"/>
        <w:spacing w:line="360" w:lineRule="auto"/>
        <w:ind w:firstLine="640" w:firstLineChars="200"/>
        <w:rPr>
          <w:rStyle w:val="32"/>
          <w:rFonts w:ascii="仿宋_GB2312" w:hAnsi="仿宋" w:eastAsia="仿宋_GB2312" w:cs="仿宋"/>
          <w:bCs/>
          <w:color w:val="auto"/>
          <w:sz w:val="32"/>
          <w:szCs w:val="32"/>
          <w:highlight w:val="none"/>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rPr>
          <w:rFonts w:ascii="Calibri" w:hAnsi="Calibri" w:eastAsia="黑体"/>
          <w:color w:val="auto"/>
          <w:sz w:val="44"/>
          <w:szCs w:val="44"/>
          <w:highlight w:val="none"/>
          <w:lang w:val="en-US"/>
        </w:rPr>
      </w:pPr>
    </w:p>
    <w:p>
      <w:pPr>
        <w:pStyle w:val="8"/>
        <w:rPr>
          <w:rFonts w:ascii="Calibri" w:hAnsi="Calibri" w:eastAsia="黑体"/>
          <w:color w:val="auto"/>
          <w:sz w:val="44"/>
          <w:szCs w:val="44"/>
          <w:highlight w:val="none"/>
          <w:lang w:val="en-US"/>
        </w:rPr>
      </w:pPr>
    </w:p>
    <w:p>
      <w:pPr>
        <w:pStyle w:val="9"/>
        <w:rPr>
          <w:rFonts w:ascii="Calibri" w:hAnsi="Calibri" w:eastAsia="黑体"/>
          <w:color w:val="auto"/>
          <w:sz w:val="44"/>
          <w:szCs w:val="44"/>
          <w:highlight w:val="none"/>
          <w:lang w:val="en-US"/>
        </w:rPr>
      </w:pPr>
    </w:p>
    <w:p>
      <w:pPr>
        <w:pStyle w:val="6"/>
        <w:rPr>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keepNext w:val="0"/>
        <w:keepLines w:val="0"/>
        <w:pageBreakBefore w:val="0"/>
        <w:widowControl w:val="0"/>
        <w:kinsoku/>
        <w:wordWrap/>
        <w:overflowPunct/>
        <w:topLinePunct w:val="0"/>
        <w:autoSpaceDE/>
        <w:autoSpaceDN/>
        <w:bidi w:val="0"/>
        <w:adjustRightInd w:val="0"/>
        <w:snapToGrid w:val="0"/>
        <w:spacing w:before="120" w:beforeLines="50" w:after="120" w:afterLines="50" w:line="600" w:lineRule="exact"/>
        <w:jc w:val="center"/>
        <w:textAlignment w:val="auto"/>
        <w:rPr>
          <w:rFonts w:ascii="Calibri" w:hAnsi="Calibri" w:eastAsia="黑体"/>
          <w:b w:val="0"/>
          <w:bCs/>
          <w:color w:val="auto"/>
          <w:sz w:val="36"/>
          <w:szCs w:val="36"/>
          <w:highlight w:val="none"/>
          <w:lang w:val="en-US"/>
        </w:rPr>
      </w:pPr>
      <w:bookmarkStart w:id="15" w:name="_Toc16666"/>
      <w:bookmarkStart w:id="16" w:name="_Toc2872"/>
      <w:r>
        <w:rPr>
          <w:rFonts w:ascii="Calibri" w:hAnsi="Calibri" w:eastAsia="黑体"/>
          <w:b w:val="0"/>
          <w:bCs/>
          <w:color w:val="auto"/>
          <w:sz w:val="36"/>
          <w:szCs w:val="36"/>
          <w:highlight w:val="none"/>
          <w:lang w:val="en-US"/>
        </w:rPr>
        <w:t>第二章  总体要求</w:t>
      </w:r>
      <w:bookmarkEnd w:id="15"/>
      <w:bookmarkEnd w:id="16"/>
    </w:p>
    <w:p>
      <w:pPr>
        <w:rPr>
          <w:lang w:val="en-US"/>
        </w:rPr>
      </w:pPr>
    </w:p>
    <w:p>
      <w:pPr>
        <w:pStyle w:val="4"/>
        <w:keepNext w:val="0"/>
        <w:keepLines w:val="0"/>
        <w:pageBreakBefore w:val="0"/>
        <w:widowControl w:val="0"/>
        <w:kinsoku/>
        <w:wordWrap/>
        <w:overflowPunct/>
        <w:topLinePunct w:val="0"/>
        <w:autoSpaceDE/>
        <w:autoSpaceDN/>
        <w:bidi w:val="0"/>
        <w:adjustRightInd w:val="0"/>
        <w:snapToGrid w:val="0"/>
        <w:spacing w:before="120" w:beforeLines="50" w:after="120" w:afterLines="50" w:line="600" w:lineRule="exact"/>
        <w:ind w:left="200" w:firstLine="3072" w:firstLineChars="900"/>
        <w:jc w:val="both"/>
        <w:textAlignment w:val="auto"/>
        <w:rPr>
          <w:rFonts w:ascii="Cambria" w:hAnsi="Cambria" w:eastAsia="楷体_GB2312"/>
          <w:color w:val="auto"/>
          <w:sz w:val="34"/>
          <w:highlight w:val="none"/>
        </w:rPr>
      </w:pPr>
      <w:bookmarkStart w:id="17" w:name="_Toc30253"/>
      <w:bookmarkStart w:id="18" w:name="_Toc21834"/>
      <w:r>
        <w:rPr>
          <w:rFonts w:hint="eastAsia" w:ascii="Cambria" w:hAnsi="Cambria" w:eastAsia="楷体_GB2312"/>
          <w:color w:val="auto"/>
          <w:sz w:val="34"/>
          <w:highlight w:val="none"/>
        </w:rPr>
        <w:t xml:space="preserve">第一节  </w:t>
      </w:r>
      <w:r>
        <w:rPr>
          <w:rFonts w:ascii="Cambria" w:hAnsi="Cambria" w:eastAsia="楷体_GB2312"/>
          <w:color w:val="auto"/>
          <w:sz w:val="34"/>
          <w:highlight w:val="none"/>
        </w:rPr>
        <w:t>指导思想</w:t>
      </w:r>
      <w:bookmarkEnd w:id="17"/>
      <w:bookmarkEnd w:id="18"/>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Style w:val="32"/>
          <w:rFonts w:hint="eastAsia" w:ascii="仿宋_GB2312" w:hAnsi="仿宋" w:eastAsia="仿宋_GB2312" w:cs="仿宋"/>
          <w:bCs/>
          <w:color w:val="auto"/>
          <w:sz w:val="32"/>
          <w:szCs w:val="32"/>
          <w:highlight w:val="none"/>
        </w:rPr>
      </w:pPr>
      <w:r>
        <w:rPr>
          <w:rStyle w:val="32"/>
          <w:rFonts w:hint="eastAsia" w:ascii="仿宋_GB2312" w:hAnsi="仿宋" w:eastAsia="仿宋_GB2312" w:cs="仿宋"/>
          <w:bCs/>
          <w:color w:val="auto"/>
          <w:sz w:val="32"/>
          <w:szCs w:val="32"/>
          <w:highlight w:val="none"/>
        </w:rPr>
        <w:t>高举中国特色社会主义伟大旗帜，深入贯彻党的十九大和十九届二中、三中、四中、五中、六中全会精神，弘扬伟大建党精神，坚持以习近平新时代中国特色社会主义思想为</w:t>
      </w:r>
      <w:r>
        <w:rPr>
          <w:rStyle w:val="32"/>
          <w:rFonts w:hint="eastAsia" w:ascii="仿宋_GB2312" w:hAnsi="仿宋" w:eastAsia="仿宋_GB2312" w:cs="仿宋"/>
          <w:bCs/>
          <w:color w:val="auto"/>
          <w:sz w:val="32"/>
          <w:szCs w:val="32"/>
          <w:highlight w:val="none"/>
          <w:lang w:eastAsia="zh-CN"/>
        </w:rPr>
        <w:t>指引</w:t>
      </w:r>
      <w:r>
        <w:rPr>
          <w:rStyle w:val="32"/>
          <w:rFonts w:hint="eastAsia" w:ascii="仿宋_GB2312" w:hAnsi="仿宋" w:eastAsia="仿宋_GB2312" w:cs="仿宋"/>
          <w:bCs/>
          <w:color w:val="auto"/>
          <w:sz w:val="32"/>
          <w:szCs w:val="32"/>
          <w:highlight w:val="none"/>
        </w:rPr>
        <w:t>，深入</w:t>
      </w:r>
      <w:r>
        <w:rPr>
          <w:rStyle w:val="32"/>
          <w:rFonts w:hint="eastAsia" w:ascii="仿宋_GB2312" w:hAnsi="仿宋" w:eastAsia="仿宋_GB2312" w:cs="仿宋"/>
          <w:bCs/>
          <w:color w:val="auto"/>
          <w:sz w:val="32"/>
          <w:szCs w:val="32"/>
          <w:highlight w:val="none"/>
          <w:lang w:val="en-US" w:eastAsia="zh-CN"/>
        </w:rPr>
        <w:t>学习</w:t>
      </w:r>
      <w:r>
        <w:rPr>
          <w:rStyle w:val="32"/>
          <w:rFonts w:hint="eastAsia" w:ascii="仿宋_GB2312" w:hAnsi="仿宋" w:eastAsia="仿宋_GB2312" w:cs="仿宋"/>
          <w:bCs/>
          <w:color w:val="auto"/>
          <w:sz w:val="32"/>
          <w:szCs w:val="32"/>
          <w:highlight w:val="none"/>
        </w:rPr>
        <w:t>贯彻习近平总书记对广东重要讲话和重要指示批示精神，统筹推进“五位一体”总体布局，协调推进“四个全面”战略布局，贯彻省委省政府“1+1+9”工作部署</w:t>
      </w:r>
      <w:r>
        <w:rPr>
          <w:rStyle w:val="32"/>
          <w:rFonts w:hint="eastAsia" w:ascii="仿宋_GB2312" w:hAnsi="仿宋" w:eastAsia="仿宋_GB2312" w:cs="仿宋"/>
          <w:bCs/>
          <w:color w:val="auto"/>
          <w:sz w:val="32"/>
          <w:szCs w:val="32"/>
          <w:highlight w:val="none"/>
          <w:lang w:val="en-US" w:eastAsia="zh-CN"/>
        </w:rPr>
        <w:t>和汕尾市第八次党代会精神，</w:t>
      </w:r>
      <w:r>
        <w:rPr>
          <w:rStyle w:val="32"/>
          <w:rFonts w:hint="eastAsia" w:ascii="仿宋_GB2312" w:hAnsi="仿宋" w:eastAsia="仿宋_GB2312" w:cs="仿宋"/>
          <w:bCs/>
          <w:color w:val="auto"/>
          <w:sz w:val="32"/>
          <w:szCs w:val="32"/>
          <w:highlight w:val="none"/>
        </w:rPr>
        <w:t>坚持以人民为中心的发展思想，</w:t>
      </w:r>
      <w:r>
        <w:rPr>
          <w:rFonts w:hint="eastAsia" w:ascii="仿宋_GB2312" w:eastAsia="仿宋_GB2312"/>
          <w:color w:val="auto"/>
          <w:sz w:val="32"/>
          <w:szCs w:val="32"/>
          <w:highlight w:val="none"/>
        </w:rPr>
        <w:t>坚持</w:t>
      </w:r>
      <w:r>
        <w:rPr>
          <w:rFonts w:hint="eastAsia" w:ascii="仿宋_GB2312" w:eastAsia="仿宋_GB2312"/>
          <w:color w:val="auto"/>
          <w:sz w:val="32"/>
          <w:szCs w:val="32"/>
          <w:highlight w:val="none"/>
          <w:lang w:val="en-US" w:eastAsia="zh-CN"/>
        </w:rPr>
        <w:t>稳字当头、</w:t>
      </w:r>
      <w:r>
        <w:rPr>
          <w:rFonts w:hint="eastAsia" w:ascii="仿宋_GB2312" w:eastAsia="仿宋_GB2312"/>
          <w:color w:val="auto"/>
          <w:sz w:val="32"/>
          <w:szCs w:val="32"/>
          <w:highlight w:val="none"/>
        </w:rPr>
        <w:t>稳中求进工作总基调，完整、准确、全面贯彻新发展理念，加快构建新发展格局，</w:t>
      </w:r>
      <w:r>
        <w:rPr>
          <w:rStyle w:val="32"/>
          <w:rFonts w:hint="eastAsia" w:ascii="仿宋_GB2312" w:hAnsi="仿宋" w:eastAsia="仿宋_GB2312" w:cs="仿宋"/>
          <w:bCs/>
          <w:color w:val="auto"/>
          <w:sz w:val="32"/>
          <w:szCs w:val="32"/>
          <w:highlight w:val="none"/>
        </w:rPr>
        <w:t>以推动高质量发展为主题，以深化供给侧结构性改革为主线，以改革创新为根本动力，以满足</w:t>
      </w:r>
      <w:bookmarkStart w:id="19" w:name="bkPolitics2060801"/>
      <w:r>
        <w:rPr>
          <w:rStyle w:val="32"/>
          <w:rFonts w:hint="eastAsia" w:ascii="仿宋_GB2312" w:hAnsi="仿宋" w:eastAsia="仿宋_GB2312" w:cs="仿宋"/>
          <w:bCs/>
          <w:color w:val="auto"/>
          <w:sz w:val="32"/>
          <w:szCs w:val="32"/>
          <w:highlight w:val="none"/>
        </w:rPr>
        <w:t>人民日益增长的美好生活需要</w:t>
      </w:r>
      <w:bookmarkEnd w:id="19"/>
      <w:r>
        <w:rPr>
          <w:rStyle w:val="32"/>
          <w:rFonts w:hint="eastAsia" w:ascii="仿宋_GB2312" w:hAnsi="仿宋" w:eastAsia="仿宋_GB2312" w:cs="仿宋"/>
          <w:bCs/>
          <w:color w:val="auto"/>
          <w:sz w:val="32"/>
          <w:szCs w:val="32"/>
          <w:highlight w:val="none"/>
        </w:rPr>
        <w:t>为根本目的，以“双区驱动”为战略引领，以人才为第一资源、民生为第一追求，</w:t>
      </w:r>
      <w:r>
        <w:rPr>
          <w:rStyle w:val="32"/>
          <w:rFonts w:hint="eastAsia" w:ascii="仿宋_GB2312" w:hAnsi="仿宋" w:eastAsia="仿宋_GB2312" w:cs="仿宋"/>
          <w:bCs/>
          <w:color w:val="auto"/>
          <w:sz w:val="32"/>
          <w:szCs w:val="32"/>
          <w:highlight w:val="none"/>
          <w:lang w:val="en-US" w:eastAsia="zh-CN"/>
        </w:rPr>
        <w:t>聚焦高质量发展、竞争力提升、现代化建设，</w:t>
      </w:r>
      <w:r>
        <w:rPr>
          <w:rStyle w:val="32"/>
          <w:rFonts w:hint="eastAsia" w:ascii="仿宋_GB2312" w:hAnsi="仿宋" w:eastAsia="仿宋_GB2312" w:cs="仿宋"/>
          <w:bCs/>
          <w:color w:val="auto"/>
          <w:sz w:val="32"/>
          <w:szCs w:val="32"/>
          <w:highlight w:val="none"/>
        </w:rPr>
        <w:t>抓重点、补短板、强弱项、防风险、稳预期，着力促进就业创业，深化社保制度改革，加强人事人才工作，构建和谐劳动关系，提升公共服务能力，全面建设民生保障新高地和人才集聚新高地，推动全市人力资源社会保障事业高质量发展，为</w:t>
      </w:r>
      <w:r>
        <w:rPr>
          <w:rStyle w:val="32"/>
          <w:rFonts w:ascii="仿宋_GB2312" w:hAnsi="仿宋" w:eastAsia="仿宋_GB2312" w:cs="仿宋"/>
          <w:bCs/>
          <w:color w:val="auto"/>
          <w:sz w:val="32"/>
          <w:szCs w:val="32"/>
          <w:highlight w:val="none"/>
        </w:rPr>
        <w:t>汕尾</w:t>
      </w:r>
      <w:r>
        <w:rPr>
          <w:rStyle w:val="32"/>
          <w:rFonts w:hint="eastAsia" w:ascii="仿宋_GB2312" w:hAnsi="仿宋" w:eastAsia="仿宋_GB2312" w:cs="仿宋"/>
          <w:bCs/>
          <w:color w:val="auto"/>
          <w:sz w:val="32"/>
          <w:szCs w:val="32"/>
          <w:highlight w:val="none"/>
          <w:lang w:val="en-US" w:eastAsia="zh-CN"/>
        </w:rPr>
        <w:t>建设成为革命老区高质量发展示范区、沿海经济带靓丽明珠、现代化滨海城市</w:t>
      </w:r>
      <w:r>
        <w:rPr>
          <w:rStyle w:val="32"/>
          <w:rFonts w:hint="eastAsia" w:ascii="仿宋_GB2312" w:hAnsi="仿宋" w:eastAsia="仿宋_GB2312" w:cs="仿宋"/>
          <w:bCs/>
          <w:color w:val="auto"/>
          <w:sz w:val="32"/>
          <w:szCs w:val="32"/>
          <w:highlight w:val="none"/>
        </w:rPr>
        <w:t>作出新的更大贡献。</w:t>
      </w:r>
    </w:p>
    <w:p>
      <w:pPr>
        <w:pStyle w:val="8"/>
        <w:keepNext w:val="0"/>
        <w:keepLines w:val="0"/>
        <w:pageBreakBefore w:val="0"/>
        <w:widowControl w:val="0"/>
        <w:kinsoku/>
        <w:wordWrap/>
        <w:overflowPunct/>
        <w:topLinePunct w:val="0"/>
        <w:autoSpaceDE/>
        <w:autoSpaceDN/>
        <w:bidi w:val="0"/>
        <w:spacing w:line="600" w:lineRule="exact"/>
        <w:textAlignment w:val="auto"/>
        <w:rPr>
          <w:rFonts w:hint="eastAsia"/>
        </w:rPr>
      </w:pPr>
    </w:p>
    <w:p>
      <w:pPr>
        <w:pStyle w:val="4"/>
        <w:keepNext w:val="0"/>
        <w:keepLines w:val="0"/>
        <w:pageBreakBefore w:val="0"/>
        <w:widowControl w:val="0"/>
        <w:kinsoku/>
        <w:wordWrap/>
        <w:overflowPunct/>
        <w:topLinePunct w:val="0"/>
        <w:autoSpaceDE/>
        <w:autoSpaceDN/>
        <w:bidi w:val="0"/>
        <w:adjustRightInd w:val="0"/>
        <w:snapToGrid w:val="0"/>
        <w:spacing w:before="120" w:beforeLines="50" w:after="120" w:afterLines="50" w:line="600" w:lineRule="exact"/>
        <w:ind w:left="200"/>
        <w:jc w:val="center"/>
        <w:textAlignment w:val="auto"/>
        <w:rPr>
          <w:rFonts w:ascii="Cambria" w:hAnsi="Cambria" w:eastAsia="楷体_GB2312"/>
          <w:color w:val="auto"/>
          <w:sz w:val="34"/>
          <w:highlight w:val="none"/>
        </w:rPr>
      </w:pPr>
      <w:bookmarkStart w:id="20" w:name="_Toc22537"/>
      <w:bookmarkStart w:id="21" w:name="_Toc11920"/>
      <w:r>
        <w:rPr>
          <w:rFonts w:hint="eastAsia" w:ascii="Cambria" w:hAnsi="Cambria" w:eastAsia="楷体_GB2312"/>
          <w:color w:val="auto"/>
          <w:sz w:val="34"/>
          <w:highlight w:val="none"/>
        </w:rPr>
        <w:t xml:space="preserve">第二节  </w:t>
      </w:r>
      <w:r>
        <w:rPr>
          <w:rFonts w:ascii="Cambria" w:hAnsi="Cambria" w:eastAsia="楷体_GB2312"/>
          <w:color w:val="auto"/>
          <w:sz w:val="34"/>
          <w:highlight w:val="none"/>
        </w:rPr>
        <w:t>基本原则</w:t>
      </w:r>
      <w:bookmarkEnd w:id="20"/>
      <w:bookmarkEnd w:id="21"/>
    </w:p>
    <w:p/>
    <w:p>
      <w:pPr>
        <w:adjustRightInd w:val="0"/>
        <w:snapToGrid w:val="0"/>
        <w:spacing w:line="360" w:lineRule="auto"/>
        <w:ind w:firstLine="643" w:firstLineChars="200"/>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
          <w:bCs/>
          <w:color w:val="auto"/>
          <w:sz w:val="32"/>
          <w:szCs w:val="32"/>
          <w:highlight w:val="none"/>
        </w:rPr>
        <w:t>——坚持促发展与惠民生相统筹。</w:t>
      </w:r>
      <w:r>
        <w:rPr>
          <w:rStyle w:val="32"/>
          <w:rFonts w:hint="eastAsia" w:ascii="仿宋_GB2312" w:hAnsi="仿宋_GB2312" w:eastAsia="仿宋_GB2312" w:cs="仿宋_GB2312"/>
          <w:bCs/>
          <w:color w:val="auto"/>
          <w:sz w:val="32"/>
          <w:szCs w:val="32"/>
          <w:highlight w:val="none"/>
        </w:rPr>
        <w:t>坚持党的统一集中领导，增强“四个意识”，坚定“四个自信”，做到“两个维护”，紧紧抓住以人民为中心这个出发点和落脚点，增强改革创新精神，自觉融入全市经济社会发展大局，不断强化人才对高质量发展的“前轮驱动”、民生对高质量发展的“后轮保障”功能，推动人力资源社会保障事业发展质量变革、效率变革、动力变革，以更高水平的民生保障稳定社会预期、解决群众后顾之忧，为经济发展提供强大内生动力。</w:t>
      </w:r>
    </w:p>
    <w:p>
      <w:pPr>
        <w:adjustRightInd w:val="0"/>
        <w:snapToGrid w:val="0"/>
        <w:spacing w:line="360" w:lineRule="auto"/>
        <w:ind w:firstLine="643" w:firstLineChars="200"/>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
          <w:bCs/>
          <w:color w:val="auto"/>
          <w:sz w:val="32"/>
          <w:szCs w:val="32"/>
          <w:highlight w:val="none"/>
        </w:rPr>
        <w:t>——坚持尽力而为与量力而行相统一。</w:t>
      </w:r>
      <w:r>
        <w:rPr>
          <w:rStyle w:val="32"/>
          <w:rFonts w:hint="eastAsia" w:ascii="仿宋_GB2312" w:hAnsi="仿宋_GB2312" w:eastAsia="仿宋_GB2312" w:cs="仿宋_GB2312"/>
          <w:bCs/>
          <w:color w:val="auto"/>
          <w:sz w:val="32"/>
          <w:szCs w:val="32"/>
          <w:highlight w:val="none"/>
        </w:rPr>
        <w:t>聚焦群众所急所需所盼的民生实事，强化普惠性、基础性、兜底性，综合考虑经济发展水平和财力可持续发展，合理安排财政资金支出规模和结构，精准施策，稳妥推进，切实维护好人民群众最关心最切身的就业创业、社会保障、收入分配等根本利益，使改革发展成果更多更公平惠及全体人民。</w:t>
      </w:r>
    </w:p>
    <w:p>
      <w:pPr>
        <w:adjustRightInd w:val="0"/>
        <w:snapToGrid w:val="0"/>
        <w:spacing w:line="360" w:lineRule="auto"/>
        <w:ind w:firstLine="643" w:firstLineChars="200"/>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
          <w:bCs/>
          <w:color w:val="auto"/>
          <w:sz w:val="32"/>
          <w:szCs w:val="32"/>
          <w:highlight w:val="none"/>
        </w:rPr>
        <w:t>——坚持有效市场和有为政府相协调。</w:t>
      </w:r>
      <w:r>
        <w:rPr>
          <w:rStyle w:val="32"/>
          <w:rFonts w:hint="eastAsia" w:ascii="仿宋_GB2312" w:hAnsi="仿宋_GB2312" w:eastAsia="仿宋_GB2312" w:cs="仿宋_GB2312"/>
          <w:b w:val="0"/>
          <w:bCs w:val="0"/>
          <w:color w:val="auto"/>
          <w:sz w:val="32"/>
          <w:szCs w:val="32"/>
          <w:highlight w:val="none"/>
          <w:lang w:eastAsia="zh-CN"/>
        </w:rPr>
        <w:t>正确</w:t>
      </w:r>
      <w:r>
        <w:rPr>
          <w:rStyle w:val="32"/>
          <w:rFonts w:hint="eastAsia" w:ascii="仿宋_GB2312" w:hAnsi="仿宋_GB2312" w:eastAsia="仿宋_GB2312" w:cs="仿宋_GB2312"/>
          <w:bCs/>
          <w:color w:val="auto"/>
          <w:sz w:val="32"/>
          <w:szCs w:val="32"/>
          <w:highlight w:val="none"/>
        </w:rPr>
        <w:t>处理政府和市场的关系，充分发挥市场在资源配置中的决定性作用，激发市场活力和社会创造力，深化体制机制改革创新，持续推进“放管服”改革，加强人力资源社会保障行风建设，提高人力资源要素配置效率和民生保障水平。</w:t>
      </w:r>
    </w:p>
    <w:p>
      <w:pPr>
        <w:adjustRightInd w:val="0"/>
        <w:snapToGrid w:val="0"/>
        <w:spacing w:line="360" w:lineRule="auto"/>
        <w:ind w:firstLine="640" w:firstLineChars="200"/>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Cs/>
          <w:color w:val="auto"/>
          <w:sz w:val="32"/>
          <w:szCs w:val="32"/>
          <w:highlight w:val="none"/>
        </w:rPr>
        <w:softHyphen/>
      </w:r>
      <w:r>
        <w:rPr>
          <w:rStyle w:val="32"/>
          <w:rFonts w:hint="eastAsia" w:ascii="仿宋_GB2312" w:hAnsi="仿宋_GB2312" w:eastAsia="仿宋_GB2312" w:cs="仿宋_GB2312"/>
          <w:b/>
          <w:bCs/>
          <w:color w:val="auto"/>
          <w:sz w:val="32"/>
          <w:szCs w:val="32"/>
          <w:highlight w:val="none"/>
        </w:rPr>
        <w:t>——坚持系统推进与重点突破相统一。</w:t>
      </w:r>
      <w:r>
        <w:rPr>
          <w:rStyle w:val="32"/>
          <w:rFonts w:hint="eastAsia" w:ascii="仿宋_GB2312" w:hAnsi="仿宋_GB2312" w:eastAsia="仿宋_GB2312" w:cs="仿宋_GB2312"/>
          <w:bCs/>
          <w:color w:val="auto"/>
          <w:sz w:val="32"/>
          <w:szCs w:val="32"/>
          <w:highlight w:val="none"/>
        </w:rPr>
        <w:t>坚持系统观念，加强前瞻性思考、全局性谋划、战略性布局、整体性推进，坚持全市一盘棋，更好发挥各级各方面积极性，增强忧患意识，坚持底线思维，着力固根基、扬优势、补短板、强弱项，积极应对重大风险挑战，有效防范化解规模性失业、劳动关系矛盾、社保基金支付</w:t>
      </w:r>
      <w:r>
        <w:rPr>
          <w:rStyle w:val="32"/>
          <w:rFonts w:hint="eastAsia" w:ascii="仿宋_GB2312" w:hAnsi="仿宋_GB2312" w:eastAsia="仿宋_GB2312" w:cs="仿宋_GB2312"/>
          <w:bCs/>
          <w:color w:val="auto"/>
          <w:sz w:val="32"/>
          <w:szCs w:val="32"/>
          <w:highlight w:val="none"/>
          <w:lang w:eastAsia="zh-CN"/>
        </w:rPr>
        <w:t>、</w:t>
      </w:r>
      <w:r>
        <w:rPr>
          <w:rStyle w:val="32"/>
          <w:rFonts w:hint="eastAsia" w:ascii="仿宋_GB2312" w:hAnsi="仿宋_GB2312" w:eastAsia="仿宋_GB2312" w:cs="仿宋_GB2312"/>
          <w:bCs/>
          <w:color w:val="auto"/>
          <w:sz w:val="32"/>
          <w:szCs w:val="32"/>
          <w:highlight w:val="none"/>
          <w:lang w:val="en-US" w:eastAsia="zh-CN"/>
        </w:rPr>
        <w:t>人事招聘考试</w:t>
      </w:r>
      <w:r>
        <w:rPr>
          <w:rStyle w:val="32"/>
          <w:rFonts w:hint="eastAsia" w:ascii="仿宋_GB2312" w:hAnsi="仿宋_GB2312" w:eastAsia="仿宋_GB2312" w:cs="仿宋_GB2312"/>
          <w:bCs/>
          <w:color w:val="auto"/>
          <w:sz w:val="32"/>
          <w:szCs w:val="32"/>
          <w:highlight w:val="none"/>
        </w:rPr>
        <w:t>等传统风险和新型风险。聚焦重点领域、关键环节，找准改革突破口和发力点，集中力量逐个攻坚突破，以点带面带动全局发展。</w:t>
      </w:r>
    </w:p>
    <w:p>
      <w:pPr>
        <w:pStyle w:val="2"/>
        <w:rPr>
          <w:rFonts w:hint="eastAsia"/>
        </w:rPr>
      </w:pP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22" w:name="_Toc28349"/>
      <w:bookmarkStart w:id="23" w:name="_Toc24664"/>
      <w:r>
        <w:rPr>
          <w:rFonts w:hint="eastAsia" w:ascii="Cambria" w:hAnsi="Cambria" w:eastAsia="楷体_GB2312"/>
          <w:color w:val="auto"/>
          <w:sz w:val="34"/>
          <w:highlight w:val="none"/>
        </w:rPr>
        <w:t>第三节  主要</w:t>
      </w:r>
      <w:r>
        <w:rPr>
          <w:rFonts w:ascii="Cambria" w:hAnsi="Cambria" w:eastAsia="楷体_GB2312"/>
          <w:color w:val="auto"/>
          <w:sz w:val="34"/>
          <w:highlight w:val="none"/>
        </w:rPr>
        <w:t>目标</w:t>
      </w:r>
      <w:bookmarkEnd w:id="22"/>
      <w:bookmarkEnd w:id="23"/>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outlineLvl w:val="9"/>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Cs/>
          <w:color w:val="auto"/>
          <w:sz w:val="32"/>
          <w:szCs w:val="32"/>
          <w:highlight w:val="none"/>
        </w:rPr>
        <w:t>到2025年，推动高质量发展的人力资源</w:t>
      </w:r>
      <w:r>
        <w:rPr>
          <w:rStyle w:val="32"/>
          <w:rFonts w:hint="eastAsia" w:ascii="仿宋_GB2312" w:hAnsi="仿宋_GB2312" w:eastAsia="仿宋_GB2312" w:cs="仿宋_GB2312"/>
          <w:bCs/>
          <w:color w:val="auto"/>
          <w:sz w:val="32"/>
          <w:szCs w:val="32"/>
          <w:highlight w:val="none"/>
          <w:lang w:val="en-US" w:eastAsia="zh-CN"/>
        </w:rPr>
        <w:t>和</w:t>
      </w:r>
      <w:r>
        <w:rPr>
          <w:rStyle w:val="32"/>
          <w:rFonts w:hint="eastAsia" w:ascii="仿宋_GB2312" w:hAnsi="仿宋_GB2312" w:eastAsia="仿宋_GB2312" w:cs="仿宋_GB2312"/>
          <w:bCs/>
          <w:color w:val="auto"/>
          <w:sz w:val="32"/>
          <w:szCs w:val="32"/>
          <w:highlight w:val="none"/>
        </w:rPr>
        <w:t>社会保障制度体系更加成熟完善，</w:t>
      </w:r>
      <w:r>
        <w:rPr>
          <w:rStyle w:val="32"/>
          <w:rFonts w:hint="eastAsia" w:ascii="仿宋_GB2312" w:hAnsi="仿宋_GB2312" w:eastAsia="仿宋_GB2312" w:cs="仿宋_GB2312"/>
          <w:bCs/>
          <w:color w:val="auto"/>
          <w:sz w:val="32"/>
          <w:szCs w:val="32"/>
          <w:highlight w:val="none"/>
          <w:lang w:val="en-US" w:eastAsia="zh-CN"/>
        </w:rPr>
        <w:t>全方位公共就业创业服务体系全面建成，</w:t>
      </w:r>
      <w:r>
        <w:rPr>
          <w:rFonts w:hint="eastAsia" w:ascii="仿宋_GB2312" w:hAnsi="仿宋_GB2312" w:eastAsia="仿宋_GB2312" w:cs="仿宋_GB2312"/>
          <w:b w:val="0"/>
          <w:bCs w:val="0"/>
          <w:color w:val="auto"/>
          <w:sz w:val="32"/>
          <w:szCs w:val="32"/>
          <w:highlight w:val="none"/>
        </w:rPr>
        <w:t>创业带动</w:t>
      </w:r>
      <w:r>
        <w:rPr>
          <w:rFonts w:hint="eastAsia" w:ascii="仿宋_GB2312" w:hAnsi="仿宋_GB2312" w:eastAsia="仿宋_GB2312" w:cs="仿宋_GB2312"/>
          <w:b w:val="0"/>
          <w:bCs w:val="0"/>
          <w:color w:val="auto"/>
          <w:sz w:val="32"/>
          <w:szCs w:val="32"/>
          <w:highlight w:val="none"/>
          <w:lang w:val="en-US" w:eastAsia="zh-CN"/>
        </w:rPr>
        <w:t>就业</w:t>
      </w:r>
      <w:r>
        <w:rPr>
          <w:rFonts w:hint="eastAsia" w:ascii="仿宋_GB2312" w:hAnsi="仿宋_GB2312" w:eastAsia="仿宋_GB2312" w:cs="仿宋_GB2312"/>
          <w:b w:val="0"/>
          <w:bCs w:val="0"/>
          <w:color w:val="auto"/>
          <w:sz w:val="32"/>
          <w:szCs w:val="32"/>
          <w:highlight w:val="none"/>
        </w:rPr>
        <w:t>作用</w:t>
      </w:r>
      <w:r>
        <w:rPr>
          <w:rFonts w:hint="eastAsia" w:ascii="仿宋_GB2312" w:hAnsi="仿宋_GB2312" w:eastAsia="仿宋_GB2312" w:cs="仿宋_GB2312"/>
          <w:b w:val="0"/>
          <w:bCs w:val="0"/>
          <w:color w:val="auto"/>
          <w:sz w:val="32"/>
          <w:szCs w:val="32"/>
          <w:highlight w:val="none"/>
          <w:lang w:val="en-US" w:eastAsia="zh-CN"/>
        </w:rPr>
        <w:t>显著</w:t>
      </w:r>
      <w:r>
        <w:rPr>
          <w:rFonts w:hint="eastAsia" w:ascii="仿宋_GB2312" w:hAnsi="仿宋_GB2312" w:eastAsia="仿宋_GB2312" w:cs="仿宋_GB2312"/>
          <w:b w:val="0"/>
          <w:bCs w:val="0"/>
          <w:color w:val="auto"/>
          <w:sz w:val="32"/>
          <w:szCs w:val="32"/>
          <w:highlight w:val="none"/>
          <w:lang w:eastAsia="zh-CN"/>
        </w:rPr>
        <w:t>，</w:t>
      </w:r>
      <w:r>
        <w:rPr>
          <w:rStyle w:val="32"/>
          <w:rFonts w:hint="eastAsia" w:ascii="仿宋_GB2312" w:hAnsi="仿宋_GB2312" w:eastAsia="仿宋_GB2312" w:cs="仿宋_GB2312"/>
          <w:bCs/>
          <w:color w:val="auto"/>
          <w:sz w:val="32"/>
          <w:szCs w:val="32"/>
          <w:highlight w:val="none"/>
        </w:rPr>
        <w:t>实现更充分更高质量就业</w:t>
      </w:r>
      <w:r>
        <w:rPr>
          <w:rStyle w:val="32"/>
          <w:rFonts w:hint="eastAsia" w:ascii="仿宋_GB2312" w:hAnsi="仿宋_GB2312" w:eastAsia="仿宋_GB2312" w:cs="仿宋_GB2312"/>
          <w:bCs/>
          <w:color w:val="auto"/>
          <w:sz w:val="32"/>
          <w:szCs w:val="32"/>
          <w:highlight w:val="none"/>
          <w:lang w:eastAsia="zh-CN"/>
        </w:rPr>
        <w:t>；</w:t>
      </w:r>
      <w:r>
        <w:rPr>
          <w:rStyle w:val="32"/>
          <w:rFonts w:hint="eastAsia" w:ascii="仿宋_GB2312" w:hAnsi="仿宋_GB2312" w:eastAsia="仿宋_GB2312" w:cs="仿宋_GB2312"/>
          <w:bCs/>
          <w:color w:val="auto"/>
          <w:sz w:val="32"/>
          <w:szCs w:val="32"/>
          <w:highlight w:val="none"/>
        </w:rPr>
        <w:t>社会保障</w:t>
      </w:r>
      <w:r>
        <w:rPr>
          <w:rStyle w:val="32"/>
          <w:rFonts w:hint="eastAsia" w:ascii="仿宋_GB2312" w:hAnsi="仿宋_GB2312" w:eastAsia="仿宋_GB2312" w:cs="仿宋_GB2312"/>
          <w:bCs/>
          <w:color w:val="auto"/>
          <w:sz w:val="32"/>
          <w:szCs w:val="32"/>
          <w:highlight w:val="none"/>
          <w:lang w:val="en-US" w:eastAsia="zh-CN"/>
        </w:rPr>
        <w:t>范围进一步扩大、</w:t>
      </w:r>
      <w:r>
        <w:rPr>
          <w:rStyle w:val="32"/>
          <w:rFonts w:hint="eastAsia" w:ascii="仿宋_GB2312" w:hAnsi="仿宋_GB2312" w:eastAsia="仿宋_GB2312" w:cs="仿宋_GB2312"/>
          <w:bCs/>
          <w:color w:val="auto"/>
          <w:sz w:val="32"/>
          <w:szCs w:val="32"/>
          <w:highlight w:val="none"/>
        </w:rPr>
        <w:t>水平显著提升，</w:t>
      </w:r>
      <w:r>
        <w:rPr>
          <w:rStyle w:val="32"/>
          <w:rFonts w:hint="eastAsia" w:ascii="仿宋_GB2312" w:hAnsi="仿宋_GB2312" w:eastAsia="仿宋_GB2312" w:cs="仿宋_GB2312"/>
          <w:bCs/>
          <w:color w:val="auto"/>
          <w:sz w:val="32"/>
          <w:szCs w:val="32"/>
          <w:highlight w:val="none"/>
          <w:lang w:val="en-US" w:eastAsia="zh-CN"/>
        </w:rPr>
        <w:t>劳动关系更加和谐，</w:t>
      </w:r>
      <w:r>
        <w:rPr>
          <w:rStyle w:val="32"/>
          <w:rFonts w:hint="eastAsia" w:ascii="仿宋_GB2312" w:hAnsi="仿宋_GB2312" w:eastAsia="仿宋_GB2312" w:cs="仿宋_GB2312"/>
          <w:bCs/>
          <w:color w:val="auto"/>
          <w:sz w:val="32"/>
          <w:szCs w:val="32"/>
          <w:highlight w:val="none"/>
        </w:rPr>
        <w:t>人力资源要素自主有序流动，城乡区域差距明显缩小，公共服务水平更趋均衡，实现“劳有乐业、才有优用、技有专长、老有颐养”，民生保障新高地和人才集聚新高地全面建成。</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outlineLvl w:val="9"/>
        <w:rPr>
          <w:rStyle w:val="32"/>
          <w:rFonts w:ascii="仿宋_GB2312" w:hAnsi="仿宋" w:eastAsia="仿宋_GB2312" w:cs="仿宋"/>
          <w:bCs/>
          <w:color w:val="auto"/>
          <w:sz w:val="32"/>
          <w:szCs w:val="32"/>
          <w:highlight w:val="none"/>
        </w:rPr>
      </w:pPr>
      <w:r>
        <w:rPr>
          <w:rStyle w:val="32"/>
          <w:rFonts w:hint="eastAsia" w:ascii="仿宋_GB2312" w:hAnsi="仿宋_GB2312" w:eastAsia="仿宋_GB2312" w:cs="仿宋_GB2312"/>
          <w:b/>
          <w:color w:val="auto"/>
          <w:sz w:val="32"/>
          <w:szCs w:val="32"/>
          <w:highlight w:val="none"/>
        </w:rPr>
        <w:t>——实现更充分更高质量就业。</w:t>
      </w:r>
      <w:r>
        <w:rPr>
          <w:rStyle w:val="32"/>
          <w:rFonts w:hint="eastAsia" w:ascii="仿宋_GB2312" w:hAnsi="仿宋_GB2312" w:eastAsia="仿宋_GB2312" w:cs="仿宋_GB2312"/>
          <w:bCs/>
          <w:color w:val="auto"/>
          <w:sz w:val="32"/>
          <w:szCs w:val="32"/>
          <w:highlight w:val="none"/>
        </w:rPr>
        <w:t>就业优先政策全面强化，就业政策与经济社会发展宏观政策联动更加紧密，多渠道就业促进机制更加健全，创新创业引领作用更加凸显，就业规模持续稳定，</w:t>
      </w:r>
      <w:r>
        <w:rPr>
          <w:rStyle w:val="32"/>
          <w:rFonts w:hint="eastAsia" w:ascii="仿宋_GB2312" w:hAnsi="仿宋_GB2312" w:eastAsia="仿宋_GB2312" w:cs="仿宋_GB2312"/>
          <w:bCs/>
          <w:color w:val="auto"/>
          <w:sz w:val="32"/>
          <w:szCs w:val="32"/>
          <w:highlight w:val="none"/>
          <w:lang w:val="en-US" w:eastAsia="zh-CN"/>
        </w:rPr>
        <w:t>就业形势总体平稳，就业质量稳步提升，结构性就业</w:t>
      </w:r>
      <w:r>
        <w:rPr>
          <w:rStyle w:val="32"/>
          <w:rFonts w:hint="eastAsia" w:ascii="仿宋_GB2312" w:hAnsi="仿宋" w:eastAsia="仿宋_GB2312" w:cs="仿宋"/>
          <w:bCs/>
          <w:color w:val="auto"/>
          <w:sz w:val="32"/>
          <w:szCs w:val="32"/>
          <w:highlight w:val="none"/>
          <w:lang w:val="en-US" w:eastAsia="zh-CN"/>
        </w:rPr>
        <w:t>矛盾有效缓解，创业带动就业动能持续释放。</w:t>
      </w:r>
      <w:r>
        <w:rPr>
          <w:rStyle w:val="32"/>
          <w:rFonts w:hint="eastAsia" w:ascii="仿宋_GB2312" w:hAnsi="仿宋" w:eastAsia="仿宋_GB2312" w:cs="仿宋"/>
          <w:bCs/>
          <w:color w:val="auto"/>
          <w:sz w:val="32"/>
          <w:szCs w:val="32"/>
          <w:highlight w:val="none"/>
        </w:rPr>
        <w:t>“十四五”期间实现城镇新增就业17.5万人以上，城镇登记失业率控制在3%以内。促进创业</w:t>
      </w:r>
      <w:r>
        <w:rPr>
          <w:rStyle w:val="32"/>
          <w:rFonts w:hint="eastAsia" w:ascii="仿宋_GB2312" w:hAnsi="仿宋" w:eastAsia="仿宋_GB2312" w:cs="仿宋"/>
          <w:bCs/>
          <w:color w:val="auto"/>
          <w:sz w:val="32"/>
          <w:szCs w:val="32"/>
          <w:highlight w:val="none"/>
          <w:lang w:val="en-US" w:eastAsia="zh-CN"/>
        </w:rPr>
        <w:t>人数</w:t>
      </w:r>
      <w:r>
        <w:rPr>
          <w:rStyle w:val="32"/>
          <w:rFonts w:hint="eastAsia" w:ascii="仿宋_GB2312" w:hAnsi="仿宋" w:eastAsia="仿宋_GB2312" w:cs="仿宋"/>
          <w:bCs/>
          <w:color w:val="auto"/>
          <w:sz w:val="32"/>
          <w:szCs w:val="32"/>
          <w:highlight w:val="none"/>
        </w:rPr>
        <w:t>10000人</w:t>
      </w:r>
      <w:r>
        <w:rPr>
          <w:rStyle w:val="32"/>
          <w:rFonts w:hint="eastAsia" w:ascii="仿宋_GB2312" w:hAnsi="仿宋" w:eastAsia="仿宋_GB2312" w:cs="仿宋"/>
          <w:bCs/>
          <w:color w:val="auto"/>
          <w:sz w:val="32"/>
          <w:szCs w:val="32"/>
          <w:highlight w:val="none"/>
          <w:lang w:val="en-US" w:eastAsia="zh-CN"/>
        </w:rPr>
        <w:t>以上</w:t>
      </w:r>
      <w:r>
        <w:rPr>
          <w:rStyle w:val="32"/>
          <w:rFonts w:hint="eastAsia" w:ascii="仿宋_GB2312" w:hAnsi="仿宋" w:eastAsia="仿宋_GB2312" w:cs="仿宋"/>
          <w:bCs/>
          <w:color w:val="auto"/>
          <w:sz w:val="32"/>
          <w:szCs w:val="32"/>
          <w:highlight w:val="none"/>
        </w:rPr>
        <w:t>，高校毕业生就业率达90%以上。创建5家</w:t>
      </w:r>
      <w:r>
        <w:rPr>
          <w:rStyle w:val="32"/>
          <w:rFonts w:hint="eastAsia" w:ascii="仿宋_GB2312" w:hAnsi="仿宋" w:eastAsia="仿宋_GB2312" w:cs="仿宋"/>
          <w:bCs/>
          <w:color w:val="auto"/>
          <w:sz w:val="32"/>
          <w:szCs w:val="32"/>
          <w:highlight w:val="none"/>
          <w:lang w:val="en-US" w:eastAsia="zh-CN"/>
        </w:rPr>
        <w:t>以上</w:t>
      </w:r>
      <w:r>
        <w:rPr>
          <w:rStyle w:val="32"/>
          <w:rFonts w:hint="eastAsia" w:ascii="仿宋_GB2312" w:hAnsi="仿宋" w:eastAsia="仿宋_GB2312" w:cs="仿宋"/>
          <w:bCs/>
          <w:color w:val="auto"/>
          <w:sz w:val="32"/>
          <w:szCs w:val="32"/>
          <w:highlight w:val="none"/>
        </w:rPr>
        <w:t>创新创业孵化基地，建立和完善汕尾市</w:t>
      </w:r>
      <w:r>
        <w:rPr>
          <w:rStyle w:val="32"/>
          <w:rFonts w:hint="eastAsia" w:ascii="仿宋_GB2312" w:hAnsi="仿宋" w:eastAsia="仿宋_GB2312" w:cs="仿宋"/>
          <w:bCs/>
          <w:color w:val="auto"/>
          <w:sz w:val="32"/>
          <w:szCs w:val="32"/>
          <w:highlight w:val="none"/>
          <w:lang w:val="en-US" w:eastAsia="zh-CN"/>
        </w:rPr>
        <w:t>多层次</w:t>
      </w:r>
      <w:r>
        <w:rPr>
          <w:rStyle w:val="32"/>
          <w:rFonts w:hint="eastAsia" w:ascii="仿宋_GB2312" w:hAnsi="仿宋" w:eastAsia="仿宋_GB2312" w:cs="仿宋"/>
          <w:bCs/>
          <w:color w:val="auto"/>
          <w:sz w:val="32"/>
          <w:szCs w:val="32"/>
          <w:highlight w:val="none"/>
        </w:rPr>
        <w:t>人力资源市场</w:t>
      </w:r>
      <w:r>
        <w:rPr>
          <w:rStyle w:val="32"/>
          <w:rFonts w:hint="eastAsia" w:ascii="仿宋_GB2312" w:eastAsia="仿宋_GB2312"/>
          <w:bCs/>
          <w:color w:val="auto"/>
          <w:sz w:val="32"/>
          <w:szCs w:val="32"/>
          <w:highlight w:val="none"/>
        </w:rPr>
        <w:t>，就业社会化、市场化水平更高。</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outlineLvl w:val="9"/>
        <w:rPr>
          <w:rStyle w:val="32"/>
          <w:rFonts w:ascii="仿宋_GB2312" w:hAnsi="仿宋" w:eastAsia="仿宋_GB2312" w:cs="仿宋"/>
          <w:bCs/>
          <w:color w:val="auto"/>
          <w:sz w:val="32"/>
          <w:szCs w:val="32"/>
          <w:highlight w:val="none"/>
        </w:rPr>
      </w:pPr>
      <w:r>
        <w:rPr>
          <w:rStyle w:val="32"/>
          <w:rFonts w:hint="eastAsia" w:ascii="仿宋_GB2312" w:hAnsi="仿宋" w:eastAsia="仿宋_GB2312" w:cs="仿宋"/>
          <w:b/>
          <w:color w:val="auto"/>
          <w:sz w:val="32"/>
          <w:szCs w:val="32"/>
          <w:highlight w:val="none"/>
        </w:rPr>
        <w:t>——覆盖全民的社会保障体系更加完善。</w:t>
      </w:r>
      <w:r>
        <w:rPr>
          <w:rStyle w:val="32"/>
          <w:rFonts w:hint="eastAsia" w:hAnsi="仿宋" w:eastAsia="仿宋_GB2312" w:cs="仿宋"/>
          <w:color w:val="auto"/>
          <w:sz w:val="32"/>
          <w:szCs w:val="32"/>
          <w:highlight w:val="none"/>
        </w:rPr>
        <w:t>养老、失业、工伤保险实现应保尽保，参保缴费质量显著提高。社</w:t>
      </w:r>
      <w:r>
        <w:rPr>
          <w:rStyle w:val="32"/>
          <w:rFonts w:hint="eastAsia" w:hAnsi="仿宋" w:eastAsia="仿宋_GB2312" w:cs="仿宋"/>
          <w:bCs/>
          <w:color w:val="auto"/>
          <w:sz w:val="32"/>
          <w:szCs w:val="32"/>
          <w:highlight w:val="none"/>
        </w:rPr>
        <w:t>会保险制度改革</w:t>
      </w:r>
      <w:r>
        <w:rPr>
          <w:rStyle w:val="32"/>
          <w:rFonts w:hint="eastAsia" w:hAnsi="仿宋" w:eastAsia="仿宋_GB2312" w:cs="仿宋"/>
          <w:color w:val="auto"/>
          <w:sz w:val="32"/>
          <w:szCs w:val="32"/>
          <w:highlight w:val="none"/>
        </w:rPr>
        <w:t>全面推进</w:t>
      </w:r>
      <w:r>
        <w:rPr>
          <w:rStyle w:val="32"/>
          <w:rFonts w:hint="eastAsia" w:hAnsi="仿宋" w:eastAsia="仿宋_GB2312" w:cs="仿宋"/>
          <w:bCs/>
          <w:color w:val="auto"/>
          <w:sz w:val="32"/>
          <w:szCs w:val="32"/>
          <w:highlight w:val="none"/>
        </w:rPr>
        <w:t>，统筹层次不断提高，多层次的社会保障体系日益健全。社保待遇确定和调整机制更加健全，城乡、区域、群体间保障水平合理衔接。社会保险基金运行安全可持续。“十四五”期末，</w:t>
      </w:r>
      <w:r>
        <w:rPr>
          <w:rStyle w:val="32"/>
          <w:rFonts w:hint="eastAsia" w:ascii="仿宋_GB2312" w:hAnsi="仿宋" w:eastAsia="仿宋_GB2312" w:cs="仿宋"/>
          <w:bCs/>
          <w:color w:val="auto"/>
          <w:sz w:val="32"/>
          <w:szCs w:val="32"/>
          <w:highlight w:val="none"/>
        </w:rPr>
        <w:t>全市城镇职工基本养老保险、城乡居民基本养老保险、失业保险、工伤保险参保人数分别达到</w:t>
      </w:r>
      <w:r>
        <w:rPr>
          <w:rStyle w:val="32"/>
          <w:rFonts w:hint="eastAsia" w:ascii="仿宋_GB2312" w:eastAsia="仿宋_GB2312" w:cs="仿宋"/>
          <w:color w:val="auto"/>
          <w:sz w:val="32"/>
          <w:szCs w:val="32"/>
          <w:highlight w:val="none"/>
        </w:rPr>
        <w:t>35万人、112万人、1</w:t>
      </w:r>
      <w:r>
        <w:rPr>
          <w:rStyle w:val="32"/>
          <w:rFonts w:hint="eastAsia" w:ascii="仿宋_GB2312" w:eastAsia="仿宋_GB2312" w:cs="仿宋"/>
          <w:color w:val="auto"/>
          <w:sz w:val="32"/>
          <w:szCs w:val="32"/>
          <w:highlight w:val="none"/>
          <w:lang w:val="en-US" w:eastAsia="zh-CN"/>
        </w:rPr>
        <w:t>4</w:t>
      </w:r>
      <w:r>
        <w:rPr>
          <w:rStyle w:val="32"/>
          <w:rFonts w:hint="eastAsia" w:ascii="仿宋_GB2312" w:eastAsia="仿宋_GB2312" w:cs="仿宋"/>
          <w:color w:val="auto"/>
          <w:sz w:val="32"/>
          <w:szCs w:val="32"/>
          <w:highlight w:val="none"/>
        </w:rPr>
        <w:t>万人、22万人</w:t>
      </w:r>
      <w:r>
        <w:rPr>
          <w:rStyle w:val="32"/>
          <w:rFonts w:hint="eastAsia" w:ascii="仿宋_GB2312" w:hAnsi="仿宋" w:eastAsia="仿宋_GB2312" w:cs="仿宋"/>
          <w:bCs/>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outlineLvl w:val="9"/>
        <w:rPr>
          <w:rStyle w:val="32"/>
          <w:rFonts w:ascii="仿宋_GB2312" w:eastAsia="仿宋_GB2312" w:cs="仿宋"/>
          <w:bCs/>
          <w:color w:val="auto"/>
          <w:sz w:val="32"/>
          <w:szCs w:val="32"/>
          <w:highlight w:val="none"/>
        </w:rPr>
      </w:pPr>
      <w:r>
        <w:rPr>
          <w:rStyle w:val="32"/>
          <w:rFonts w:hint="eastAsia" w:ascii="仿宋_GB2312" w:hAnsi="仿宋" w:eastAsia="仿宋_GB2312" w:cs="仿宋"/>
          <w:b/>
          <w:color w:val="auto"/>
          <w:sz w:val="32"/>
          <w:szCs w:val="32"/>
          <w:highlight w:val="none"/>
        </w:rPr>
        <w:t>——高水平人才集聚能力显著提升。</w:t>
      </w:r>
      <w:r>
        <w:rPr>
          <w:rStyle w:val="32"/>
          <w:rFonts w:hint="eastAsia" w:ascii="仿宋_GB2312" w:hAnsi="仿宋" w:eastAsia="仿宋_GB2312" w:cs="仿宋"/>
          <w:bCs/>
          <w:color w:val="auto"/>
          <w:sz w:val="32"/>
          <w:szCs w:val="32"/>
          <w:highlight w:val="none"/>
        </w:rPr>
        <w:t>适应新时代全市经济社会发展，进一步深化人才体制机制改革，</w:t>
      </w:r>
      <w:r>
        <w:rPr>
          <w:rStyle w:val="32"/>
          <w:rFonts w:hint="eastAsia" w:ascii="仿宋_GB2312" w:hAnsi="仿宋" w:eastAsia="仿宋_GB2312" w:cs="仿宋"/>
          <w:bCs/>
          <w:color w:val="auto"/>
          <w:sz w:val="32"/>
          <w:szCs w:val="32"/>
          <w:highlight w:val="none"/>
          <w:lang w:val="en-US" w:eastAsia="zh-CN"/>
        </w:rPr>
        <w:t>采取“引、育、用、留、管”等措施，</w:t>
      </w:r>
      <w:r>
        <w:rPr>
          <w:rStyle w:val="32"/>
          <w:rFonts w:hint="eastAsia" w:ascii="仿宋_GB2312" w:hAnsi="仿宋" w:eastAsia="仿宋_GB2312" w:cs="仿宋"/>
          <w:bCs/>
          <w:color w:val="auto"/>
          <w:sz w:val="32"/>
          <w:szCs w:val="32"/>
          <w:highlight w:val="none"/>
        </w:rPr>
        <w:t>做大做强专业技术人才队伍和技能人才队伍，推动全市人才</w:t>
      </w:r>
      <w:r>
        <w:rPr>
          <w:rStyle w:val="32"/>
          <w:rFonts w:hint="eastAsia" w:ascii="仿宋_GB2312" w:hAnsi="仿宋" w:eastAsia="仿宋_GB2312" w:cs="仿宋"/>
          <w:bCs/>
          <w:color w:val="auto"/>
          <w:sz w:val="32"/>
          <w:szCs w:val="32"/>
          <w:highlight w:val="none"/>
          <w:lang w:val="en-US" w:eastAsia="zh-CN"/>
        </w:rPr>
        <w:t>结构更加优化、梯队更加完善</w:t>
      </w:r>
      <w:r>
        <w:rPr>
          <w:rStyle w:val="32"/>
          <w:rFonts w:hint="eastAsia" w:ascii="仿宋_GB2312" w:hAnsi="仿宋" w:eastAsia="仿宋_GB2312" w:cs="仿宋"/>
          <w:bCs/>
          <w:color w:val="auto"/>
          <w:sz w:val="32"/>
          <w:szCs w:val="32"/>
          <w:highlight w:val="none"/>
        </w:rPr>
        <w:t>。建立完善人才配套政策，优化人才引进机制，完善人才流动支持机制和高层次人才选拔机制，加大高层次人才引进</w:t>
      </w:r>
      <w:r>
        <w:rPr>
          <w:rStyle w:val="32"/>
          <w:rFonts w:hint="eastAsia" w:ascii="仿宋_GB2312" w:hAnsi="仿宋" w:eastAsia="仿宋_GB2312" w:cs="仿宋"/>
          <w:bCs/>
          <w:color w:val="auto"/>
          <w:sz w:val="32"/>
          <w:szCs w:val="32"/>
          <w:highlight w:val="none"/>
          <w:lang w:eastAsia="zh-CN"/>
        </w:rPr>
        <w:t>、</w:t>
      </w:r>
      <w:r>
        <w:rPr>
          <w:rStyle w:val="32"/>
          <w:rFonts w:hint="eastAsia" w:ascii="仿宋_GB2312" w:hAnsi="仿宋" w:eastAsia="仿宋_GB2312" w:cs="仿宋"/>
          <w:bCs/>
          <w:color w:val="auto"/>
          <w:sz w:val="32"/>
          <w:szCs w:val="32"/>
          <w:highlight w:val="none"/>
          <w:lang w:val="en-US" w:eastAsia="zh-CN"/>
        </w:rPr>
        <w:t>培养</w:t>
      </w:r>
      <w:r>
        <w:rPr>
          <w:rStyle w:val="32"/>
          <w:rFonts w:hint="eastAsia" w:ascii="仿宋_GB2312" w:hAnsi="仿宋" w:eastAsia="仿宋_GB2312" w:cs="仿宋"/>
          <w:bCs/>
          <w:color w:val="auto"/>
          <w:sz w:val="32"/>
          <w:szCs w:val="32"/>
          <w:highlight w:val="none"/>
        </w:rPr>
        <w:t>力度。</w:t>
      </w:r>
      <w:r>
        <w:rPr>
          <w:rStyle w:val="32"/>
          <w:rFonts w:hint="eastAsia" w:ascii="仿宋_GB2312" w:eastAsia="仿宋_GB2312" w:cs="仿宋"/>
          <w:color w:val="auto"/>
          <w:sz w:val="32"/>
          <w:szCs w:val="32"/>
          <w:highlight w:val="none"/>
        </w:rPr>
        <w:t>推进高层次人才服务专区建设，夯实人才创新创业平台载体，</w:t>
      </w:r>
      <w:r>
        <w:rPr>
          <w:rStyle w:val="32"/>
          <w:rFonts w:hint="eastAsia" w:ascii="仿宋_GB2312" w:eastAsia="仿宋_GB2312" w:cs="仿宋"/>
          <w:color w:val="auto"/>
          <w:sz w:val="32"/>
          <w:szCs w:val="32"/>
          <w:highlight w:val="none"/>
          <w:lang w:val="en-US" w:eastAsia="zh-CN"/>
        </w:rPr>
        <w:t>构建</w:t>
      </w:r>
      <w:r>
        <w:rPr>
          <w:rStyle w:val="32"/>
          <w:rFonts w:hint="eastAsia" w:ascii="仿宋_GB2312" w:eastAsia="仿宋_GB2312" w:cs="仿宋"/>
          <w:color w:val="auto"/>
          <w:sz w:val="32"/>
          <w:szCs w:val="32"/>
          <w:highlight w:val="none"/>
        </w:rPr>
        <w:t>高层次人才“一站式”服务平台。</w:t>
      </w:r>
      <w:r>
        <w:rPr>
          <w:rStyle w:val="32"/>
          <w:rFonts w:hint="eastAsia" w:ascii="仿宋_GB2312" w:hAnsi="仿宋" w:eastAsia="仿宋_GB2312" w:cs="仿宋"/>
          <w:bCs/>
          <w:color w:val="auto"/>
          <w:sz w:val="32"/>
          <w:szCs w:val="32"/>
          <w:highlight w:val="none"/>
        </w:rPr>
        <w:t>进一步完善人才公共服务体系，</w:t>
      </w:r>
      <w:r>
        <w:rPr>
          <w:rStyle w:val="32"/>
          <w:rFonts w:hint="eastAsia" w:ascii="仿宋_GB2312" w:eastAsia="仿宋_GB2312" w:cs="仿宋"/>
          <w:color w:val="auto"/>
          <w:sz w:val="32"/>
          <w:szCs w:val="32"/>
          <w:highlight w:val="none"/>
        </w:rPr>
        <w:t>持续优化</w:t>
      </w:r>
      <w:r>
        <w:rPr>
          <w:rStyle w:val="32"/>
          <w:rFonts w:hint="eastAsia" w:ascii="仿宋_GB2312" w:hAnsi="仿宋" w:eastAsia="仿宋_GB2312" w:cs="仿宋"/>
          <w:bCs/>
          <w:color w:val="auto"/>
          <w:sz w:val="32"/>
          <w:szCs w:val="32"/>
          <w:highlight w:val="none"/>
        </w:rPr>
        <w:t>人才环境。“十四五”期末，</w:t>
      </w:r>
      <w:r>
        <w:rPr>
          <w:rStyle w:val="32"/>
          <w:rFonts w:hint="eastAsia" w:ascii="仿宋_GB2312" w:eastAsia="仿宋_GB2312" w:cs="仿宋"/>
          <w:color w:val="auto"/>
          <w:sz w:val="32"/>
          <w:szCs w:val="32"/>
          <w:highlight w:val="none"/>
        </w:rPr>
        <w:t>全市专业技术人才总量达</w:t>
      </w:r>
      <w:r>
        <w:rPr>
          <w:rStyle w:val="32"/>
          <w:rFonts w:hint="eastAsia" w:ascii="仿宋_GB2312" w:eastAsia="仿宋_GB2312" w:cs="仿宋"/>
          <w:color w:val="auto"/>
          <w:sz w:val="32"/>
          <w:szCs w:val="32"/>
          <w:highlight w:val="none"/>
          <w:lang w:val="en-US" w:eastAsia="zh-CN"/>
        </w:rPr>
        <w:t>到</w:t>
      </w:r>
      <w:r>
        <w:rPr>
          <w:rStyle w:val="32"/>
          <w:rFonts w:hint="eastAsia" w:ascii="仿宋_GB2312" w:eastAsia="仿宋_GB2312" w:cs="仿宋"/>
          <w:color w:val="auto"/>
          <w:sz w:val="32"/>
          <w:szCs w:val="32"/>
          <w:highlight w:val="none"/>
        </w:rPr>
        <w:t>12万。</w:t>
      </w:r>
      <w:r>
        <w:rPr>
          <w:rFonts w:hint="eastAsia" w:ascii="仿宋_GB2312" w:hAnsi="仿宋_GB2312" w:eastAsia="仿宋_GB2312" w:cs="仿宋_GB2312"/>
          <w:color w:val="auto"/>
          <w:sz w:val="32"/>
          <w:szCs w:val="32"/>
          <w:highlight w:val="none"/>
        </w:rPr>
        <w:t>技能人才达</w:t>
      </w:r>
      <w:r>
        <w:rPr>
          <w:rFonts w:hint="eastAsia" w:ascii="仿宋_GB2312" w:hAnsi="仿宋_GB2312" w:eastAsia="仿宋_GB2312" w:cs="仿宋_GB2312"/>
          <w:color w:val="auto"/>
          <w:sz w:val="32"/>
          <w:szCs w:val="32"/>
          <w:highlight w:val="none"/>
          <w:lang w:val="en-US" w:eastAsia="zh-CN"/>
        </w:rPr>
        <w:t>到</w:t>
      </w:r>
      <w:r>
        <w:rPr>
          <w:rFonts w:hint="eastAsia" w:ascii="仿宋_GB2312" w:hAnsi="仿宋_GB2312" w:eastAsia="仿宋_GB2312" w:cs="仿宋_GB2312"/>
          <w:color w:val="auto"/>
          <w:sz w:val="32"/>
          <w:szCs w:val="32"/>
          <w:highlight w:val="none"/>
        </w:rPr>
        <w:t>42万人，其中高技能人才达到9.3万人，占技能人才</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22%以上</w:t>
      </w:r>
      <w:r>
        <w:rPr>
          <w:rStyle w:val="32"/>
          <w:rFonts w:hint="eastAsia" w:ascii="仿宋_GB2312" w:eastAsia="仿宋_GB2312" w:cs="仿宋"/>
          <w:color w:val="auto"/>
          <w:sz w:val="32"/>
          <w:szCs w:val="32"/>
          <w:highlight w:val="none"/>
        </w:rPr>
        <w:t>。</w:t>
      </w:r>
      <w:r>
        <w:rPr>
          <w:rStyle w:val="32"/>
          <w:rFonts w:hint="eastAsia" w:ascii="仿宋_GB2312" w:eastAsia="仿宋_GB2312" w:cs="仿宋"/>
          <w:bCs/>
          <w:color w:val="auto"/>
          <w:sz w:val="32"/>
          <w:szCs w:val="32"/>
          <w:highlight w:val="none"/>
        </w:rPr>
        <w:t>新建博士后科研工作站</w:t>
      </w:r>
      <w:r>
        <w:rPr>
          <w:rStyle w:val="32"/>
          <w:rFonts w:hint="eastAsia" w:ascii="仿宋_GB2312" w:eastAsia="仿宋_GB2312" w:cs="仿宋"/>
          <w:bCs/>
          <w:color w:val="auto"/>
          <w:sz w:val="32"/>
          <w:szCs w:val="32"/>
          <w:highlight w:val="none"/>
          <w:lang w:eastAsia="zh-CN"/>
        </w:rPr>
        <w:t>２</w:t>
      </w:r>
      <w:r>
        <w:rPr>
          <w:rStyle w:val="32"/>
          <w:rFonts w:hint="eastAsia" w:ascii="仿宋_GB2312" w:eastAsia="仿宋_GB2312" w:cs="仿宋"/>
          <w:bCs/>
          <w:color w:val="auto"/>
          <w:sz w:val="32"/>
          <w:szCs w:val="32"/>
          <w:highlight w:val="none"/>
        </w:rPr>
        <w:t>家以上、博士工作站</w:t>
      </w:r>
      <w:r>
        <w:rPr>
          <w:rStyle w:val="32"/>
          <w:rFonts w:hint="eastAsia" w:ascii="仿宋_GB2312" w:eastAsia="仿宋_GB2312" w:cs="仿宋"/>
          <w:bCs/>
          <w:color w:val="auto"/>
          <w:sz w:val="32"/>
          <w:szCs w:val="32"/>
          <w:highlight w:val="none"/>
          <w:lang w:eastAsia="zh-CN"/>
        </w:rPr>
        <w:t>３</w:t>
      </w:r>
      <w:r>
        <w:rPr>
          <w:rStyle w:val="32"/>
          <w:rFonts w:hint="eastAsia" w:ascii="仿宋_GB2312" w:eastAsia="仿宋_GB2312" w:cs="仿宋"/>
          <w:bCs/>
          <w:color w:val="auto"/>
          <w:sz w:val="32"/>
          <w:szCs w:val="32"/>
          <w:highlight w:val="none"/>
        </w:rPr>
        <w:t>家以上、博士后创新实践基地</w:t>
      </w:r>
      <w:r>
        <w:rPr>
          <w:rStyle w:val="32"/>
          <w:rFonts w:hint="eastAsia" w:ascii="仿宋_GB2312" w:eastAsia="仿宋_GB2312" w:cs="仿宋"/>
          <w:bCs/>
          <w:color w:val="auto"/>
          <w:sz w:val="32"/>
          <w:szCs w:val="32"/>
          <w:highlight w:val="none"/>
          <w:lang w:eastAsia="zh-CN"/>
        </w:rPr>
        <w:t>３</w:t>
      </w:r>
      <w:r>
        <w:rPr>
          <w:rStyle w:val="32"/>
          <w:rFonts w:hint="eastAsia" w:ascii="仿宋_GB2312" w:eastAsia="仿宋_GB2312" w:cs="仿宋"/>
          <w:bCs/>
          <w:color w:val="auto"/>
          <w:sz w:val="32"/>
          <w:szCs w:val="32"/>
          <w:highlight w:val="none"/>
        </w:rPr>
        <w:t>家以上。</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outlineLvl w:val="9"/>
        <w:rPr>
          <w:rFonts w:ascii="仿宋_GB2312" w:hAnsi="仿宋_GB2312" w:eastAsia="仿宋_GB2312" w:cs="仿宋_GB2312"/>
          <w:color w:val="auto"/>
          <w:sz w:val="32"/>
          <w:szCs w:val="32"/>
          <w:highlight w:val="none"/>
        </w:rPr>
      </w:pPr>
      <w:r>
        <w:rPr>
          <w:rStyle w:val="32"/>
          <w:rFonts w:hint="eastAsia" w:ascii="仿宋_GB2312" w:eastAsia="仿宋_GB2312" w:cs="仿宋"/>
          <w:b/>
          <w:bCs/>
          <w:color w:val="auto"/>
          <w:sz w:val="32"/>
          <w:szCs w:val="32"/>
          <w:highlight w:val="none"/>
        </w:rPr>
        <w:t>——技工教育发展迈向新台阶。</w:t>
      </w:r>
      <w:r>
        <w:rPr>
          <w:rStyle w:val="32"/>
          <w:rFonts w:hint="eastAsia" w:ascii="仿宋_GB2312" w:eastAsia="仿宋_GB2312" w:cs="仿宋"/>
          <w:bCs/>
          <w:color w:val="auto"/>
          <w:sz w:val="32"/>
          <w:szCs w:val="32"/>
          <w:highlight w:val="none"/>
        </w:rPr>
        <w:t>推进全市技工院校战略性布局调整，促进专业设置与我市产业发展结合更加紧密，与现代产业规划布局更加匹配，产教融合、校企合作层次和水平显著提升。大力推进汕尾市高级技工学校二期项目建设，</w:t>
      </w:r>
      <w:r>
        <w:rPr>
          <w:rFonts w:hint="eastAsia" w:ascii="仿宋_GB2312" w:hAnsi="仿宋_GB2312" w:eastAsia="仿宋_GB2312" w:cs="仿宋_GB2312"/>
          <w:color w:val="auto"/>
          <w:sz w:val="32"/>
          <w:szCs w:val="32"/>
          <w:highlight w:val="none"/>
        </w:rPr>
        <w:t>到2021年把汕尾市高级技工学校申报创建成为汕尾技师学院。2022年把陆丰市技工学校建成陆丰市高级技工学校。在海丰县和陆河县各新建1所技工学校，缩小地区技工教育差距。到2025年，全市技工院校办学规模达到25000人左右，年培训规模达到20000人次以上。</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outlineLvl w:val="9"/>
        <w:rPr>
          <w:rStyle w:val="32"/>
          <w:rFonts w:ascii="仿宋_GB2312" w:eastAsia="仿宋_GB2312" w:cs="仿宋"/>
          <w:bCs/>
          <w:color w:val="auto"/>
          <w:sz w:val="32"/>
          <w:szCs w:val="32"/>
          <w:highlight w:val="none"/>
        </w:rPr>
      </w:pPr>
      <w:r>
        <w:rPr>
          <w:rStyle w:val="32"/>
          <w:rFonts w:hint="eastAsia" w:ascii="仿宋_GB2312" w:hAnsi="仿宋" w:eastAsia="仿宋_GB2312" w:cs="仿宋"/>
          <w:b/>
          <w:color w:val="auto"/>
          <w:sz w:val="32"/>
          <w:szCs w:val="32"/>
          <w:highlight w:val="none"/>
        </w:rPr>
        <w:t>——事业单位人事管理体制机制更加科学高效、规范有序。</w:t>
      </w:r>
      <w:r>
        <w:rPr>
          <w:rStyle w:val="32"/>
          <w:rFonts w:hint="eastAsia" w:ascii="仿宋_GB2312" w:eastAsia="仿宋_GB2312" w:cs="仿宋"/>
          <w:bCs/>
          <w:color w:val="auto"/>
          <w:sz w:val="32"/>
          <w:szCs w:val="32"/>
          <w:highlight w:val="none"/>
        </w:rPr>
        <w:t>突出加强党的全面领导、强化公益属性，加快建立政事分开、事企分开、管办分离的事业单位人事管理体制机制，用人机制更加灵活高效，激励机制更加科学有效，人才流动更加合理有序，促进形成广纳英才、人尽其才、才尽其用、充满活力的事业单位人事管理制度。</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outlineLvl w:val="9"/>
        <w:rPr>
          <w:rStyle w:val="32"/>
          <w:rFonts w:ascii="仿宋_GB2312" w:eastAsia="仿宋_GB2312" w:cs="仿宋"/>
          <w:bCs/>
          <w:color w:val="auto"/>
          <w:sz w:val="32"/>
          <w:szCs w:val="32"/>
          <w:highlight w:val="none"/>
        </w:rPr>
      </w:pPr>
      <w:r>
        <w:rPr>
          <w:rStyle w:val="32"/>
          <w:rFonts w:hint="eastAsia" w:ascii="仿宋_GB2312" w:hAnsi="仿宋" w:eastAsia="仿宋_GB2312" w:cs="仿宋"/>
          <w:b/>
          <w:color w:val="auto"/>
          <w:sz w:val="32"/>
          <w:szCs w:val="32"/>
          <w:highlight w:val="none"/>
        </w:rPr>
        <w:t>——劳动关系更加和谐稳定。</w:t>
      </w:r>
      <w:r>
        <w:rPr>
          <w:rStyle w:val="32"/>
          <w:rFonts w:hint="eastAsia" w:ascii="仿宋_GB2312" w:hAnsi="仿宋" w:eastAsia="仿宋_GB2312" w:cs="仿宋"/>
          <w:color w:val="auto"/>
          <w:sz w:val="32"/>
          <w:szCs w:val="32"/>
          <w:highlight w:val="none"/>
        </w:rPr>
        <w:t>工资收入分配秩序更加规范，劳动关系协调机制和矛盾调处机制更加健全，劳动人事争议调解仲裁体制机制更加完善，劳动保障监察治理效能不断提升，劳资纠纷风险得到有效控制，</w:t>
      </w:r>
      <w:r>
        <w:rPr>
          <w:rStyle w:val="32"/>
          <w:rFonts w:hint="eastAsia" w:ascii="仿宋_GB2312" w:hAnsi="仿宋" w:eastAsia="仿宋_GB2312" w:cs="仿宋"/>
          <w:bCs/>
          <w:color w:val="auto"/>
          <w:sz w:val="32"/>
          <w:szCs w:val="32"/>
          <w:highlight w:val="none"/>
        </w:rPr>
        <w:t>形成劳动者体面劳动、全面发展良好局面。</w:t>
      </w:r>
      <w:r>
        <w:rPr>
          <w:rStyle w:val="32"/>
          <w:rFonts w:hint="eastAsia" w:ascii="仿宋_GB2312" w:hAnsi="仿宋" w:eastAsia="仿宋_GB2312" w:cs="仿宋"/>
          <w:color w:val="auto"/>
          <w:sz w:val="32"/>
          <w:szCs w:val="32"/>
          <w:highlight w:val="none"/>
        </w:rPr>
        <w:t>“十四五”期末，</w:t>
      </w:r>
      <w:r>
        <w:rPr>
          <w:rStyle w:val="32"/>
          <w:rFonts w:hint="eastAsia" w:ascii="仿宋_GB2312" w:eastAsia="仿宋_GB2312" w:cs="仿宋"/>
          <w:color w:val="auto"/>
          <w:sz w:val="32"/>
          <w:szCs w:val="32"/>
          <w:highlight w:val="none"/>
        </w:rPr>
        <w:t>劳动人事争议调解成功率保持60%以上，劳动人事争议仲裁结案率保持90%以上，劳动保障监察举报投诉案件结案率达到96%以上</w:t>
      </w:r>
      <w:r>
        <w:rPr>
          <w:rStyle w:val="32"/>
          <w:rFonts w:hint="eastAsia" w:ascii="仿宋_GB2312" w:hAnsi="仿宋" w:eastAsia="仿宋_GB2312"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outlineLvl w:val="9"/>
        <w:rPr>
          <w:rStyle w:val="32"/>
          <w:rFonts w:ascii="仿宋_GB2312" w:eastAsia="仿宋_GB2312" w:cs="仿宋"/>
          <w:bCs/>
          <w:color w:val="auto"/>
          <w:sz w:val="32"/>
          <w:szCs w:val="32"/>
          <w:highlight w:val="none"/>
        </w:rPr>
      </w:pPr>
      <w:r>
        <w:rPr>
          <w:rStyle w:val="32"/>
          <w:rFonts w:hint="eastAsia" w:ascii="仿宋_GB2312" w:hAnsi="仿宋" w:eastAsia="仿宋_GB2312" w:cs="仿宋"/>
          <w:b/>
          <w:color w:val="auto"/>
          <w:sz w:val="32"/>
          <w:szCs w:val="32"/>
          <w:highlight w:val="none"/>
        </w:rPr>
        <w:t>——公共服务能力明显提升。</w:t>
      </w:r>
      <w:r>
        <w:rPr>
          <w:rStyle w:val="32"/>
          <w:rFonts w:hint="eastAsia" w:ascii="仿宋_GB2312" w:hAnsi="仿宋" w:eastAsia="仿宋_GB2312" w:cs="仿宋"/>
          <w:color w:val="auto"/>
          <w:sz w:val="32"/>
          <w:szCs w:val="32"/>
          <w:highlight w:val="none"/>
        </w:rPr>
        <w:t>推进人力资源服务平台建设。建成市级人力资源服务产业园5个，省级家政服务培训示范基地2个。建成家政服务产业园1个，市级家政服务培训示范基地8个。建立5家创新创业孵化基地，建成汕尾市港澳青年创新创业基地。建成“粤菜师傅美食一条街”，打造“粤菜师傅”培养示范基地、产业促进平台、工程交流合作平台和综合服务平台为一体的“粤菜师傅一基地三平台”。打造一流人社政务服务环境，人社基本公共服务标准化、信息化、便利化取得重要进展，群众满意度不断提升，</w:t>
      </w:r>
      <w:r>
        <w:rPr>
          <w:rStyle w:val="32"/>
          <w:rFonts w:hint="eastAsia" w:ascii="仿宋_GB2312" w:hAnsi="仿宋" w:eastAsia="仿宋_GB2312" w:cs="仿宋"/>
          <w:color w:val="auto"/>
          <w:sz w:val="32"/>
          <w:szCs w:val="32"/>
          <w:highlight w:val="none"/>
          <w:lang w:val="en-US" w:eastAsia="zh-CN"/>
        </w:rPr>
        <w:t>数字人社</w:t>
      </w:r>
      <w:r>
        <w:rPr>
          <w:rStyle w:val="32"/>
          <w:rFonts w:hint="eastAsia" w:ascii="仿宋_GB2312" w:hAnsi="仿宋" w:eastAsia="仿宋_GB2312" w:cs="仿宋"/>
          <w:color w:val="auto"/>
          <w:sz w:val="32"/>
          <w:szCs w:val="32"/>
          <w:highlight w:val="none"/>
        </w:rPr>
        <w:t>建设加快推进，</w:t>
      </w:r>
      <w:r>
        <w:rPr>
          <w:rStyle w:val="32"/>
          <w:rFonts w:hint="eastAsia" w:ascii="仿宋_GB2312" w:hAnsi="仿宋" w:eastAsia="仿宋_GB2312" w:cs="仿宋"/>
          <w:color w:val="auto"/>
          <w:sz w:val="32"/>
          <w:szCs w:val="32"/>
          <w:highlight w:val="none"/>
          <w:lang w:val="en-US" w:eastAsia="zh-CN"/>
        </w:rPr>
        <w:t>推进以社保卡为载体的居民服务</w:t>
      </w:r>
      <w:r>
        <w:rPr>
          <w:rStyle w:val="32"/>
          <w:rFonts w:hint="eastAsia" w:ascii="仿宋_GB2312" w:hAnsi="仿宋" w:eastAsia="仿宋_GB2312" w:cs="仿宋"/>
          <w:color w:val="auto"/>
          <w:sz w:val="32"/>
          <w:szCs w:val="32"/>
          <w:highlight w:val="none"/>
        </w:rPr>
        <w:t>“一卡通”。全市社会保障卡持卡人数</w:t>
      </w:r>
      <w:r>
        <w:rPr>
          <w:rStyle w:val="32"/>
          <w:rFonts w:hint="eastAsia" w:ascii="仿宋_GB2312" w:hAnsi="仿宋" w:eastAsia="仿宋_GB2312" w:cs="仿宋"/>
          <w:color w:val="auto"/>
          <w:sz w:val="32"/>
          <w:szCs w:val="32"/>
          <w:highlight w:val="none"/>
          <w:lang w:val="en-US" w:eastAsia="zh-CN"/>
        </w:rPr>
        <w:t>268</w:t>
      </w:r>
      <w:r>
        <w:rPr>
          <w:rStyle w:val="32"/>
          <w:rFonts w:hint="eastAsia" w:ascii="仿宋_GB2312" w:hAnsi="仿宋" w:eastAsia="仿宋_GB2312" w:cs="仿宋"/>
          <w:color w:val="auto"/>
          <w:sz w:val="32"/>
          <w:szCs w:val="32"/>
          <w:highlight w:val="none"/>
        </w:rPr>
        <w:t>万人，常住人口持卡率达到</w:t>
      </w:r>
      <w:r>
        <w:rPr>
          <w:rStyle w:val="32"/>
          <w:rFonts w:hint="eastAsia" w:ascii="仿宋_GB2312" w:hAnsi="仿宋" w:eastAsia="仿宋_GB2312" w:cs="仿宋"/>
          <w:color w:val="auto"/>
          <w:sz w:val="32"/>
          <w:szCs w:val="32"/>
          <w:highlight w:val="none"/>
          <w:lang w:val="en-US" w:eastAsia="zh-CN"/>
        </w:rPr>
        <w:t>98</w:t>
      </w:r>
      <w:r>
        <w:rPr>
          <w:rStyle w:val="32"/>
          <w:rFonts w:hint="eastAsia" w:ascii="仿宋_GB2312" w:hAnsi="仿宋" w:eastAsia="仿宋_GB2312" w:cs="仿宋"/>
          <w:color w:val="auto"/>
          <w:sz w:val="32"/>
          <w:szCs w:val="32"/>
          <w:highlight w:val="none"/>
        </w:rPr>
        <w:t>%，常住人口申领电子社保卡人口覆盖率达到75%。</w:t>
      </w:r>
    </w:p>
    <w:p>
      <w:pPr>
        <w:pStyle w:val="9"/>
        <w:keepNext w:val="0"/>
        <w:keepLines w:val="0"/>
        <w:pageBreakBefore w:val="0"/>
        <w:widowControl w:val="0"/>
        <w:kinsoku/>
        <w:wordWrap/>
        <w:overflowPunct/>
        <w:topLinePunct w:val="0"/>
        <w:autoSpaceDE/>
        <w:autoSpaceDN/>
        <w:bidi w:val="0"/>
        <w:snapToGrid w:val="0"/>
        <w:spacing w:line="600" w:lineRule="exact"/>
        <w:textAlignment w:val="auto"/>
        <w:outlineLvl w:val="9"/>
        <w:rPr>
          <w:rStyle w:val="32"/>
          <w:rFonts w:ascii="仿宋_GB2312" w:eastAsia="仿宋_GB2312" w:cs="仿宋"/>
          <w:bCs/>
          <w:color w:val="auto"/>
          <w:sz w:val="32"/>
          <w:szCs w:val="32"/>
          <w:highlight w:val="none"/>
        </w:rPr>
      </w:pPr>
    </w:p>
    <w:p>
      <w:pPr>
        <w:pStyle w:val="6"/>
        <w:rPr>
          <w:rStyle w:val="32"/>
          <w:rFonts w:ascii="仿宋_GB2312" w:eastAsia="仿宋_GB2312" w:cs="仿宋"/>
          <w:bCs/>
          <w:color w:val="auto"/>
          <w:sz w:val="32"/>
          <w:szCs w:val="32"/>
          <w:highlight w:val="none"/>
        </w:rPr>
      </w:pPr>
    </w:p>
    <w:p/>
    <w:p>
      <w:pPr>
        <w:pStyle w:val="6"/>
        <w:rPr>
          <w:rStyle w:val="32"/>
          <w:rFonts w:ascii="仿宋_GB2312" w:eastAsia="仿宋_GB2312" w:cs="仿宋"/>
          <w:bCs/>
          <w:color w:val="auto"/>
          <w:sz w:val="32"/>
          <w:szCs w:val="32"/>
          <w:highlight w:val="none"/>
        </w:rPr>
      </w:pPr>
    </w:p>
    <w:p>
      <w:pPr>
        <w:rPr>
          <w:rStyle w:val="32"/>
          <w:rFonts w:ascii="仿宋_GB2312" w:eastAsia="仿宋_GB2312" w:cs="仿宋"/>
          <w:bCs/>
          <w:color w:val="auto"/>
          <w:sz w:val="32"/>
          <w:szCs w:val="32"/>
          <w:highlight w:val="none"/>
        </w:rPr>
      </w:pPr>
    </w:p>
    <w:p>
      <w:pPr>
        <w:pStyle w:val="8"/>
        <w:rPr>
          <w:rStyle w:val="32"/>
          <w:rFonts w:ascii="仿宋_GB2312" w:eastAsia="仿宋_GB2312" w:cs="仿宋"/>
          <w:bCs/>
          <w:color w:val="auto"/>
          <w:sz w:val="32"/>
          <w:szCs w:val="32"/>
          <w:highlight w:val="none"/>
        </w:rPr>
      </w:pPr>
    </w:p>
    <w:p>
      <w:pPr>
        <w:pStyle w:val="8"/>
        <w:rPr>
          <w:color w:val="auto"/>
          <w:highlight w:val="none"/>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169"/>
        <w:gridCol w:w="964"/>
        <w:gridCol w:w="1513"/>
        <w:gridCol w:w="1378"/>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856" w:type="dxa"/>
            <w:gridSpan w:val="6"/>
            <w:tcBorders>
              <w:bottom w:val="single" w:color="auto" w:sz="4" w:space="0"/>
            </w:tcBorders>
            <w:shd w:val="clear" w:color="auto" w:fill="DBE5F1"/>
            <w:vAlign w:val="center"/>
          </w:tcPr>
          <w:p>
            <w:pPr>
              <w:adjustRightInd w:val="0"/>
              <w:snapToGrid w:val="0"/>
              <w:spacing w:before="120" w:beforeLines="50" w:line="360" w:lineRule="auto"/>
              <w:jc w:val="center"/>
              <w:rPr>
                <w:rFonts w:ascii="楷体_GB2312" w:hAnsi="宋体" w:eastAsia="楷体_GB2312" w:cs="宋体"/>
                <w:b/>
                <w:color w:val="auto"/>
                <w:highlight w:val="none"/>
                <w:lang w:bidi="zh-TW"/>
              </w:rPr>
            </w:pPr>
            <w:r>
              <w:rPr>
                <w:rFonts w:hint="eastAsia" w:ascii="楷体_GB2312" w:hAnsi="宋体" w:eastAsia="楷体_GB2312" w:cs="宋体"/>
                <w:b/>
                <w:color w:val="auto"/>
                <w:sz w:val="32"/>
                <w:szCs w:val="32"/>
                <w:highlight w:val="none"/>
                <w:lang w:bidi="zh-TW"/>
              </w:rPr>
              <w:t>专栏2  汕尾市</w:t>
            </w:r>
            <w:r>
              <w:rPr>
                <w:rFonts w:ascii="楷体_GB2312" w:hAnsi="宋体" w:eastAsia="楷体_GB2312" w:cs="宋体"/>
                <w:b/>
                <w:color w:val="auto"/>
                <w:sz w:val="32"/>
                <w:szCs w:val="32"/>
                <w:highlight w:val="none"/>
                <w:lang w:bidi="zh-TW"/>
              </w:rPr>
              <w:t>人社“十</w:t>
            </w:r>
            <w:r>
              <w:rPr>
                <w:rFonts w:hint="eastAsia" w:ascii="楷体_GB2312" w:hAnsi="宋体" w:eastAsia="楷体_GB2312" w:cs="宋体"/>
                <w:b/>
                <w:color w:val="auto"/>
                <w:sz w:val="32"/>
                <w:szCs w:val="32"/>
                <w:highlight w:val="none"/>
                <w:lang w:bidi="zh-TW"/>
              </w:rPr>
              <w:t>四</w:t>
            </w:r>
            <w:r>
              <w:rPr>
                <w:rFonts w:ascii="楷体_GB2312" w:hAnsi="宋体" w:eastAsia="楷体_GB2312" w:cs="宋体"/>
                <w:b/>
                <w:color w:val="auto"/>
                <w:sz w:val="32"/>
                <w:szCs w:val="32"/>
                <w:highlight w:val="none"/>
                <w:lang w:bidi="zh-TW"/>
              </w:rPr>
              <w:t>五”时期主要指标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楷体_GB2312" w:hAnsi="宋体" w:eastAsia="楷体_GB2312" w:cs="宋体"/>
                <w:color w:val="auto"/>
                <w:sz w:val="28"/>
                <w:szCs w:val="28"/>
                <w:highlight w:val="none"/>
                <w:lang w:bidi="zh-TW"/>
              </w:rPr>
            </w:pPr>
            <w:r>
              <w:rPr>
                <w:rFonts w:ascii="Times New Roman" w:hAnsi="Times New Roman" w:eastAsia="黑体"/>
                <w:color w:val="auto"/>
                <w:szCs w:val="21"/>
                <w:highlight w:val="none"/>
              </w:rPr>
              <w:t>序号</w:t>
            </w:r>
          </w:p>
        </w:tc>
        <w:tc>
          <w:tcPr>
            <w:tcW w:w="3169" w:type="dxa"/>
            <w:shd w:val="clear" w:color="auto" w:fill="C6D9F0"/>
            <w:vAlign w:val="center"/>
          </w:tcPr>
          <w:p>
            <w:pPr>
              <w:adjustRightInd w:val="0"/>
              <w:snapToGrid w:val="0"/>
              <w:spacing w:before="120" w:beforeLines="50" w:line="360" w:lineRule="auto"/>
              <w:jc w:val="center"/>
              <w:rPr>
                <w:rFonts w:ascii="Times New Roman" w:hAnsi="Times New Roman" w:eastAsia="黑体"/>
                <w:color w:val="auto"/>
                <w:szCs w:val="21"/>
                <w:highlight w:val="none"/>
              </w:rPr>
            </w:pPr>
            <w:r>
              <w:rPr>
                <w:rFonts w:ascii="Times New Roman" w:hAnsi="Times New Roman" w:eastAsia="黑体"/>
                <w:color w:val="auto"/>
                <w:szCs w:val="21"/>
                <w:highlight w:val="none"/>
              </w:rPr>
              <w:t>指标</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黑体"/>
                <w:color w:val="auto"/>
                <w:szCs w:val="21"/>
                <w:highlight w:val="none"/>
              </w:rPr>
            </w:pPr>
            <w:r>
              <w:rPr>
                <w:rFonts w:ascii="Times New Roman" w:hAnsi="Times New Roman" w:eastAsia="黑体"/>
                <w:color w:val="auto"/>
                <w:szCs w:val="21"/>
                <w:highlight w:val="none"/>
              </w:rPr>
              <w:t>单位</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黑体"/>
                <w:color w:val="auto"/>
                <w:szCs w:val="21"/>
                <w:highlight w:val="none"/>
              </w:rPr>
            </w:pPr>
            <w:r>
              <w:rPr>
                <w:rFonts w:hint="eastAsia" w:ascii="Times New Roman" w:hAnsi="Times New Roman" w:eastAsia="黑体"/>
                <w:color w:val="auto"/>
                <w:szCs w:val="21"/>
                <w:highlight w:val="none"/>
              </w:rPr>
              <w:t>2020年基数</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黑体"/>
                <w:color w:val="auto"/>
                <w:szCs w:val="21"/>
                <w:highlight w:val="none"/>
              </w:rPr>
            </w:pPr>
            <w:r>
              <w:rPr>
                <w:rFonts w:hint="eastAsia" w:ascii="Times New Roman" w:hAnsi="Times New Roman" w:eastAsia="黑体"/>
                <w:color w:val="auto"/>
                <w:szCs w:val="21"/>
                <w:highlight w:val="none"/>
              </w:rPr>
              <w:t>2025年目标</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黑体"/>
                <w:color w:val="auto"/>
                <w:szCs w:val="21"/>
                <w:highlight w:val="none"/>
              </w:rPr>
            </w:pPr>
            <w:r>
              <w:rPr>
                <w:rFonts w:hint="eastAsia" w:ascii="Times New Roman" w:hAnsi="Times New Roman" w:eastAsia="黑体"/>
                <w:color w:val="auto"/>
                <w:szCs w:val="21"/>
                <w:highlight w:val="none"/>
              </w:rPr>
              <w:t>指标</w:t>
            </w:r>
            <w:r>
              <w:rPr>
                <w:rFonts w:ascii="Times New Roman" w:hAnsi="Times New Roman" w:eastAsia="黑体"/>
                <w:color w:val="auto"/>
                <w:szCs w:val="21"/>
                <w:highlight w:val="none"/>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856" w:type="dxa"/>
            <w:gridSpan w:val="6"/>
            <w:shd w:val="clear" w:color="auto" w:fill="C6D9F0"/>
            <w:vAlign w:val="center"/>
          </w:tcPr>
          <w:p>
            <w:pPr>
              <w:adjustRightInd w:val="0"/>
              <w:snapToGrid w:val="0"/>
              <w:spacing w:before="120" w:beforeLines="50" w:line="360" w:lineRule="auto"/>
              <w:jc w:val="left"/>
              <w:rPr>
                <w:rFonts w:ascii="Times New Roman" w:hAnsi="Times New Roman" w:eastAsia="黑体"/>
                <w:color w:val="auto"/>
                <w:szCs w:val="21"/>
                <w:highlight w:val="none"/>
              </w:rPr>
            </w:pPr>
            <w:r>
              <w:rPr>
                <w:rFonts w:hint="eastAsia" w:ascii="Times New Roman" w:hAnsi="Times New Roman" w:eastAsia="黑体"/>
                <w:color w:val="auto"/>
                <w:szCs w:val="21"/>
                <w:highlight w:val="none"/>
              </w:rPr>
              <w:t>一、就业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城镇新增就业人数</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万人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[25]</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[17.5]</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城镇登记失业率</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2.33</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856" w:type="dxa"/>
            <w:gridSpan w:val="6"/>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hint="eastAsia" w:ascii="黑体" w:hAnsi="黑体" w:eastAsia="黑体" w:cs="黑体"/>
                <w:color w:val="auto"/>
                <w:szCs w:val="21"/>
                <w:highlight w:val="none"/>
              </w:rPr>
              <w:t>二、社会保险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基本养老保险参保</w:t>
            </w:r>
            <w:r>
              <w:rPr>
                <w:rFonts w:hint="eastAsia" w:ascii="Times New Roman" w:hAnsi="Times New Roman" w:eastAsia="宋体"/>
                <w:color w:val="auto"/>
                <w:szCs w:val="21"/>
                <w:highlight w:val="none"/>
              </w:rPr>
              <w:t>率</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91</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95</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4</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城镇职工基本养老保险参保人数</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万</w:t>
            </w:r>
            <w:r>
              <w:rPr>
                <w:rFonts w:ascii="Times New Roman" w:hAnsi="Times New Roman" w:eastAsia="宋体"/>
                <w:color w:val="auto"/>
                <w:szCs w:val="21"/>
                <w:highlight w:val="none"/>
              </w:rPr>
              <w:t>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31.22</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35</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5</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城乡居民</w:t>
            </w:r>
            <w:r>
              <w:rPr>
                <w:rFonts w:hint="eastAsia" w:ascii="Times New Roman" w:hAnsi="Times New Roman" w:eastAsia="宋体"/>
                <w:color w:val="auto"/>
                <w:szCs w:val="21"/>
                <w:highlight w:val="none"/>
              </w:rPr>
              <w:t>基本</w:t>
            </w:r>
            <w:r>
              <w:rPr>
                <w:rFonts w:ascii="Times New Roman" w:hAnsi="Times New Roman" w:eastAsia="宋体"/>
                <w:color w:val="auto"/>
                <w:szCs w:val="21"/>
                <w:highlight w:val="none"/>
              </w:rPr>
              <w:t>养老保险参保人数</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万</w:t>
            </w:r>
            <w:r>
              <w:rPr>
                <w:rFonts w:ascii="Times New Roman" w:hAnsi="Times New Roman" w:eastAsia="宋体"/>
                <w:color w:val="auto"/>
                <w:szCs w:val="21"/>
                <w:highlight w:val="none"/>
              </w:rPr>
              <w:t>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98.21</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112</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6</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失业保险参保人数</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万</w:t>
            </w:r>
            <w:r>
              <w:rPr>
                <w:rFonts w:ascii="Times New Roman" w:hAnsi="Times New Roman" w:eastAsia="宋体"/>
                <w:color w:val="auto"/>
                <w:szCs w:val="21"/>
                <w:highlight w:val="none"/>
              </w:rPr>
              <w:t>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12.33</w:t>
            </w:r>
          </w:p>
        </w:tc>
        <w:tc>
          <w:tcPr>
            <w:tcW w:w="1378" w:type="dxa"/>
            <w:shd w:val="clear" w:color="auto" w:fill="C6D9F0"/>
            <w:vAlign w:val="center"/>
          </w:tcPr>
          <w:p>
            <w:pPr>
              <w:adjustRightInd w:val="0"/>
              <w:snapToGrid w:val="0"/>
              <w:spacing w:before="120" w:beforeLines="50" w:line="360" w:lineRule="auto"/>
              <w:jc w:val="center"/>
              <w:rPr>
                <w:rFonts w:hint="default" w:ascii="Times New Roman" w:hAnsi="Times New Roman" w:eastAsia="宋体"/>
                <w:color w:val="auto"/>
                <w:szCs w:val="21"/>
                <w:highlight w:val="none"/>
                <w:lang w:val="en-US" w:eastAsia="zh-CN"/>
              </w:rPr>
            </w:pPr>
            <w:r>
              <w:rPr>
                <w:rFonts w:hint="eastAsia" w:ascii="Times New Roman" w:hAnsi="Times New Roman" w:eastAsia="宋体"/>
                <w:color w:val="auto"/>
                <w:szCs w:val="21"/>
                <w:highlight w:val="none"/>
                <w:lang w:val="en-US" w:eastAsia="zh-CN"/>
              </w:rPr>
              <w:t>14</w:t>
            </w:r>
          </w:p>
        </w:tc>
        <w:tc>
          <w:tcPr>
            <w:tcW w:w="1112" w:type="dxa"/>
            <w:shd w:val="clear" w:color="auto" w:fill="C6D9F0"/>
            <w:vAlign w:val="center"/>
          </w:tcPr>
          <w:p>
            <w:pPr>
              <w:adjustRightInd w:val="0"/>
              <w:snapToGrid w:val="0"/>
              <w:spacing w:before="120" w:beforeLines="50" w:line="360" w:lineRule="auto"/>
              <w:jc w:val="center"/>
              <w:rPr>
                <w:rStyle w:val="32"/>
                <w:rFonts w:ascii="仿宋_GB2312" w:hAnsi="仿宋" w:eastAsia="仿宋_GB2312" w:cs="仿宋"/>
                <w:bCs/>
                <w:color w:val="auto"/>
                <w:highlight w:val="none"/>
              </w:rPr>
            </w:pPr>
            <w:r>
              <w:rPr>
                <w:rFonts w:hint="eastAsia" w:ascii="Times New Roman" w:hAnsi="Times New Roman" w:eastAsia="宋体"/>
                <w:color w:val="auto"/>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7</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工伤保险参保人数</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万</w:t>
            </w:r>
            <w:r>
              <w:rPr>
                <w:rFonts w:ascii="Times New Roman" w:hAnsi="Times New Roman" w:eastAsia="宋体"/>
                <w:color w:val="auto"/>
                <w:szCs w:val="21"/>
                <w:highlight w:val="none"/>
              </w:rPr>
              <w:t>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16.8</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22</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856" w:type="dxa"/>
            <w:gridSpan w:val="6"/>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hint="eastAsia" w:ascii="Times New Roman" w:hAnsi="Times New Roman" w:eastAsia="黑体"/>
                <w:color w:val="auto"/>
                <w:szCs w:val="21"/>
                <w:highlight w:val="none"/>
              </w:rPr>
              <w:t>三、人才队伍建设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8</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专业技术人才总量</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万人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color w:val="auto"/>
                <w:szCs w:val="21"/>
                <w:highlight w:val="none"/>
              </w:rPr>
            </w:pPr>
            <w:r>
              <w:rPr>
                <w:rFonts w:ascii="Times New Roman" w:hAnsi="Times New Roman"/>
                <w:color w:val="auto"/>
                <w:szCs w:val="21"/>
                <w:highlight w:val="none"/>
              </w:rPr>
              <w:t>10.</w:t>
            </w:r>
            <w:r>
              <w:rPr>
                <w:rFonts w:hint="eastAsia" w:ascii="Times New Roman" w:hAnsi="Times New Roman"/>
                <w:color w:val="auto"/>
                <w:szCs w:val="21"/>
                <w:highlight w:val="none"/>
              </w:rPr>
              <w:t>7</w:t>
            </w:r>
            <w:r>
              <w:rPr>
                <w:rFonts w:ascii="Times New Roman" w:hAnsi="Times New Roman"/>
                <w:color w:val="auto"/>
                <w:szCs w:val="21"/>
                <w:highlight w:val="none"/>
              </w:rPr>
              <w:t>8</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color w:val="auto"/>
                <w:szCs w:val="21"/>
                <w:highlight w:val="none"/>
              </w:rPr>
            </w:pPr>
            <w:r>
              <w:rPr>
                <w:rFonts w:ascii="Times New Roman" w:hAnsi="Times New Roman"/>
                <w:color w:val="auto"/>
                <w:szCs w:val="21"/>
                <w:highlight w:val="none"/>
              </w:rPr>
              <w:t>12</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color w:val="auto"/>
                <w:szCs w:val="21"/>
                <w:highlight w:val="none"/>
              </w:rPr>
            </w:pPr>
            <w:r>
              <w:rPr>
                <w:rFonts w:hint="eastAsia" w:ascii="Times New Roman" w:hAnsi="Times New Roman"/>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9</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其中：高级职称人才数量</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万人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color w:val="auto"/>
                <w:szCs w:val="21"/>
                <w:highlight w:val="none"/>
              </w:rPr>
            </w:pPr>
            <w:r>
              <w:rPr>
                <w:rFonts w:ascii="Times New Roman" w:hAnsi="Times New Roman"/>
                <w:color w:val="auto"/>
                <w:szCs w:val="21"/>
                <w:highlight w:val="none"/>
              </w:rPr>
              <w:t>0.4</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color w:val="auto"/>
                <w:szCs w:val="21"/>
                <w:highlight w:val="none"/>
              </w:rPr>
            </w:pPr>
            <w:r>
              <w:rPr>
                <w:rFonts w:ascii="Times New Roman" w:hAnsi="Times New Roman"/>
                <w:color w:val="auto"/>
                <w:szCs w:val="21"/>
                <w:highlight w:val="none"/>
              </w:rPr>
              <w:t>0.8</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color w:val="auto"/>
                <w:szCs w:val="21"/>
                <w:highlight w:val="none"/>
              </w:rPr>
            </w:pPr>
            <w:r>
              <w:rPr>
                <w:rFonts w:hint="eastAsia" w:ascii="Times New Roman" w:hAnsi="Times New Roman"/>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新增取得专业技术人员职业资格证书人数</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color w:val="auto"/>
                <w:szCs w:val="21"/>
                <w:highlight w:val="none"/>
              </w:rPr>
            </w:pPr>
            <w:r>
              <w:rPr>
                <w:rFonts w:ascii="Times New Roman" w:hAnsi="Times New Roman"/>
                <w:color w:val="auto"/>
                <w:szCs w:val="21"/>
                <w:highlight w:val="none"/>
              </w:rPr>
              <w:t>1000</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10000</w:t>
            </w:r>
            <w:r>
              <w:rPr>
                <w:rFonts w:hint="eastAsia" w:ascii="Times New Roman" w:hAnsi="Times New Roman"/>
                <w:color w:val="auto"/>
                <w:szCs w:val="21"/>
                <w:highlight w:val="none"/>
              </w:rPr>
              <w:t>]</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color w:val="auto"/>
                <w:szCs w:val="21"/>
                <w:highlight w:val="none"/>
              </w:rPr>
            </w:pPr>
            <w:r>
              <w:rPr>
                <w:rFonts w:hint="eastAsia" w:ascii="Times New Roman" w:hAnsi="Times New Roman"/>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11</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博士后</w:t>
            </w:r>
            <w:r>
              <w:rPr>
                <w:rFonts w:hint="eastAsia" w:ascii="Times New Roman" w:hAnsi="Times New Roman" w:eastAsia="宋体"/>
                <w:color w:val="auto"/>
                <w:szCs w:val="21"/>
                <w:highlight w:val="none"/>
              </w:rPr>
              <w:t>研究人员年招数</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color w:val="auto"/>
                <w:szCs w:val="21"/>
                <w:highlight w:val="none"/>
              </w:rPr>
            </w:pPr>
            <w:r>
              <w:rPr>
                <w:rFonts w:ascii="Times New Roman" w:hAnsi="Times New Roman"/>
                <w:color w:val="auto"/>
                <w:szCs w:val="21"/>
                <w:highlight w:val="none"/>
              </w:rPr>
              <w:t>1</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20</w:t>
            </w:r>
            <w:r>
              <w:rPr>
                <w:rFonts w:hint="eastAsia" w:ascii="Times New Roman" w:hAnsi="Times New Roman"/>
                <w:color w:val="auto"/>
                <w:szCs w:val="21"/>
                <w:highlight w:val="none"/>
              </w:rPr>
              <w:t>]</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color w:val="auto"/>
                <w:szCs w:val="21"/>
                <w:highlight w:val="none"/>
              </w:rPr>
            </w:pPr>
            <w:r>
              <w:rPr>
                <w:rFonts w:hint="eastAsia" w:ascii="Times New Roman" w:hAnsi="Times New Roman"/>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12</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技能人才总量</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万人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31.96</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42</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13</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高技能人才</w:t>
            </w:r>
            <w:r>
              <w:rPr>
                <w:rFonts w:hint="eastAsia" w:ascii="Times New Roman" w:hAnsi="Times New Roman" w:eastAsia="宋体"/>
                <w:color w:val="auto"/>
                <w:szCs w:val="21"/>
                <w:highlight w:val="none"/>
              </w:rPr>
              <w:t>占技能人才比例</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16.02</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22.14</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14</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新增取得职业资格证书或职业技能等级证书人数</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18194</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[100000]</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15</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其中：新增取得高级工以上职业资格证书或职业技能等级证书人数</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3359</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[40800]</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16</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开展补贴性职业技能培训人次</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[51000]</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[80000]</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17</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其中：农民工参加职业培训人次</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[10000]</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18</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技工院校招生人数</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万人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0.22</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1.3</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19</w:t>
            </w:r>
          </w:p>
        </w:tc>
        <w:tc>
          <w:tcPr>
            <w:tcW w:w="3169" w:type="dxa"/>
            <w:shd w:val="clear" w:color="auto" w:fill="C6D9F0"/>
            <w:vAlign w:val="center"/>
          </w:tcPr>
          <w:p>
            <w:pPr>
              <w:adjustRightInd w:val="0"/>
              <w:snapToGrid w:val="0"/>
              <w:spacing w:before="120" w:beforeLines="50" w:line="360" w:lineRule="auto"/>
              <w:jc w:val="left"/>
              <w:textAlignment w:val="center"/>
              <w:rPr>
                <w:rFonts w:ascii="Times New Roman" w:hAnsi="Times New Roman" w:eastAsia="宋体"/>
                <w:color w:val="auto"/>
                <w:szCs w:val="21"/>
                <w:highlight w:val="none"/>
              </w:rPr>
            </w:pPr>
            <w:r>
              <w:rPr>
                <w:rFonts w:ascii="Times New Roman" w:hAnsi="Times New Roman" w:eastAsia="宋体"/>
                <w:color w:val="auto"/>
                <w:szCs w:val="21"/>
                <w:highlight w:val="none"/>
              </w:rPr>
              <w:t>“粤菜师傅”培训人次</w:t>
            </w:r>
          </w:p>
        </w:tc>
        <w:tc>
          <w:tcPr>
            <w:tcW w:w="964" w:type="dxa"/>
            <w:shd w:val="clear" w:color="auto" w:fill="C6D9F0"/>
            <w:vAlign w:val="center"/>
          </w:tcPr>
          <w:p>
            <w:pPr>
              <w:adjustRightInd w:val="0"/>
              <w:snapToGrid w:val="0"/>
              <w:spacing w:before="120" w:beforeLines="50" w:line="360" w:lineRule="auto"/>
              <w:jc w:val="center"/>
              <w:textAlignment w:val="center"/>
              <w:rPr>
                <w:rFonts w:ascii="Times New Roman" w:hAnsi="Times New Roman" w:eastAsia="宋体"/>
                <w:color w:val="auto"/>
                <w:szCs w:val="21"/>
                <w:highlight w:val="none"/>
              </w:rPr>
            </w:pPr>
            <w:r>
              <w:rPr>
                <w:rFonts w:ascii="Times New Roman" w:hAnsi="Times New Roman" w:eastAsia="宋体"/>
                <w:color w:val="auto"/>
                <w:szCs w:val="21"/>
                <w:highlight w:val="none"/>
              </w:rPr>
              <w:t>人次</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[3908]</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[12000]</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20</w:t>
            </w:r>
          </w:p>
        </w:tc>
        <w:tc>
          <w:tcPr>
            <w:tcW w:w="3169" w:type="dxa"/>
            <w:shd w:val="clear" w:color="auto" w:fill="C6D9F0"/>
            <w:vAlign w:val="center"/>
          </w:tcPr>
          <w:p>
            <w:pPr>
              <w:adjustRightInd w:val="0"/>
              <w:snapToGrid w:val="0"/>
              <w:spacing w:before="120" w:beforeLines="50" w:line="360" w:lineRule="auto"/>
              <w:jc w:val="left"/>
              <w:textAlignment w:val="center"/>
              <w:rPr>
                <w:rFonts w:ascii="Times New Roman" w:hAnsi="Times New Roman" w:eastAsia="宋体"/>
                <w:color w:val="auto"/>
                <w:szCs w:val="21"/>
                <w:highlight w:val="none"/>
              </w:rPr>
            </w:pPr>
            <w:r>
              <w:rPr>
                <w:rFonts w:ascii="Times New Roman" w:hAnsi="Times New Roman" w:eastAsia="宋体"/>
                <w:color w:val="auto"/>
                <w:szCs w:val="21"/>
                <w:highlight w:val="none"/>
              </w:rPr>
              <w:t>“南粤家政”培训人次</w:t>
            </w:r>
          </w:p>
        </w:tc>
        <w:tc>
          <w:tcPr>
            <w:tcW w:w="964" w:type="dxa"/>
            <w:shd w:val="clear" w:color="auto" w:fill="C6D9F0"/>
            <w:vAlign w:val="center"/>
          </w:tcPr>
          <w:p>
            <w:pPr>
              <w:adjustRightInd w:val="0"/>
              <w:snapToGrid w:val="0"/>
              <w:spacing w:before="120" w:beforeLines="50" w:line="360" w:lineRule="auto"/>
              <w:jc w:val="center"/>
              <w:textAlignment w:val="center"/>
              <w:rPr>
                <w:rFonts w:ascii="Times New Roman" w:hAnsi="Times New Roman" w:eastAsia="宋体"/>
                <w:color w:val="auto"/>
                <w:szCs w:val="21"/>
                <w:highlight w:val="none"/>
              </w:rPr>
            </w:pPr>
            <w:r>
              <w:rPr>
                <w:rFonts w:ascii="Times New Roman" w:hAnsi="Times New Roman" w:eastAsia="宋体"/>
                <w:color w:val="auto"/>
                <w:szCs w:val="21"/>
                <w:highlight w:val="none"/>
              </w:rPr>
              <w:t>人次</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[12105]</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[28000]</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21</w:t>
            </w:r>
          </w:p>
        </w:tc>
        <w:tc>
          <w:tcPr>
            <w:tcW w:w="3169" w:type="dxa"/>
            <w:shd w:val="clear" w:color="auto" w:fill="C6D9F0"/>
            <w:vAlign w:val="center"/>
          </w:tcPr>
          <w:p>
            <w:pPr>
              <w:adjustRightInd w:val="0"/>
              <w:snapToGrid w:val="0"/>
              <w:spacing w:before="120" w:beforeLines="50" w:line="360" w:lineRule="auto"/>
              <w:jc w:val="left"/>
              <w:textAlignment w:val="center"/>
              <w:rPr>
                <w:rFonts w:ascii="Times New Roman" w:hAnsi="Times New Roman" w:eastAsia="宋体"/>
                <w:color w:val="auto"/>
                <w:szCs w:val="21"/>
                <w:highlight w:val="none"/>
              </w:rPr>
            </w:pPr>
            <w:r>
              <w:rPr>
                <w:rFonts w:ascii="Times New Roman" w:hAnsi="Times New Roman" w:eastAsia="宋体"/>
                <w:color w:val="auto"/>
                <w:szCs w:val="21"/>
                <w:highlight w:val="none"/>
              </w:rPr>
              <w:t>“农村电商”培训人数</w:t>
            </w:r>
          </w:p>
        </w:tc>
        <w:tc>
          <w:tcPr>
            <w:tcW w:w="964" w:type="dxa"/>
            <w:shd w:val="clear" w:color="auto" w:fill="C6D9F0"/>
            <w:vAlign w:val="center"/>
          </w:tcPr>
          <w:p>
            <w:pPr>
              <w:adjustRightInd w:val="0"/>
              <w:snapToGrid w:val="0"/>
              <w:spacing w:before="120" w:beforeLines="50" w:line="360" w:lineRule="auto"/>
              <w:jc w:val="center"/>
              <w:textAlignment w:val="center"/>
              <w:rPr>
                <w:rFonts w:ascii="Times New Roman" w:hAnsi="Times New Roman" w:eastAsia="宋体"/>
                <w:color w:val="auto"/>
                <w:szCs w:val="21"/>
                <w:highlight w:val="none"/>
              </w:rPr>
            </w:pPr>
            <w:r>
              <w:rPr>
                <w:rFonts w:ascii="Times New Roman" w:hAnsi="Times New Roman" w:eastAsia="宋体"/>
                <w:color w:val="auto"/>
                <w:szCs w:val="21"/>
                <w:highlight w:val="none"/>
              </w:rPr>
              <w:t>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545</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[2700]</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856" w:type="dxa"/>
            <w:gridSpan w:val="6"/>
            <w:shd w:val="clear" w:color="auto" w:fill="C6D9F0"/>
            <w:vAlign w:val="center"/>
          </w:tcPr>
          <w:p>
            <w:pPr>
              <w:adjustRightInd w:val="0"/>
              <w:snapToGrid w:val="0"/>
              <w:spacing w:before="120" w:beforeLines="50" w:line="360" w:lineRule="auto"/>
              <w:jc w:val="left"/>
              <w:rPr>
                <w:rFonts w:ascii="黑体" w:hAnsi="黑体" w:eastAsia="黑体" w:cs="黑体"/>
                <w:color w:val="auto"/>
                <w:szCs w:val="21"/>
                <w:highlight w:val="none"/>
              </w:rPr>
            </w:pPr>
            <w:r>
              <w:rPr>
                <w:rFonts w:hint="eastAsia" w:ascii="黑体" w:hAnsi="黑体" w:eastAsia="黑体" w:cs="黑体"/>
                <w:color w:val="auto"/>
                <w:szCs w:val="21"/>
                <w:highlight w:val="none"/>
              </w:rPr>
              <w:t>四、劳动关系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22</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劳动人事争议调解成功率</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79.69</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&gt;60</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23</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劳动人事争议仲裁结案率</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99.58</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&gt;90</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24</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劳动保障监察举报投诉案件结案率</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100</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&gt;96</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856" w:type="dxa"/>
            <w:gridSpan w:val="6"/>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hint="eastAsia" w:ascii="黑体" w:hAnsi="黑体" w:eastAsia="黑体" w:cs="黑体"/>
                <w:color w:val="auto"/>
                <w:szCs w:val="21"/>
                <w:highlight w:val="none"/>
              </w:rPr>
              <w:t>五、公共服务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25</w:t>
            </w:r>
          </w:p>
        </w:tc>
        <w:tc>
          <w:tcPr>
            <w:tcW w:w="3169" w:type="dxa"/>
            <w:shd w:val="clear" w:color="auto" w:fill="C6D9F0"/>
            <w:vAlign w:val="center"/>
          </w:tcPr>
          <w:p>
            <w:pPr>
              <w:adjustRightInd w:val="0"/>
              <w:snapToGrid w:val="0"/>
              <w:spacing w:before="120" w:beforeLines="50" w:line="360" w:lineRule="auto"/>
              <w:jc w:val="left"/>
              <w:textAlignment w:val="center"/>
              <w:rPr>
                <w:rFonts w:ascii="Times New Roman" w:hAnsi="Times New Roman" w:eastAsia="宋体"/>
                <w:color w:val="auto"/>
                <w:szCs w:val="21"/>
                <w:highlight w:val="none"/>
              </w:rPr>
            </w:pPr>
            <w:r>
              <w:rPr>
                <w:rFonts w:ascii="Times New Roman" w:hAnsi="Times New Roman" w:eastAsia="宋体"/>
                <w:color w:val="auto"/>
                <w:szCs w:val="21"/>
                <w:highlight w:val="none"/>
              </w:rPr>
              <w:t>社会保障卡持卡人数</w:t>
            </w:r>
          </w:p>
        </w:tc>
        <w:tc>
          <w:tcPr>
            <w:tcW w:w="964" w:type="dxa"/>
            <w:shd w:val="clear" w:color="auto" w:fill="C6D9F0"/>
            <w:vAlign w:val="center"/>
          </w:tcPr>
          <w:p>
            <w:pPr>
              <w:adjustRightInd w:val="0"/>
              <w:snapToGrid w:val="0"/>
              <w:spacing w:before="120" w:beforeLines="50" w:line="360" w:lineRule="auto"/>
              <w:jc w:val="center"/>
              <w:textAlignment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万</w:t>
            </w:r>
            <w:r>
              <w:rPr>
                <w:rFonts w:ascii="Times New Roman" w:hAnsi="Times New Roman" w:eastAsia="宋体"/>
                <w:color w:val="auto"/>
                <w:szCs w:val="21"/>
                <w:highlight w:val="none"/>
              </w:rPr>
              <w:t>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300</w:t>
            </w:r>
          </w:p>
        </w:tc>
        <w:tc>
          <w:tcPr>
            <w:tcW w:w="1378" w:type="dxa"/>
            <w:shd w:val="clear" w:color="auto" w:fill="C6D9F0"/>
            <w:vAlign w:val="center"/>
          </w:tcPr>
          <w:p>
            <w:pPr>
              <w:adjustRightInd w:val="0"/>
              <w:snapToGrid w:val="0"/>
              <w:spacing w:before="120" w:beforeLines="50" w:line="360" w:lineRule="auto"/>
              <w:jc w:val="center"/>
              <w:rPr>
                <w:rFonts w:hint="default" w:ascii="Times New Roman" w:hAnsi="Times New Roman" w:eastAsia="宋体"/>
                <w:color w:val="auto"/>
                <w:szCs w:val="21"/>
                <w:highlight w:val="none"/>
                <w:lang w:val="en-US" w:eastAsia="zh-CN"/>
              </w:rPr>
            </w:pPr>
            <w:r>
              <w:rPr>
                <w:rFonts w:hint="eastAsia" w:ascii="Times New Roman" w:hAnsi="Times New Roman" w:eastAsia="宋体"/>
                <w:color w:val="auto"/>
                <w:szCs w:val="21"/>
                <w:highlight w:val="none"/>
                <w:lang w:val="en-US" w:eastAsia="zh-CN"/>
              </w:rPr>
              <w:t>268</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26</w:t>
            </w:r>
          </w:p>
        </w:tc>
        <w:tc>
          <w:tcPr>
            <w:tcW w:w="3169" w:type="dxa"/>
            <w:shd w:val="clear" w:color="auto" w:fill="C6D9F0"/>
            <w:vAlign w:val="center"/>
          </w:tcPr>
          <w:p>
            <w:pPr>
              <w:adjustRightInd w:val="0"/>
              <w:snapToGrid w:val="0"/>
              <w:spacing w:before="120" w:beforeLines="50" w:line="360" w:lineRule="auto"/>
              <w:jc w:val="left"/>
              <w:textAlignment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其中：申领电子社保</w:t>
            </w:r>
            <w:r>
              <w:rPr>
                <w:rFonts w:ascii="Times New Roman" w:hAnsi="Times New Roman" w:eastAsia="宋体"/>
                <w:color w:val="auto"/>
                <w:szCs w:val="21"/>
                <w:highlight w:val="none"/>
              </w:rPr>
              <w:t>卡</w:t>
            </w:r>
            <w:r>
              <w:rPr>
                <w:rFonts w:hint="eastAsia" w:ascii="Times New Roman" w:hAnsi="Times New Roman" w:eastAsia="宋体"/>
                <w:color w:val="auto"/>
                <w:szCs w:val="21"/>
                <w:highlight w:val="none"/>
              </w:rPr>
              <w:t>人口覆盖率</w:t>
            </w:r>
          </w:p>
        </w:tc>
        <w:tc>
          <w:tcPr>
            <w:tcW w:w="964" w:type="dxa"/>
            <w:shd w:val="clear" w:color="auto" w:fill="C6D9F0"/>
            <w:vAlign w:val="center"/>
          </w:tcPr>
          <w:p>
            <w:pPr>
              <w:adjustRightInd w:val="0"/>
              <w:snapToGrid w:val="0"/>
              <w:spacing w:before="120" w:beforeLines="50" w:line="360" w:lineRule="auto"/>
              <w:jc w:val="center"/>
              <w:textAlignment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16.66</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75</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bl>
    <w:p>
      <w:pPr>
        <w:adjustRightInd w:val="0"/>
        <w:snapToGrid w:val="0"/>
        <w:spacing w:before="120" w:beforeLines="50" w:line="360" w:lineRule="auto"/>
        <w:ind w:firstLine="420" w:firstLineChars="200"/>
        <w:rPr>
          <w:rStyle w:val="32"/>
          <w:rFonts w:ascii="Times New Roman" w:hAnsi="Times New Roman" w:eastAsia="楷体"/>
          <w:color w:val="auto"/>
          <w:szCs w:val="21"/>
          <w:highlight w:val="none"/>
        </w:rPr>
      </w:pPr>
      <w:r>
        <w:rPr>
          <w:rFonts w:hint="eastAsia" w:ascii="Times New Roman" w:hAnsi="Times New Roman" w:eastAsia="楷体"/>
          <w:color w:val="auto"/>
          <w:szCs w:val="21"/>
          <w:highlight w:val="none"/>
        </w:rPr>
        <w:t>注：[ ] 内为5年累计数</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p>
    <w:p>
      <w:pPr>
        <w:rPr>
          <w:rFonts w:ascii="Cambria" w:hAnsi="Cambria" w:eastAsia="楷体_GB2312"/>
          <w:color w:val="auto"/>
          <w:sz w:val="34"/>
          <w:highlight w:val="none"/>
        </w:rPr>
      </w:pPr>
    </w:p>
    <w:p>
      <w:pPr>
        <w:pStyle w:val="8"/>
        <w:rPr>
          <w:rFonts w:ascii="Cambria" w:hAnsi="Cambria" w:eastAsia="楷体_GB2312"/>
          <w:color w:val="auto"/>
          <w:sz w:val="34"/>
          <w:highlight w:val="none"/>
        </w:rPr>
      </w:pPr>
    </w:p>
    <w:p>
      <w:pPr>
        <w:pStyle w:val="9"/>
        <w:rPr>
          <w:rFonts w:ascii="Cambria" w:hAnsi="Cambria" w:eastAsia="楷体_GB2312"/>
          <w:color w:val="auto"/>
          <w:sz w:val="34"/>
          <w:highlight w:val="none"/>
        </w:rPr>
      </w:pPr>
    </w:p>
    <w:p>
      <w:pPr>
        <w:pStyle w:val="6"/>
        <w:rPr>
          <w:rFonts w:ascii="Cambria" w:hAnsi="Cambria" w:eastAsia="楷体_GB2312"/>
          <w:color w:val="auto"/>
          <w:sz w:val="34"/>
          <w:highlight w:val="none"/>
        </w:rPr>
      </w:pPr>
    </w:p>
    <w:p>
      <w:pPr>
        <w:rPr>
          <w:color w:val="auto"/>
          <w:highlight w:val="none"/>
        </w:rPr>
      </w:pPr>
    </w:p>
    <w:p>
      <w:pPr>
        <w:rPr>
          <w:color w:val="auto"/>
          <w:highlight w:val="none"/>
        </w:rPr>
      </w:pPr>
    </w:p>
    <w:p>
      <w:pPr>
        <w:pStyle w:val="3"/>
        <w:adjustRightInd w:val="0"/>
        <w:snapToGrid w:val="0"/>
        <w:spacing w:before="120" w:beforeLines="50" w:after="120" w:afterLines="50" w:line="360" w:lineRule="auto"/>
        <w:jc w:val="center"/>
        <w:rPr>
          <w:rFonts w:ascii="Calibri" w:hAnsi="Calibri" w:eastAsia="黑体"/>
          <w:b w:val="0"/>
          <w:bCs/>
          <w:color w:val="auto"/>
          <w:sz w:val="36"/>
          <w:szCs w:val="36"/>
          <w:highlight w:val="none"/>
          <w:lang w:val="en-US"/>
        </w:rPr>
      </w:pPr>
      <w:bookmarkStart w:id="24" w:name="_Toc15218"/>
      <w:bookmarkStart w:id="25" w:name="_Toc24999"/>
      <w:r>
        <w:rPr>
          <w:rFonts w:hint="eastAsia" w:ascii="Calibri" w:hAnsi="Calibri" w:eastAsia="黑体"/>
          <w:b w:val="0"/>
          <w:bCs/>
          <w:color w:val="auto"/>
          <w:sz w:val="36"/>
          <w:szCs w:val="36"/>
          <w:highlight w:val="none"/>
          <w:lang w:val="en-US"/>
        </w:rPr>
        <w:t>第三章  促进深汕人社制度有效对接</w:t>
      </w:r>
      <w:bookmarkEnd w:id="24"/>
      <w:bookmarkEnd w:id="25"/>
    </w:p>
    <w:p>
      <w:pPr>
        <w:adjustRightInd w:val="0"/>
        <w:spacing w:line="360" w:lineRule="auto"/>
        <w:ind w:firstLine="640" w:firstLineChars="200"/>
        <w:rPr>
          <w:rStyle w:val="32"/>
          <w:rFonts w:hAnsi="仿宋" w:eastAsia="仿宋_GB2312" w:cs="仿宋"/>
          <w:color w:val="auto"/>
          <w:sz w:val="32"/>
          <w:szCs w:val="32"/>
          <w:highlight w:val="none"/>
        </w:rPr>
      </w:pPr>
      <w:r>
        <w:rPr>
          <w:rStyle w:val="32"/>
          <w:rFonts w:hint="eastAsia" w:hAnsi="仿宋" w:eastAsia="仿宋_GB2312" w:cs="仿宋"/>
          <w:color w:val="auto"/>
          <w:sz w:val="32"/>
          <w:szCs w:val="32"/>
          <w:highlight w:val="none"/>
        </w:rPr>
        <w:t>加强就业合作，健全人才政策体系对接，推进公共服务一体化发展，为</w:t>
      </w:r>
      <w:r>
        <w:rPr>
          <w:rStyle w:val="32"/>
          <w:rFonts w:hint="eastAsia" w:hAnsi="仿宋" w:eastAsia="仿宋_GB2312" w:cs="仿宋"/>
          <w:color w:val="auto"/>
          <w:sz w:val="32"/>
          <w:szCs w:val="32"/>
          <w:highlight w:val="none"/>
          <w:lang w:eastAsia="zh-CN"/>
        </w:rPr>
        <w:t>我市</w:t>
      </w:r>
      <w:r>
        <w:rPr>
          <w:rStyle w:val="32"/>
          <w:rFonts w:hint="eastAsia" w:hAnsi="仿宋" w:eastAsia="仿宋_GB2312" w:cs="仿宋"/>
          <w:color w:val="auto"/>
          <w:sz w:val="32"/>
          <w:szCs w:val="32"/>
          <w:highlight w:val="none"/>
        </w:rPr>
        <w:t>全面接轨深圳</w:t>
      </w:r>
      <w:r>
        <w:rPr>
          <w:rStyle w:val="32"/>
          <w:rFonts w:hint="eastAsia" w:hAnsi="仿宋" w:eastAsia="仿宋_GB2312" w:cs="仿宋"/>
          <w:color w:val="auto"/>
          <w:sz w:val="32"/>
          <w:szCs w:val="32"/>
          <w:highlight w:val="none"/>
          <w:lang w:eastAsia="zh-CN"/>
        </w:rPr>
        <w:t>、</w:t>
      </w:r>
      <w:r>
        <w:rPr>
          <w:rStyle w:val="32"/>
          <w:rFonts w:hint="eastAsia" w:hAnsi="仿宋" w:eastAsia="仿宋_GB2312" w:cs="仿宋"/>
          <w:color w:val="auto"/>
          <w:sz w:val="32"/>
          <w:szCs w:val="32"/>
          <w:highlight w:val="none"/>
        </w:rPr>
        <w:t>全力融入“双区”</w:t>
      </w:r>
      <w:r>
        <w:rPr>
          <w:rStyle w:val="32"/>
          <w:rFonts w:hint="eastAsia" w:hAnsi="仿宋" w:eastAsia="仿宋_GB2312" w:cs="仿宋"/>
          <w:color w:val="auto"/>
          <w:sz w:val="32"/>
          <w:szCs w:val="32"/>
          <w:highlight w:val="none"/>
          <w:lang w:eastAsia="zh-CN"/>
        </w:rPr>
        <w:t>，加快</w:t>
      </w:r>
      <w:r>
        <w:rPr>
          <w:rStyle w:val="32"/>
          <w:rFonts w:hint="eastAsia" w:hAnsi="仿宋" w:eastAsia="仿宋_GB2312" w:cs="仿宋"/>
          <w:color w:val="auto"/>
          <w:sz w:val="32"/>
          <w:szCs w:val="32"/>
          <w:highlight w:val="none"/>
        </w:rPr>
        <w:t>建设</w:t>
      </w:r>
      <w:r>
        <w:rPr>
          <w:rStyle w:val="32"/>
          <w:rFonts w:hint="eastAsia" w:hAnsi="仿宋" w:eastAsia="仿宋_GB2312" w:cs="仿宋"/>
          <w:color w:val="auto"/>
          <w:sz w:val="32"/>
          <w:szCs w:val="32"/>
          <w:highlight w:val="none"/>
          <w:lang w:eastAsia="zh-CN"/>
        </w:rPr>
        <w:t>沿海经济带靓丽明珠</w:t>
      </w:r>
      <w:r>
        <w:rPr>
          <w:rStyle w:val="32"/>
          <w:rFonts w:hint="eastAsia" w:hAnsi="仿宋" w:eastAsia="仿宋_GB2312" w:cs="仿宋"/>
          <w:color w:val="auto"/>
          <w:sz w:val="32"/>
          <w:szCs w:val="32"/>
          <w:highlight w:val="none"/>
        </w:rPr>
        <w:t>提供新动能。</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26" w:name="_Toc24647"/>
      <w:bookmarkStart w:id="27" w:name="_Toc7423"/>
      <w:r>
        <w:rPr>
          <w:rFonts w:hint="eastAsia" w:ascii="Cambria" w:hAnsi="Cambria" w:eastAsia="楷体_GB2312"/>
          <w:color w:val="auto"/>
          <w:sz w:val="34"/>
          <w:highlight w:val="none"/>
        </w:rPr>
        <w:t>第一节  加强就业合作</w:t>
      </w:r>
      <w:bookmarkEnd w:id="26"/>
      <w:bookmarkEnd w:id="27"/>
    </w:p>
    <w:p>
      <w:pPr>
        <w:adjustRightInd w:val="0"/>
        <w:spacing w:line="360" w:lineRule="auto"/>
        <w:ind w:firstLine="643" w:firstLineChars="200"/>
        <w:rPr>
          <w:rStyle w:val="32"/>
          <w:rFonts w:hAnsi="仿宋" w:eastAsia="仿宋_GB2312" w:cs="仿宋"/>
          <w:color w:val="auto"/>
          <w:sz w:val="32"/>
          <w:szCs w:val="32"/>
          <w:highlight w:val="none"/>
        </w:rPr>
      </w:pPr>
      <w:r>
        <w:rPr>
          <w:rStyle w:val="32"/>
          <w:rFonts w:hint="eastAsia" w:hAnsi="仿宋" w:eastAsia="仿宋_GB2312" w:cs="仿宋"/>
          <w:b/>
          <w:color w:val="auto"/>
          <w:sz w:val="32"/>
          <w:szCs w:val="32"/>
          <w:highlight w:val="none"/>
        </w:rPr>
        <w:t>加强就业创业政策体系对接。</w:t>
      </w:r>
      <w:r>
        <w:rPr>
          <w:rStyle w:val="32"/>
          <w:rFonts w:hint="eastAsia" w:hAnsi="仿宋" w:eastAsia="仿宋_GB2312" w:cs="仿宋"/>
          <w:color w:val="auto"/>
          <w:sz w:val="32"/>
          <w:szCs w:val="32"/>
          <w:highlight w:val="none"/>
        </w:rPr>
        <w:t>加强与深圳的劳务协作，建立劳务对接信息平台。加强与深圳的就业信息共享，畅通就业通道。共享高校毕业生信息，吸引深圳高校毕业生到汕尾工作。加强创业政策体系对接，整合由深圳返乡、入乡创业载体资源，建设返乡创业孵化基地，建立创业带动就业专项资金长效投入机制，为返乡入乡人员提供优质创业服务。</w:t>
      </w:r>
    </w:p>
    <w:p>
      <w:pPr>
        <w:adjustRightInd w:val="0"/>
        <w:spacing w:line="360" w:lineRule="auto"/>
        <w:ind w:firstLine="643" w:firstLineChars="200"/>
        <w:rPr>
          <w:rStyle w:val="32"/>
          <w:rFonts w:hAnsi="仿宋" w:eastAsia="仿宋_GB2312" w:cs="仿宋"/>
          <w:color w:val="auto"/>
          <w:sz w:val="32"/>
          <w:szCs w:val="32"/>
          <w:highlight w:val="none"/>
        </w:rPr>
      </w:pPr>
      <w:r>
        <w:rPr>
          <w:rStyle w:val="32"/>
          <w:rFonts w:hint="eastAsia" w:hAnsi="仿宋" w:eastAsia="仿宋_GB2312" w:cs="仿宋"/>
          <w:b/>
          <w:color w:val="auto"/>
          <w:sz w:val="32"/>
          <w:szCs w:val="32"/>
          <w:highlight w:val="none"/>
        </w:rPr>
        <w:t>加强就业形势分析协调合作。</w:t>
      </w:r>
      <w:r>
        <w:rPr>
          <w:rStyle w:val="32"/>
          <w:rFonts w:hint="eastAsia" w:hAnsi="仿宋" w:eastAsia="仿宋_GB2312" w:cs="仿宋"/>
          <w:color w:val="auto"/>
          <w:sz w:val="32"/>
          <w:szCs w:val="32"/>
          <w:highlight w:val="none"/>
        </w:rPr>
        <w:t>建立汕尾、深圳就业形势定期会商协调机制，及时了解就业失业状况，共同研究技术进步、人口结构变化等对就业的影响，防范规模性失业风险。</w:t>
      </w:r>
    </w:p>
    <w:p>
      <w:pPr>
        <w:adjustRightInd w:val="0"/>
        <w:spacing w:line="360" w:lineRule="auto"/>
        <w:ind w:firstLine="643" w:firstLineChars="200"/>
        <w:rPr>
          <w:rStyle w:val="32"/>
          <w:rFonts w:hAnsi="仿宋" w:eastAsia="仿宋_GB2312" w:cs="仿宋"/>
          <w:color w:val="auto"/>
          <w:sz w:val="32"/>
          <w:szCs w:val="32"/>
          <w:highlight w:val="none"/>
        </w:rPr>
      </w:pPr>
      <w:r>
        <w:rPr>
          <w:rStyle w:val="32"/>
          <w:rFonts w:hint="eastAsia" w:hAnsi="仿宋" w:eastAsia="仿宋_GB2312" w:cs="仿宋"/>
          <w:b/>
          <w:color w:val="auto"/>
          <w:sz w:val="32"/>
          <w:szCs w:val="32"/>
          <w:highlight w:val="none"/>
        </w:rPr>
        <w:t>建立深汕劳动纠纷合作解决机制。</w:t>
      </w:r>
      <w:r>
        <w:rPr>
          <w:rStyle w:val="32"/>
          <w:rFonts w:hint="eastAsia" w:hAnsi="仿宋" w:eastAsia="仿宋_GB2312" w:cs="仿宋"/>
          <w:color w:val="auto"/>
          <w:sz w:val="32"/>
          <w:szCs w:val="32"/>
          <w:highlight w:val="none"/>
        </w:rPr>
        <w:t>进一步强化劳动保障违法案件信息信用共享，深化深汕</w:t>
      </w:r>
      <w:r>
        <w:rPr>
          <w:rStyle w:val="32"/>
          <w:rFonts w:hint="eastAsia" w:hAnsi="仿宋" w:eastAsia="仿宋_GB2312" w:cs="仿宋"/>
          <w:color w:val="auto"/>
          <w:sz w:val="32"/>
          <w:szCs w:val="32"/>
          <w:highlight w:val="none"/>
          <w:lang w:val="en-US" w:eastAsia="zh-CN"/>
        </w:rPr>
        <w:t>劳动保障</w:t>
      </w:r>
      <w:r>
        <w:rPr>
          <w:rStyle w:val="32"/>
          <w:rFonts w:hint="eastAsia" w:hAnsi="仿宋" w:eastAsia="仿宋_GB2312" w:cs="仿宋"/>
          <w:color w:val="auto"/>
          <w:sz w:val="32"/>
          <w:szCs w:val="32"/>
          <w:highlight w:val="none"/>
        </w:rPr>
        <w:t>监察案件协查、</w:t>
      </w:r>
      <w:r>
        <w:rPr>
          <w:rStyle w:val="32"/>
          <w:rFonts w:hint="eastAsia" w:hAnsi="仿宋" w:eastAsia="仿宋_GB2312" w:cs="仿宋"/>
          <w:color w:val="auto"/>
          <w:sz w:val="32"/>
          <w:szCs w:val="32"/>
          <w:highlight w:val="none"/>
          <w:lang w:val="en-US" w:eastAsia="zh-CN"/>
        </w:rPr>
        <w:t>劳动关系纠纷</w:t>
      </w:r>
      <w:r>
        <w:rPr>
          <w:rStyle w:val="32"/>
          <w:rFonts w:hint="eastAsia" w:hAnsi="仿宋" w:eastAsia="仿宋_GB2312" w:cs="仿宋"/>
          <w:color w:val="auto"/>
          <w:sz w:val="32"/>
          <w:szCs w:val="32"/>
          <w:highlight w:val="none"/>
        </w:rPr>
        <w:t>调解仲裁协作、农民工维权服务，加强劳动用工和人才权益保护，促进劳动用工融合及纠纷处理衔接。</w:t>
      </w:r>
    </w:p>
    <w:p>
      <w:pPr>
        <w:pStyle w:val="4"/>
        <w:keepNext w:val="0"/>
        <w:keepLines w:val="0"/>
        <w:adjustRightInd w:val="0"/>
        <w:snapToGrid w:val="0"/>
        <w:spacing w:before="120" w:beforeLines="50" w:after="120" w:afterLines="50" w:line="360" w:lineRule="auto"/>
        <w:ind w:left="200"/>
        <w:jc w:val="center"/>
        <w:rPr>
          <w:rFonts w:hint="eastAsia" w:ascii="Cambria" w:hAnsi="Cambria" w:eastAsia="楷体_GB2312"/>
          <w:color w:val="auto"/>
          <w:sz w:val="34"/>
          <w:highlight w:val="none"/>
        </w:rPr>
      </w:pPr>
    </w:p>
    <w:p>
      <w:pPr>
        <w:pStyle w:val="4"/>
        <w:keepNext w:val="0"/>
        <w:keepLines w:val="0"/>
        <w:pageBreakBefore w:val="0"/>
        <w:widowControl w:val="0"/>
        <w:kinsoku/>
        <w:wordWrap/>
        <w:overflowPunct/>
        <w:topLinePunct w:val="0"/>
        <w:autoSpaceDE/>
        <w:autoSpaceDN/>
        <w:bidi w:val="0"/>
        <w:adjustRightInd w:val="0"/>
        <w:snapToGrid w:val="0"/>
        <w:spacing w:before="120" w:beforeLines="50" w:after="120" w:afterLines="50" w:line="600" w:lineRule="exact"/>
        <w:ind w:left="200"/>
        <w:jc w:val="center"/>
        <w:textAlignment w:val="auto"/>
        <w:rPr>
          <w:rFonts w:ascii="Cambria" w:hAnsi="Cambria" w:eastAsia="楷体_GB2312"/>
          <w:color w:val="auto"/>
          <w:sz w:val="34"/>
          <w:highlight w:val="none"/>
        </w:rPr>
      </w:pPr>
      <w:bookmarkStart w:id="28" w:name="_Toc18749"/>
      <w:bookmarkStart w:id="29" w:name="_Toc29431"/>
      <w:r>
        <w:rPr>
          <w:rFonts w:hint="eastAsia" w:ascii="Cambria" w:hAnsi="Cambria" w:eastAsia="楷体_GB2312"/>
          <w:color w:val="auto"/>
          <w:sz w:val="34"/>
          <w:highlight w:val="none"/>
        </w:rPr>
        <w:t>第二节  加强人才合作</w:t>
      </w:r>
      <w:bookmarkEnd w:id="28"/>
      <w:bookmarkEnd w:id="29"/>
    </w:p>
    <w:p>
      <w:pPr>
        <w:keepNext w:val="0"/>
        <w:keepLines w:val="0"/>
        <w:pageBreakBefore w:val="0"/>
        <w:widowControl w:val="0"/>
        <w:kinsoku/>
        <w:wordWrap/>
        <w:overflowPunct/>
        <w:topLinePunct w:val="0"/>
        <w:autoSpaceDE/>
        <w:autoSpaceDN/>
        <w:bidi w:val="0"/>
        <w:adjustRightInd w:val="0"/>
        <w:spacing w:line="600" w:lineRule="exact"/>
        <w:ind w:firstLine="643" w:firstLineChars="200"/>
        <w:textAlignment w:val="auto"/>
        <w:rPr>
          <w:rStyle w:val="32"/>
          <w:rFonts w:hAnsi="仿宋" w:eastAsia="仿宋_GB2312" w:cs="仿宋"/>
          <w:color w:val="auto"/>
          <w:sz w:val="32"/>
          <w:szCs w:val="32"/>
          <w:highlight w:val="none"/>
        </w:rPr>
      </w:pPr>
      <w:r>
        <w:rPr>
          <w:rStyle w:val="32"/>
          <w:rFonts w:hint="eastAsia" w:hAnsi="仿宋" w:eastAsia="仿宋_GB2312" w:cs="仿宋"/>
          <w:b/>
          <w:color w:val="auto"/>
          <w:sz w:val="32"/>
          <w:szCs w:val="32"/>
          <w:highlight w:val="none"/>
        </w:rPr>
        <w:t>建立人才合作培养机制。</w:t>
      </w:r>
      <w:r>
        <w:rPr>
          <w:rStyle w:val="32"/>
          <w:rFonts w:hint="eastAsia" w:hAnsi="仿宋" w:eastAsia="仿宋_GB2312" w:cs="仿宋"/>
          <w:color w:val="auto"/>
          <w:sz w:val="32"/>
          <w:szCs w:val="32"/>
          <w:highlight w:val="none"/>
        </w:rPr>
        <w:t>利用深圳的职业技术教育资源优势，吸引深圳的职业技术教育机构在汕尾设立培训点，围绕汕尾重点产业开展职业技能培训。支持汕尾、深圳各类职业院校在汕尾及深汕合作区单独或者与企业联合办学。支持深圳在汕尾设立产学研创新联合体和创新人才研究院。深化深汕</w:t>
      </w:r>
      <w:r>
        <w:rPr>
          <w:rStyle w:val="32"/>
          <w:rFonts w:hint="eastAsia" w:hAnsi="仿宋" w:eastAsia="仿宋_GB2312" w:cs="仿宋"/>
          <w:color w:val="auto"/>
          <w:sz w:val="32"/>
          <w:szCs w:val="32"/>
          <w:highlight w:val="none"/>
          <w:lang w:val="en-US" w:eastAsia="zh-CN"/>
        </w:rPr>
        <w:t>高层次</w:t>
      </w:r>
      <w:r>
        <w:rPr>
          <w:rStyle w:val="32"/>
          <w:rFonts w:hint="eastAsia" w:hAnsi="仿宋" w:eastAsia="仿宋_GB2312" w:cs="仿宋"/>
          <w:color w:val="auto"/>
          <w:sz w:val="32"/>
          <w:szCs w:val="32"/>
          <w:highlight w:val="none"/>
        </w:rPr>
        <w:t>人才与项目的合作。</w:t>
      </w:r>
    </w:p>
    <w:p>
      <w:pPr>
        <w:keepNext w:val="0"/>
        <w:keepLines w:val="0"/>
        <w:pageBreakBefore w:val="0"/>
        <w:widowControl w:val="0"/>
        <w:kinsoku/>
        <w:wordWrap/>
        <w:overflowPunct/>
        <w:topLinePunct w:val="0"/>
        <w:autoSpaceDE/>
        <w:autoSpaceDN/>
        <w:bidi w:val="0"/>
        <w:adjustRightInd w:val="0"/>
        <w:spacing w:line="600" w:lineRule="exact"/>
        <w:ind w:firstLine="643" w:firstLineChars="200"/>
        <w:textAlignment w:val="auto"/>
        <w:rPr>
          <w:rStyle w:val="32"/>
          <w:rFonts w:hint="eastAsia" w:hAnsi="仿宋" w:eastAsia="仿宋_GB2312" w:cs="仿宋"/>
          <w:color w:val="auto"/>
          <w:sz w:val="32"/>
          <w:szCs w:val="32"/>
          <w:highlight w:val="none"/>
        </w:rPr>
      </w:pPr>
      <w:r>
        <w:rPr>
          <w:rStyle w:val="32"/>
          <w:rFonts w:hint="eastAsia" w:hAnsi="仿宋" w:eastAsia="仿宋_GB2312" w:cs="仿宋"/>
          <w:b/>
          <w:color w:val="auto"/>
          <w:sz w:val="32"/>
          <w:szCs w:val="32"/>
          <w:highlight w:val="none"/>
        </w:rPr>
        <w:t>建立人才交流机制。</w:t>
      </w:r>
      <w:r>
        <w:rPr>
          <w:rStyle w:val="32"/>
          <w:rFonts w:hint="eastAsia" w:hAnsi="仿宋" w:eastAsia="仿宋_GB2312" w:cs="仿宋"/>
          <w:color w:val="auto"/>
          <w:sz w:val="32"/>
          <w:szCs w:val="32"/>
          <w:highlight w:val="none"/>
        </w:rPr>
        <w:t>加强人力资源服务产业园市场化联盟建设，促进</w:t>
      </w:r>
      <w:r>
        <w:rPr>
          <w:rStyle w:val="32"/>
          <w:rFonts w:hint="eastAsia" w:hAnsi="仿宋" w:eastAsia="仿宋_GB2312" w:cs="仿宋"/>
          <w:color w:val="auto"/>
          <w:sz w:val="32"/>
          <w:szCs w:val="32"/>
          <w:highlight w:val="none"/>
          <w:lang w:val="en-US" w:eastAsia="zh-CN"/>
        </w:rPr>
        <w:t>人力资源</w:t>
      </w:r>
      <w:r>
        <w:rPr>
          <w:rStyle w:val="32"/>
          <w:rFonts w:hint="eastAsia" w:hAnsi="仿宋" w:eastAsia="仿宋_GB2312" w:cs="仿宋"/>
          <w:color w:val="auto"/>
          <w:sz w:val="32"/>
          <w:szCs w:val="32"/>
          <w:highlight w:val="none"/>
        </w:rPr>
        <w:t>市场的互融互通和共建共享。举办或承办“汕尾高端人才创新创业交流大会”“留学生节”等人才交流活动，积极邀请深圳及港澳人才、企业、机构参加，畅通与深圳的人才合作交流机制。建立人才协同发展的推进机制、定期会商机制，拓展沟通联系渠道，搭建协调互动平台，密切合作关系。支持鼓励汕尾与深圳人才组织、科技组织、工商企业界、专业服务界、学术界等开展沟通交流，推动两地人才常态化交流合作。</w:t>
      </w:r>
    </w:p>
    <w:p>
      <w:pPr>
        <w:pStyle w:val="2"/>
      </w:pPr>
    </w:p>
    <w:p>
      <w:pPr>
        <w:pStyle w:val="4"/>
        <w:keepNext w:val="0"/>
        <w:keepLines w:val="0"/>
        <w:pageBreakBefore w:val="0"/>
        <w:widowControl w:val="0"/>
        <w:numPr>
          <w:ilvl w:val="0"/>
          <w:numId w:val="1"/>
        </w:numPr>
        <w:kinsoku/>
        <w:wordWrap/>
        <w:overflowPunct/>
        <w:topLinePunct w:val="0"/>
        <w:autoSpaceDE/>
        <w:autoSpaceDN/>
        <w:bidi w:val="0"/>
        <w:adjustRightInd w:val="0"/>
        <w:snapToGrid w:val="0"/>
        <w:spacing w:before="120" w:beforeLines="50" w:after="120" w:afterLines="50" w:line="600" w:lineRule="exact"/>
        <w:ind w:left="200"/>
        <w:jc w:val="center"/>
        <w:textAlignment w:val="auto"/>
        <w:rPr>
          <w:rFonts w:hint="eastAsia" w:ascii="Cambria" w:hAnsi="Cambria" w:eastAsia="楷体_GB2312"/>
          <w:color w:val="auto"/>
          <w:sz w:val="34"/>
          <w:highlight w:val="none"/>
        </w:rPr>
      </w:pPr>
      <w:r>
        <w:rPr>
          <w:rFonts w:hint="eastAsia" w:ascii="Cambria" w:hAnsi="Cambria" w:eastAsia="楷体_GB2312"/>
          <w:color w:val="auto"/>
          <w:sz w:val="34"/>
          <w:highlight w:val="none"/>
        </w:rPr>
        <w:t xml:space="preserve"> </w:t>
      </w:r>
      <w:bookmarkStart w:id="30" w:name="_Toc24331"/>
      <w:bookmarkStart w:id="31" w:name="_Toc18339"/>
      <w:r>
        <w:rPr>
          <w:rFonts w:hint="eastAsia" w:ascii="Cambria" w:hAnsi="Cambria" w:eastAsia="楷体_GB2312"/>
          <w:color w:val="auto"/>
          <w:sz w:val="34"/>
          <w:highlight w:val="none"/>
        </w:rPr>
        <w:t>推进公共服务一体化发展</w:t>
      </w:r>
      <w:bookmarkEnd w:id="30"/>
      <w:bookmarkEnd w:id="31"/>
    </w:p>
    <w:p>
      <w:pPr>
        <w:numPr>
          <w:ilvl w:val="0"/>
          <w:numId w:val="0"/>
        </w:numPr>
      </w:pP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outlineLvl w:val="9"/>
        <w:rPr>
          <w:rStyle w:val="32"/>
          <w:rFonts w:hAnsi="仿宋" w:eastAsia="仿宋_GB2312" w:cs="仿宋"/>
          <w:color w:val="auto"/>
          <w:sz w:val="32"/>
          <w:szCs w:val="32"/>
          <w:highlight w:val="none"/>
        </w:rPr>
      </w:pPr>
      <w:r>
        <w:rPr>
          <w:rStyle w:val="32"/>
          <w:rFonts w:hint="eastAsia" w:hAnsi="仿宋" w:eastAsia="仿宋_GB2312" w:cs="仿宋"/>
          <w:b/>
          <w:color w:val="auto"/>
          <w:sz w:val="32"/>
          <w:szCs w:val="32"/>
          <w:highlight w:val="none"/>
        </w:rPr>
        <w:t>推进服务与数据共享。</w:t>
      </w:r>
      <w:r>
        <w:rPr>
          <w:rStyle w:val="32"/>
          <w:rFonts w:hint="eastAsia" w:hAnsi="仿宋" w:eastAsia="仿宋_GB2312" w:cs="仿宋"/>
          <w:color w:val="auto"/>
          <w:sz w:val="32"/>
          <w:szCs w:val="32"/>
          <w:highlight w:val="none"/>
        </w:rPr>
        <w:t>推进汕尾、深圳</w:t>
      </w:r>
      <w:r>
        <w:rPr>
          <w:rStyle w:val="32"/>
          <w:rFonts w:hint="eastAsia" w:hAnsi="仿宋" w:eastAsia="仿宋_GB2312" w:cs="仿宋"/>
          <w:color w:val="auto"/>
          <w:sz w:val="32"/>
          <w:szCs w:val="32"/>
          <w:highlight w:val="none"/>
          <w:lang w:val="en-US" w:eastAsia="zh-CN"/>
        </w:rPr>
        <w:t>人社政务</w:t>
      </w:r>
      <w:r>
        <w:rPr>
          <w:rStyle w:val="32"/>
          <w:rFonts w:hint="eastAsia" w:hAnsi="仿宋" w:eastAsia="仿宋_GB2312" w:cs="仿宋"/>
          <w:color w:val="auto"/>
          <w:sz w:val="32"/>
          <w:szCs w:val="32"/>
          <w:highlight w:val="none"/>
        </w:rPr>
        <w:t>服务</w:t>
      </w:r>
      <w:r>
        <w:rPr>
          <w:rStyle w:val="32"/>
          <w:rFonts w:hint="eastAsia" w:hAnsi="仿宋" w:eastAsia="仿宋_GB2312" w:cs="仿宋"/>
          <w:color w:val="auto"/>
          <w:sz w:val="32"/>
          <w:szCs w:val="32"/>
          <w:highlight w:val="none"/>
          <w:lang w:val="en-US" w:eastAsia="zh-CN"/>
        </w:rPr>
        <w:t>数据资源互通共享，实现人社政务服务“跨城通办”“一网通办”</w:t>
      </w:r>
      <w:r>
        <w:rPr>
          <w:rStyle w:val="32"/>
          <w:rFonts w:hint="eastAsia" w:hAnsi="仿宋" w:eastAsia="仿宋_GB2312" w:cs="仿宋"/>
          <w:color w:val="auto"/>
          <w:sz w:val="32"/>
          <w:szCs w:val="32"/>
          <w:highlight w:val="none"/>
        </w:rPr>
        <w:t>，探索推进社会保障卡“一卡多用、区域通用”。</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outlineLvl w:val="9"/>
        <w:rPr>
          <w:rStyle w:val="32"/>
          <w:rFonts w:hAnsi="仿宋" w:eastAsia="仿宋_GB2312" w:cs="仿宋"/>
          <w:color w:val="auto"/>
          <w:sz w:val="32"/>
          <w:szCs w:val="32"/>
          <w:highlight w:val="none"/>
        </w:rPr>
      </w:pPr>
      <w:r>
        <w:rPr>
          <w:rStyle w:val="32"/>
          <w:rFonts w:hint="eastAsia" w:hAnsi="仿宋" w:eastAsia="仿宋_GB2312" w:cs="仿宋"/>
          <w:b/>
          <w:color w:val="auto"/>
          <w:sz w:val="32"/>
          <w:szCs w:val="32"/>
          <w:highlight w:val="none"/>
        </w:rPr>
        <w:t>探索养老保险规则衔接。</w:t>
      </w:r>
      <w:r>
        <w:rPr>
          <w:rStyle w:val="32"/>
          <w:rFonts w:hint="eastAsia" w:hAnsi="仿宋" w:eastAsia="仿宋_GB2312" w:cs="仿宋"/>
          <w:color w:val="auto"/>
          <w:sz w:val="32"/>
          <w:szCs w:val="32"/>
          <w:highlight w:val="none"/>
        </w:rPr>
        <w:t>主动配合深圳先行示范区和深汕合作区重大战略建设，争取省的支持，加强与深汕合作区的沟通协作，按省的部署进一步深入探索养老保险规则对接、关系衔接，方便两地人员</w:t>
      </w:r>
      <w:r>
        <w:rPr>
          <w:rStyle w:val="32"/>
          <w:rFonts w:hint="eastAsia" w:hAnsi="仿宋" w:eastAsia="仿宋_GB2312" w:cs="仿宋"/>
          <w:color w:val="auto"/>
          <w:sz w:val="32"/>
          <w:szCs w:val="32"/>
          <w:highlight w:val="none"/>
          <w:lang w:val="en-US" w:eastAsia="zh-CN"/>
        </w:rPr>
        <w:t>养老保险关系转移接续</w:t>
      </w:r>
      <w:r>
        <w:rPr>
          <w:rStyle w:val="32"/>
          <w:rFonts w:hint="eastAsia" w:hAnsi="仿宋" w:eastAsia="仿宋_GB2312" w:cs="仿宋"/>
          <w:color w:val="auto"/>
          <w:sz w:val="32"/>
          <w:szCs w:val="32"/>
          <w:highlight w:val="none"/>
        </w:rPr>
        <w:t>，促进深汕合作区各类人才流动。</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outlineLvl w:val="9"/>
        <w:rPr>
          <w:rStyle w:val="32"/>
          <w:rFonts w:hAnsi="仿宋" w:eastAsia="仿宋_GB2312" w:cs="仿宋"/>
          <w:color w:val="auto"/>
          <w:sz w:val="32"/>
          <w:szCs w:val="32"/>
          <w:highlight w:val="none"/>
        </w:rPr>
      </w:pPr>
    </w:p>
    <w:p>
      <w:pPr>
        <w:pStyle w:val="8"/>
        <w:rPr>
          <w:rStyle w:val="32"/>
          <w:rFonts w:hAnsi="仿宋" w:eastAsia="仿宋_GB2312" w:cs="仿宋"/>
          <w:color w:val="auto"/>
          <w:sz w:val="32"/>
          <w:szCs w:val="32"/>
          <w:highlight w:val="none"/>
        </w:rPr>
      </w:pPr>
    </w:p>
    <w:p>
      <w:pPr>
        <w:pStyle w:val="9"/>
        <w:rPr>
          <w:rStyle w:val="32"/>
          <w:rFonts w:hAnsi="仿宋" w:eastAsia="仿宋_GB2312" w:cs="仿宋"/>
          <w:color w:val="auto"/>
          <w:sz w:val="32"/>
          <w:szCs w:val="32"/>
          <w:highlight w:val="none"/>
        </w:rPr>
      </w:pPr>
    </w:p>
    <w:p>
      <w:pPr>
        <w:pStyle w:val="6"/>
        <w:rPr>
          <w:rStyle w:val="32"/>
          <w:rFonts w:hAnsi="仿宋" w:eastAsia="仿宋_GB2312" w:cs="仿宋"/>
          <w:color w:val="auto"/>
          <w:sz w:val="32"/>
          <w:szCs w:val="32"/>
          <w:highlight w:val="none"/>
        </w:rPr>
      </w:pPr>
    </w:p>
    <w:p>
      <w:pPr>
        <w:rPr>
          <w:rStyle w:val="32"/>
          <w:rFonts w:hAnsi="仿宋" w:eastAsia="仿宋_GB2312" w:cs="仿宋"/>
          <w:color w:val="auto"/>
          <w:sz w:val="32"/>
          <w:szCs w:val="32"/>
          <w:highlight w:val="none"/>
        </w:rPr>
      </w:pPr>
    </w:p>
    <w:p>
      <w:pPr>
        <w:pStyle w:val="8"/>
        <w:rPr>
          <w:rStyle w:val="32"/>
          <w:rFonts w:hAnsi="仿宋" w:eastAsia="仿宋_GB2312" w:cs="仿宋"/>
          <w:color w:val="auto"/>
          <w:sz w:val="32"/>
          <w:szCs w:val="32"/>
          <w:highlight w:val="none"/>
        </w:rPr>
      </w:pPr>
    </w:p>
    <w:p>
      <w:pPr>
        <w:pStyle w:val="9"/>
        <w:rPr>
          <w:rStyle w:val="32"/>
          <w:rFonts w:hAnsi="仿宋" w:eastAsia="仿宋_GB2312" w:cs="仿宋"/>
          <w:color w:val="auto"/>
          <w:sz w:val="32"/>
          <w:szCs w:val="32"/>
          <w:highlight w:val="none"/>
        </w:rPr>
      </w:pPr>
    </w:p>
    <w:p>
      <w:pPr>
        <w:pStyle w:val="6"/>
        <w:rPr>
          <w:rStyle w:val="32"/>
          <w:rFonts w:hAnsi="仿宋" w:eastAsia="仿宋_GB2312" w:cs="仿宋"/>
          <w:color w:val="auto"/>
          <w:sz w:val="32"/>
          <w:szCs w:val="32"/>
          <w:highlight w:val="none"/>
        </w:rPr>
      </w:pPr>
    </w:p>
    <w:p>
      <w:pPr>
        <w:rPr>
          <w:rStyle w:val="32"/>
          <w:rFonts w:hAnsi="仿宋" w:eastAsia="仿宋_GB2312" w:cs="仿宋"/>
          <w:color w:val="auto"/>
          <w:sz w:val="32"/>
          <w:szCs w:val="32"/>
          <w:highlight w:val="none"/>
        </w:rPr>
      </w:pPr>
    </w:p>
    <w:p>
      <w:pPr>
        <w:pStyle w:val="8"/>
        <w:rPr>
          <w:rStyle w:val="32"/>
          <w:rFonts w:hAnsi="仿宋" w:eastAsia="仿宋_GB2312" w:cs="仿宋"/>
          <w:color w:val="auto"/>
          <w:sz w:val="32"/>
          <w:szCs w:val="32"/>
          <w:highlight w:val="none"/>
        </w:rPr>
      </w:pPr>
    </w:p>
    <w:p>
      <w:pPr>
        <w:pStyle w:val="9"/>
        <w:rPr>
          <w:rStyle w:val="32"/>
          <w:rFonts w:hAnsi="仿宋" w:eastAsia="仿宋_GB2312" w:cs="仿宋"/>
          <w:color w:val="auto"/>
          <w:sz w:val="32"/>
          <w:szCs w:val="32"/>
          <w:highlight w:val="none"/>
        </w:rPr>
      </w:pPr>
    </w:p>
    <w:p>
      <w:pPr>
        <w:pStyle w:val="6"/>
        <w:rPr>
          <w:rStyle w:val="32"/>
          <w:rFonts w:hAnsi="仿宋" w:eastAsia="仿宋_GB2312" w:cs="仿宋"/>
          <w:color w:val="auto"/>
          <w:sz w:val="32"/>
          <w:szCs w:val="32"/>
          <w:highlight w:val="none"/>
        </w:rPr>
      </w:pPr>
    </w:p>
    <w:p>
      <w:pPr>
        <w:rPr>
          <w:rStyle w:val="32"/>
          <w:rFonts w:hAnsi="仿宋" w:eastAsia="仿宋_GB2312" w:cs="仿宋"/>
          <w:color w:val="auto"/>
          <w:sz w:val="32"/>
          <w:szCs w:val="32"/>
          <w:highlight w:val="none"/>
        </w:rPr>
      </w:pPr>
    </w:p>
    <w:p>
      <w:pPr>
        <w:pStyle w:val="8"/>
        <w:rPr>
          <w:rStyle w:val="32"/>
          <w:rFonts w:hAnsi="仿宋" w:eastAsia="仿宋_GB2312" w:cs="仿宋"/>
          <w:color w:val="auto"/>
          <w:sz w:val="32"/>
          <w:szCs w:val="32"/>
          <w:highlight w:val="none"/>
        </w:rPr>
      </w:pPr>
    </w:p>
    <w:p>
      <w:pPr>
        <w:pStyle w:val="9"/>
        <w:rPr>
          <w:rStyle w:val="32"/>
          <w:rFonts w:hAnsi="仿宋" w:eastAsia="仿宋_GB2312" w:cs="仿宋"/>
          <w:color w:val="auto"/>
          <w:sz w:val="32"/>
          <w:szCs w:val="32"/>
          <w:highlight w:val="none"/>
        </w:rPr>
      </w:pPr>
    </w:p>
    <w:p>
      <w:pPr>
        <w:pStyle w:val="6"/>
        <w:rPr>
          <w:rStyle w:val="32"/>
          <w:rFonts w:hAnsi="仿宋" w:eastAsia="仿宋_GB2312" w:cs="仿宋"/>
          <w:color w:val="auto"/>
          <w:sz w:val="32"/>
          <w:szCs w:val="32"/>
          <w:highlight w:val="none"/>
        </w:rPr>
      </w:pPr>
    </w:p>
    <w:p>
      <w:pPr>
        <w:rPr>
          <w:rStyle w:val="32"/>
          <w:rFonts w:hAnsi="仿宋" w:eastAsia="仿宋_GB2312" w:cs="仿宋"/>
          <w:color w:val="auto"/>
          <w:sz w:val="32"/>
          <w:szCs w:val="32"/>
          <w:highlight w:val="none"/>
        </w:rPr>
      </w:pPr>
    </w:p>
    <w:p>
      <w:pPr>
        <w:pStyle w:val="8"/>
        <w:rPr>
          <w:rStyle w:val="32"/>
          <w:rFonts w:hAnsi="仿宋" w:eastAsia="仿宋_GB2312" w:cs="仿宋"/>
          <w:color w:val="auto"/>
          <w:sz w:val="32"/>
          <w:szCs w:val="32"/>
          <w:highlight w:val="none"/>
        </w:rPr>
      </w:pPr>
    </w:p>
    <w:p>
      <w:pPr>
        <w:pStyle w:val="9"/>
        <w:rPr>
          <w:rStyle w:val="32"/>
          <w:rFonts w:hAnsi="仿宋" w:eastAsia="仿宋_GB2312" w:cs="仿宋"/>
          <w:color w:val="auto"/>
          <w:sz w:val="32"/>
          <w:szCs w:val="32"/>
          <w:highlight w:val="none"/>
        </w:rPr>
      </w:pPr>
    </w:p>
    <w:p>
      <w:pPr>
        <w:pStyle w:val="6"/>
        <w:rPr>
          <w:rStyle w:val="32"/>
          <w:rFonts w:hAnsi="仿宋" w:eastAsia="仿宋_GB2312" w:cs="仿宋"/>
          <w:color w:val="auto"/>
          <w:sz w:val="32"/>
          <w:szCs w:val="32"/>
          <w:highlight w:val="none"/>
        </w:rPr>
      </w:pPr>
    </w:p>
    <w:p>
      <w:pPr>
        <w:rPr>
          <w:rStyle w:val="32"/>
          <w:rFonts w:hAnsi="仿宋" w:eastAsia="仿宋_GB2312" w:cs="仿宋"/>
          <w:color w:val="auto"/>
          <w:sz w:val="32"/>
          <w:szCs w:val="32"/>
          <w:highlight w:val="none"/>
        </w:rPr>
      </w:pPr>
    </w:p>
    <w:p>
      <w:pPr>
        <w:pStyle w:val="8"/>
      </w:pPr>
    </w:p>
    <w:p>
      <w:pPr>
        <w:pStyle w:val="9"/>
        <w:rPr>
          <w:rStyle w:val="32"/>
          <w:rFonts w:hAnsi="仿宋" w:eastAsia="仿宋_GB2312" w:cs="仿宋"/>
          <w:color w:val="auto"/>
          <w:sz w:val="32"/>
          <w:szCs w:val="32"/>
          <w:highlight w:val="none"/>
        </w:rPr>
      </w:pPr>
    </w:p>
    <w:p>
      <w:pPr>
        <w:rPr>
          <w:rStyle w:val="32"/>
          <w:rFonts w:hAnsi="仿宋" w:eastAsia="仿宋_GB2312" w:cs="仿宋"/>
          <w:color w:val="auto"/>
          <w:sz w:val="32"/>
          <w:szCs w:val="32"/>
          <w:highlight w:val="none"/>
        </w:rPr>
      </w:pPr>
    </w:p>
    <w:p>
      <w:pPr>
        <w:pStyle w:val="9"/>
        <w:rPr>
          <w:rStyle w:val="32"/>
          <w:rFonts w:hAnsi="仿宋" w:eastAsia="仿宋_GB2312" w:cs="仿宋"/>
          <w:color w:val="auto"/>
          <w:sz w:val="32"/>
          <w:szCs w:val="32"/>
          <w:highlight w:val="none"/>
        </w:rPr>
      </w:pPr>
    </w:p>
    <w:p>
      <w:pPr>
        <w:rPr>
          <w:color w:val="auto"/>
          <w:highlight w:val="none"/>
        </w:rPr>
      </w:pPr>
    </w:p>
    <w:p>
      <w:pPr>
        <w:pStyle w:val="3"/>
        <w:adjustRightInd w:val="0"/>
        <w:snapToGrid w:val="0"/>
        <w:spacing w:before="120" w:beforeLines="50" w:after="120" w:afterLines="50" w:line="360" w:lineRule="auto"/>
        <w:jc w:val="center"/>
        <w:rPr>
          <w:rFonts w:ascii="Calibri" w:hAnsi="Calibri" w:eastAsia="黑体"/>
          <w:b w:val="0"/>
          <w:bCs/>
          <w:color w:val="auto"/>
          <w:sz w:val="36"/>
          <w:szCs w:val="36"/>
          <w:highlight w:val="none"/>
          <w:lang w:val="en-US"/>
        </w:rPr>
      </w:pPr>
      <w:bookmarkStart w:id="32" w:name="_Toc1573"/>
      <w:bookmarkStart w:id="33" w:name="_Toc28167"/>
      <w:bookmarkStart w:id="34" w:name="_Toc12949"/>
      <w:r>
        <w:rPr>
          <w:rFonts w:hint="eastAsia" w:ascii="Calibri" w:hAnsi="Calibri" w:eastAsia="黑体"/>
          <w:b w:val="0"/>
          <w:bCs/>
          <w:color w:val="auto"/>
          <w:sz w:val="36"/>
          <w:szCs w:val="36"/>
          <w:highlight w:val="none"/>
          <w:lang w:val="en-US"/>
        </w:rPr>
        <w:t>第四章  实现更加充分更高质量就</w:t>
      </w:r>
      <w:bookmarkEnd w:id="32"/>
      <w:r>
        <w:rPr>
          <w:rFonts w:hint="eastAsia" w:ascii="Calibri" w:hAnsi="Calibri" w:eastAsia="黑体"/>
          <w:b w:val="0"/>
          <w:bCs/>
          <w:color w:val="auto"/>
          <w:sz w:val="36"/>
          <w:szCs w:val="36"/>
          <w:highlight w:val="none"/>
          <w:lang w:val="en-US"/>
        </w:rPr>
        <w:t>业</w:t>
      </w:r>
      <w:bookmarkEnd w:id="33"/>
      <w:bookmarkEnd w:id="34"/>
    </w:p>
    <w:p>
      <w:pPr>
        <w:adjustRightInd w:val="0"/>
        <w:snapToGrid w:val="0"/>
        <w:spacing w:line="360" w:lineRule="auto"/>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全面强化就业优先政策，健全有利于更加充分更高质量就业的促进机制，</w:t>
      </w:r>
      <w:r>
        <w:rPr>
          <w:rFonts w:hint="eastAsia" w:ascii="仿宋_GB2312" w:hAnsi="宋体" w:eastAsia="仿宋_GB2312"/>
          <w:color w:val="auto"/>
          <w:sz w:val="32"/>
          <w:szCs w:val="32"/>
          <w:highlight w:val="none"/>
          <w:lang w:val="en-US" w:eastAsia="zh-CN"/>
        </w:rPr>
        <w:t>着力</w:t>
      </w:r>
      <w:r>
        <w:rPr>
          <w:rFonts w:hint="eastAsia" w:ascii="仿宋_GB2312" w:hAnsi="宋体" w:eastAsia="仿宋_GB2312"/>
          <w:color w:val="auto"/>
          <w:sz w:val="32"/>
          <w:szCs w:val="32"/>
          <w:highlight w:val="none"/>
        </w:rPr>
        <w:t>解决就业结构性矛盾，鼓励创业带动就业，推进全方位公共就业服务，推动就业稳定增长，有效防范化解失业风险，确保就业局势总体稳定。不断增进民生福祉，推动</w:t>
      </w:r>
      <w:r>
        <w:rPr>
          <w:rFonts w:hint="eastAsia" w:ascii="仿宋_GB2312" w:hAnsi="宋体" w:eastAsia="仿宋_GB2312"/>
          <w:color w:val="auto"/>
          <w:sz w:val="32"/>
          <w:szCs w:val="32"/>
          <w:highlight w:val="none"/>
          <w:lang w:val="en-US" w:eastAsia="zh-CN"/>
        </w:rPr>
        <w:t>全市</w:t>
      </w:r>
      <w:r>
        <w:rPr>
          <w:rFonts w:hint="eastAsia" w:ascii="仿宋_GB2312" w:hAnsi="宋体" w:eastAsia="仿宋_GB2312"/>
          <w:color w:val="auto"/>
          <w:sz w:val="32"/>
          <w:szCs w:val="32"/>
          <w:highlight w:val="none"/>
        </w:rPr>
        <w:t>人民共同富裕迈出坚实步伐。</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35" w:name="_Toc18576"/>
      <w:bookmarkStart w:id="36" w:name="_Toc12494"/>
      <w:r>
        <w:rPr>
          <w:rFonts w:hint="eastAsia" w:ascii="Cambria" w:hAnsi="Cambria" w:eastAsia="楷体_GB2312"/>
          <w:color w:val="auto"/>
          <w:sz w:val="34"/>
          <w:highlight w:val="none"/>
        </w:rPr>
        <w:t>第一节  强化就业政策引导效能</w:t>
      </w:r>
      <w:bookmarkEnd w:id="35"/>
      <w:bookmarkEnd w:id="36"/>
    </w:p>
    <w:p>
      <w:pPr>
        <w:adjustRightInd w:val="0"/>
        <w:snapToGrid w:val="0"/>
        <w:spacing w:line="360" w:lineRule="auto"/>
        <w:ind w:firstLine="643" w:firstLineChars="200"/>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突出就业优先目标导向。</w:t>
      </w:r>
      <w:r>
        <w:rPr>
          <w:rFonts w:hint="eastAsia" w:ascii="仿宋_GB2312" w:hAnsi="宋体" w:eastAsia="仿宋_GB2312"/>
          <w:color w:val="auto"/>
          <w:sz w:val="32"/>
          <w:szCs w:val="32"/>
          <w:highlight w:val="none"/>
        </w:rPr>
        <w:t>完善就业优先政策体系，坚持把稳定和扩大就业作为经济社会发展的优先目标和经济运行合理区间的下限，将</w:t>
      </w:r>
      <w:r>
        <w:rPr>
          <w:rFonts w:hint="eastAsia" w:ascii="仿宋_GB2312" w:hAnsi="宋体" w:eastAsia="仿宋_GB2312"/>
          <w:color w:val="auto"/>
          <w:sz w:val="32"/>
          <w:szCs w:val="32"/>
          <w:highlight w:val="none"/>
          <w:lang w:val="en-US" w:eastAsia="zh-CN"/>
        </w:rPr>
        <w:t>稳就业</w:t>
      </w:r>
      <w:r>
        <w:rPr>
          <w:rFonts w:hint="eastAsia" w:ascii="仿宋_GB2312" w:hAnsi="宋体" w:eastAsia="仿宋_GB2312"/>
          <w:color w:val="auto"/>
          <w:sz w:val="32"/>
          <w:szCs w:val="32"/>
          <w:highlight w:val="none"/>
        </w:rPr>
        <w:t>保居民就业作为经济工作的底线，</w:t>
      </w:r>
      <w:r>
        <w:rPr>
          <w:rFonts w:hint="eastAsia" w:ascii="仿宋_GB2312" w:hAnsi="宋体" w:eastAsia="仿宋_GB2312"/>
          <w:color w:val="auto"/>
          <w:sz w:val="32"/>
          <w:szCs w:val="32"/>
          <w:highlight w:val="none"/>
          <w:lang w:val="en-US" w:eastAsia="zh-CN"/>
        </w:rPr>
        <w:t>坚持经济发展就业导向，</w:t>
      </w:r>
      <w:r>
        <w:rPr>
          <w:rFonts w:hint="eastAsia" w:ascii="仿宋_GB2312" w:hAnsi="宋体" w:eastAsia="仿宋_GB2312"/>
          <w:color w:val="auto"/>
          <w:sz w:val="32"/>
          <w:szCs w:val="32"/>
          <w:highlight w:val="none"/>
        </w:rPr>
        <w:t>提升产业带动就业能力，稳定</w:t>
      </w:r>
      <w:r>
        <w:rPr>
          <w:rFonts w:hint="eastAsia" w:ascii="仿宋_GB2312" w:hAnsi="宋体" w:eastAsia="仿宋_GB2312"/>
          <w:color w:val="auto"/>
          <w:sz w:val="32"/>
          <w:szCs w:val="32"/>
          <w:highlight w:val="none"/>
          <w:lang w:val="en-US" w:eastAsia="zh-CN"/>
        </w:rPr>
        <w:t>扶持</w:t>
      </w:r>
      <w:r>
        <w:rPr>
          <w:rFonts w:hint="eastAsia" w:ascii="仿宋_GB2312" w:hAnsi="宋体" w:eastAsia="仿宋_GB2312"/>
          <w:color w:val="auto"/>
          <w:sz w:val="32"/>
          <w:szCs w:val="32"/>
          <w:highlight w:val="none"/>
        </w:rPr>
        <w:t>市场主体增加就业岗位，促进实现更加充分更高质量就业。压实各级政府促</w:t>
      </w:r>
      <w:r>
        <w:rPr>
          <w:rFonts w:hint="eastAsia" w:ascii="仿宋_GB2312" w:hAnsi="宋体" w:eastAsia="仿宋_GB2312"/>
          <w:color w:val="auto"/>
          <w:sz w:val="32"/>
          <w:szCs w:val="32"/>
          <w:highlight w:val="none"/>
          <w:lang w:val="en-US" w:eastAsia="zh-CN"/>
        </w:rPr>
        <w:t>进</w:t>
      </w:r>
      <w:r>
        <w:rPr>
          <w:rFonts w:hint="eastAsia" w:ascii="仿宋_GB2312" w:hAnsi="宋体" w:eastAsia="仿宋_GB2312"/>
          <w:color w:val="auto"/>
          <w:sz w:val="32"/>
          <w:szCs w:val="32"/>
          <w:highlight w:val="none"/>
        </w:rPr>
        <w:t>就业主体责任和各职能部门</w:t>
      </w:r>
      <w:r>
        <w:rPr>
          <w:rFonts w:hint="eastAsia" w:ascii="仿宋_GB2312" w:hAnsi="宋体" w:eastAsia="仿宋_GB2312"/>
          <w:color w:val="auto"/>
          <w:sz w:val="32"/>
          <w:szCs w:val="32"/>
          <w:highlight w:val="none"/>
          <w:lang w:val="en-US" w:eastAsia="zh-CN"/>
        </w:rPr>
        <w:t>主管</w:t>
      </w:r>
      <w:r>
        <w:rPr>
          <w:rFonts w:hint="eastAsia" w:ascii="仿宋_GB2312" w:hAnsi="宋体" w:eastAsia="仿宋_GB2312"/>
          <w:color w:val="auto"/>
          <w:sz w:val="32"/>
          <w:szCs w:val="32"/>
          <w:highlight w:val="none"/>
        </w:rPr>
        <w:t>责任，加强对就业工作统筹领导。建立健全常态化促进就业协同联动机制，形成工作合力。</w:t>
      </w:r>
    </w:p>
    <w:p>
      <w:pPr>
        <w:adjustRightInd w:val="0"/>
        <w:snapToGrid w:val="0"/>
        <w:spacing w:line="360" w:lineRule="auto"/>
        <w:ind w:firstLine="643" w:firstLineChars="200"/>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培育新的就业增长点。</w:t>
      </w:r>
      <w:r>
        <w:rPr>
          <w:rFonts w:hint="eastAsia" w:ascii="仿宋_GB2312" w:hAnsi="宋体" w:eastAsia="仿宋_GB2312"/>
          <w:b w:val="0"/>
          <w:bCs/>
          <w:color w:val="auto"/>
          <w:sz w:val="32"/>
          <w:szCs w:val="32"/>
          <w:highlight w:val="none"/>
          <w:lang w:val="en-US" w:eastAsia="zh-CN"/>
        </w:rPr>
        <w:t>不断拓宽就业渠道，</w:t>
      </w:r>
      <w:r>
        <w:rPr>
          <w:rFonts w:hint="eastAsia" w:ascii="仿宋_GB2312" w:hAnsi="宋体" w:eastAsia="仿宋_GB2312"/>
          <w:color w:val="auto"/>
          <w:sz w:val="32"/>
          <w:szCs w:val="32"/>
          <w:highlight w:val="none"/>
        </w:rPr>
        <w:t>扩大就业容量，</w:t>
      </w:r>
      <w:r>
        <w:rPr>
          <w:rFonts w:hint="eastAsia" w:ascii="仿宋_GB2312" w:hAnsi="宋体" w:eastAsia="仿宋_GB2312"/>
          <w:color w:val="auto"/>
          <w:sz w:val="32"/>
          <w:szCs w:val="32"/>
          <w:highlight w:val="none"/>
          <w:lang w:val="en-US" w:eastAsia="zh-CN"/>
        </w:rPr>
        <w:t>提升就业质量，</w:t>
      </w:r>
      <w:r>
        <w:rPr>
          <w:rFonts w:hint="eastAsia" w:ascii="仿宋_GB2312" w:hAnsi="宋体" w:eastAsia="仿宋_GB2312"/>
          <w:color w:val="auto"/>
          <w:sz w:val="32"/>
          <w:szCs w:val="32"/>
          <w:highlight w:val="none"/>
        </w:rPr>
        <w:t>构建更有利于扩大就业的现代化经济体系，优先支持吸纳就业能力强、潜力大的现代服务业和小微企业、民营企业发展。促进数字经济领域就业创业，培育接续有力的就业新动能。加大对“互联网+”、平台经济等支持力度，扶持发展新技术新产业新业态新模式，分类规范引导，探索建立与之相适应的劳动权益保障、社会保险、就业服务管理制度。</w:t>
      </w:r>
    </w:p>
    <w:p>
      <w:pPr>
        <w:adjustRightInd w:val="0"/>
        <w:snapToGrid w:val="0"/>
        <w:spacing w:line="360" w:lineRule="auto"/>
        <w:ind w:firstLine="643"/>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防范化解失业风险。</w:t>
      </w:r>
      <w:r>
        <w:rPr>
          <w:rFonts w:hint="eastAsia" w:ascii="仿宋_GB2312" w:hAnsi="宋体" w:eastAsia="仿宋_GB2312"/>
          <w:color w:val="auto"/>
          <w:sz w:val="32"/>
          <w:szCs w:val="32"/>
          <w:highlight w:val="none"/>
        </w:rPr>
        <w:t>健全多部门就业形势会商研判机制，多维度开展就业失业风险研判。突出做好高校毕业生、异地务工人员、退役军人等重点群体就业工作，全力做好就业困难人员就业援助。进一步完善就业失业动态监测机制，</w:t>
      </w:r>
      <w:r>
        <w:rPr>
          <w:rFonts w:hint="eastAsia" w:ascii="仿宋_GB2312" w:hAnsi="宋体" w:eastAsia="仿宋_GB2312"/>
          <w:color w:val="auto"/>
          <w:sz w:val="32"/>
          <w:szCs w:val="32"/>
          <w:highlight w:val="none"/>
          <w:lang w:val="en-US" w:eastAsia="zh-CN"/>
        </w:rPr>
        <w:t>加大对</w:t>
      </w:r>
      <w:r>
        <w:rPr>
          <w:rFonts w:hint="eastAsia" w:ascii="仿宋_GB2312" w:hAnsi="宋体" w:eastAsia="仿宋_GB2312"/>
          <w:color w:val="auto"/>
          <w:sz w:val="32"/>
          <w:szCs w:val="32"/>
          <w:highlight w:val="none"/>
        </w:rPr>
        <w:t>重点行业</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重点企业</w:t>
      </w:r>
      <w:r>
        <w:rPr>
          <w:rFonts w:hint="eastAsia" w:ascii="仿宋_GB2312" w:hAnsi="宋体" w:eastAsia="仿宋_GB2312"/>
          <w:color w:val="auto"/>
          <w:sz w:val="32"/>
          <w:szCs w:val="32"/>
          <w:highlight w:val="none"/>
        </w:rPr>
        <w:t>不同时期员工增减</w:t>
      </w:r>
      <w:r>
        <w:rPr>
          <w:rFonts w:hint="eastAsia" w:ascii="仿宋_GB2312" w:hAnsi="宋体" w:eastAsia="仿宋_GB2312"/>
          <w:color w:val="auto"/>
          <w:sz w:val="32"/>
          <w:szCs w:val="32"/>
          <w:highlight w:val="none"/>
          <w:lang w:val="en-US" w:eastAsia="zh-CN"/>
        </w:rPr>
        <w:t>情况</w:t>
      </w:r>
      <w:r>
        <w:rPr>
          <w:rFonts w:hint="eastAsia" w:ascii="仿宋_GB2312" w:hAnsi="宋体" w:eastAsia="仿宋_GB2312"/>
          <w:color w:val="auto"/>
          <w:sz w:val="32"/>
          <w:szCs w:val="32"/>
          <w:highlight w:val="none"/>
        </w:rPr>
        <w:t>进行监测、分析，随时掌握全市就业失业</w:t>
      </w:r>
      <w:r>
        <w:rPr>
          <w:rFonts w:hint="eastAsia" w:ascii="仿宋_GB2312" w:hAnsi="宋体" w:eastAsia="仿宋_GB2312"/>
          <w:color w:val="auto"/>
          <w:sz w:val="32"/>
          <w:szCs w:val="32"/>
          <w:highlight w:val="none"/>
          <w:lang w:val="en-US" w:eastAsia="zh-CN"/>
        </w:rPr>
        <w:t>动态</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及时</w:t>
      </w:r>
      <w:r>
        <w:rPr>
          <w:rFonts w:hint="eastAsia" w:ascii="仿宋_GB2312" w:hAnsi="宋体" w:eastAsia="仿宋_GB2312"/>
          <w:color w:val="auto"/>
          <w:sz w:val="32"/>
          <w:szCs w:val="32"/>
          <w:highlight w:val="none"/>
        </w:rPr>
        <w:t>调控就业失业状况。畅通劳动关系信息传递渠道，妥善处置企业规模裁员，稳妥处置突发事件和群体性事件。切实防范规模性失业风险，守住风险防控底线。</w:t>
      </w:r>
    </w:p>
    <w:p>
      <w:pPr>
        <w:adjustRightInd w:val="0"/>
        <w:snapToGrid w:val="0"/>
        <w:spacing w:line="360" w:lineRule="auto"/>
        <w:ind w:firstLine="643"/>
        <w:rPr>
          <w:rFonts w:ascii="仿宋_GB2312" w:hAnsi="宋体" w:eastAsia="仿宋_GB2312"/>
          <w:color w:val="auto"/>
          <w:sz w:val="32"/>
          <w:szCs w:val="32"/>
          <w:highlight w:val="none"/>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jc w:val="center"/>
              <w:rPr>
                <w:rFonts w:ascii="楷体_GB2312" w:hAnsi="宋体" w:eastAsia="楷体_GB2312" w:cs="宋体"/>
                <w:b/>
                <w:color w:val="auto"/>
                <w:sz w:val="32"/>
                <w:szCs w:val="32"/>
                <w:highlight w:val="none"/>
                <w:lang w:bidi="zh-TW"/>
              </w:rPr>
            </w:pPr>
            <w:r>
              <w:rPr>
                <w:rFonts w:hint="eastAsia" w:ascii="楷体_GB2312" w:hAnsi="宋体" w:eastAsia="楷体_GB2312" w:cs="宋体"/>
                <w:b/>
                <w:color w:val="auto"/>
                <w:sz w:val="32"/>
                <w:szCs w:val="32"/>
                <w:highlight w:val="none"/>
                <w:lang w:bidi="zh-TW"/>
              </w:rPr>
              <w:t>专栏3  建立劳动力预测与数据共享机制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adjustRightInd w:val="0"/>
              <w:snapToGrid w:val="0"/>
              <w:spacing w:before="120" w:beforeLines="50" w:line="360" w:lineRule="auto"/>
              <w:ind w:firstLine="560" w:firstLineChars="200"/>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建立和完善劳动力需求信息征集、反馈、汇总机制，围绕我市支柱产业和重点产业对劳动力的需求，采取综合性预测和专项预测相结合的方法，对一些重点行业专业的大中专毕业生需求进行预测和调控。建立就业与人才、社保、劳动关系等人社业务数据比对校验机制，与统计、工信、商务、税务等部门建立数据信息共享机制，运用大数据手段开展深度综合分析，增强研究分析的科学性和准确性。</w:t>
            </w:r>
          </w:p>
        </w:tc>
      </w:tr>
    </w:tbl>
    <w:p>
      <w:pPr>
        <w:pStyle w:val="9"/>
        <w:rPr>
          <w:color w:val="auto"/>
          <w:highlight w:val="none"/>
        </w:rPr>
      </w:pP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37" w:name="_Toc30830"/>
      <w:bookmarkStart w:id="38" w:name="_Toc19239"/>
      <w:r>
        <w:rPr>
          <w:rFonts w:hint="eastAsia" w:ascii="Cambria" w:hAnsi="Cambria" w:eastAsia="楷体_GB2312"/>
          <w:color w:val="auto"/>
          <w:sz w:val="34"/>
          <w:highlight w:val="none"/>
        </w:rPr>
        <w:t>第二节  促进创业带动就业</w:t>
      </w:r>
      <w:bookmarkEnd w:id="37"/>
      <w:bookmarkEnd w:id="38"/>
    </w:p>
    <w:p>
      <w:pPr>
        <w:adjustRightInd w:val="0"/>
        <w:snapToGrid w:val="0"/>
        <w:spacing w:line="360" w:lineRule="auto"/>
        <w:ind w:firstLine="643" w:firstLineChars="200"/>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释放创新创业动能。</w:t>
      </w:r>
      <w:r>
        <w:rPr>
          <w:rFonts w:hint="eastAsia" w:ascii="仿宋_GB2312" w:hAnsi="宋体" w:eastAsia="仿宋_GB2312"/>
          <w:color w:val="auto"/>
          <w:sz w:val="32"/>
          <w:szCs w:val="32"/>
          <w:highlight w:val="none"/>
        </w:rPr>
        <w:t>大力构建我市创业扶持体系，从扶持政策、创业载体和服务平台三个方面精准发力，进一步加大市级基地建设培育力度，指导推荐一批省级创业孵化示范基地，指导基地设立专家服务站，提升基地创业带动就业服务能力，最大限度释放创新创业创造动能</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放大就业倍增效应</w:t>
      </w:r>
      <w:r>
        <w:rPr>
          <w:rFonts w:hint="eastAsia" w:ascii="仿宋_GB2312" w:hAnsi="宋体" w:eastAsia="仿宋_GB2312"/>
          <w:color w:val="auto"/>
          <w:sz w:val="32"/>
          <w:szCs w:val="32"/>
          <w:highlight w:val="none"/>
        </w:rPr>
        <w:t>。</w:t>
      </w:r>
    </w:p>
    <w:p>
      <w:pPr>
        <w:adjustRightInd w:val="0"/>
        <w:snapToGrid w:val="0"/>
        <w:spacing w:line="360" w:lineRule="auto"/>
        <w:ind w:firstLine="643" w:firstLineChars="200"/>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推动“双创”升级发展。</w:t>
      </w:r>
      <w:r>
        <w:rPr>
          <w:rFonts w:hint="eastAsia" w:ascii="仿宋_GB2312" w:hAnsi="宋体" w:eastAsia="仿宋_GB2312"/>
          <w:color w:val="auto"/>
          <w:sz w:val="32"/>
          <w:szCs w:val="32"/>
          <w:highlight w:val="none"/>
        </w:rPr>
        <w:t>通过创业和再创业，推动传统产业转型升级，促进新技术与传统产业融合，让传统产业焕发新活力、释放新动能。加快新兴产业的创业载体培育，深入实施创新驱动和“互联网+”等发展战略，发展电子信息、高端装备、生物医药等新兴产业的创业载体。促进成果顺畅转化，搭建创业成果转化平台，健全资源开放共享机制，鼓励高层次人才面向企业开展技术开发、技术咨询、技术培训等活动，实现人才创业、企业创新与产业升级深度融合。</w:t>
      </w:r>
    </w:p>
    <w:p>
      <w:pPr>
        <w:adjustRightInd w:val="0"/>
        <w:snapToGrid w:val="0"/>
        <w:spacing w:line="360" w:lineRule="auto"/>
        <w:ind w:firstLine="643" w:firstLineChars="200"/>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进一步扩大创业扶持面。</w:t>
      </w:r>
      <w:r>
        <w:rPr>
          <w:rFonts w:hint="eastAsia" w:ascii="仿宋_GB2312" w:hAnsi="宋体" w:eastAsia="仿宋_GB2312"/>
          <w:color w:val="auto"/>
          <w:sz w:val="32"/>
          <w:szCs w:val="32"/>
          <w:highlight w:val="none"/>
        </w:rPr>
        <w:t>不断提高大中专毕业生创业比例，全力推动城镇就业困难人员、大中专毕业生、农村富余劳动力创业促就业工作</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同时</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加强导师管理，努力培养一批高质量的创业导师队伍。建立和完善政府牵头，人社、市场监督管理、</w:t>
      </w:r>
      <w:r>
        <w:rPr>
          <w:rFonts w:hint="eastAsia" w:ascii="仿宋_GB2312" w:hAnsi="宋体" w:eastAsia="仿宋_GB2312"/>
          <w:color w:val="auto"/>
          <w:sz w:val="32"/>
          <w:szCs w:val="32"/>
          <w:highlight w:val="none"/>
          <w:lang w:val="en-US" w:eastAsia="zh-CN"/>
        </w:rPr>
        <w:t>工信、商务、</w:t>
      </w:r>
      <w:r>
        <w:rPr>
          <w:rFonts w:hint="eastAsia" w:ascii="仿宋_GB2312" w:hAnsi="宋体" w:eastAsia="仿宋_GB2312"/>
          <w:color w:val="auto"/>
          <w:sz w:val="32"/>
          <w:szCs w:val="32"/>
          <w:highlight w:val="none"/>
        </w:rPr>
        <w:t xml:space="preserve">财政、教育、税务、银行、工商联、共青团、妇联等部门定期联系协调机制，进一步加强部门配合，全面认真落实中央、省、市制定的各项扶持和优惠政策。 </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39" w:name="_Toc26773"/>
      <w:bookmarkStart w:id="40" w:name="_Toc1665"/>
      <w:r>
        <w:rPr>
          <w:rFonts w:hint="eastAsia" w:ascii="Cambria" w:hAnsi="Cambria" w:eastAsia="楷体_GB2312"/>
          <w:color w:val="auto"/>
          <w:sz w:val="34"/>
          <w:highlight w:val="none"/>
        </w:rPr>
        <w:t>第三节  完善重点群体就业支持体系</w:t>
      </w:r>
      <w:bookmarkEnd w:id="39"/>
      <w:bookmarkEnd w:id="40"/>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促进高校毕业生就业创业。</w:t>
      </w:r>
      <w:r>
        <w:rPr>
          <w:rFonts w:hint="eastAsia" w:ascii="仿宋_GB2312" w:hAnsi="宋体" w:eastAsia="仿宋_GB2312"/>
          <w:color w:val="auto"/>
          <w:sz w:val="32"/>
          <w:szCs w:val="32"/>
          <w:highlight w:val="none"/>
        </w:rPr>
        <w:t>拓宽高校毕业生市场化社会化就业渠道，将高校毕业生就业作为重中之重，畅通高校毕业生到国有企业、民营企业、事业单位、基层岗位等就业渠道</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强化择业就业观念引导，推动高校毕业生积极理性就业</w:t>
      </w:r>
      <w:r>
        <w:rPr>
          <w:rFonts w:hint="eastAsia" w:ascii="仿宋_GB2312" w:hAnsi="宋体" w:eastAsia="仿宋_GB2312"/>
          <w:color w:val="auto"/>
          <w:sz w:val="32"/>
          <w:szCs w:val="32"/>
          <w:highlight w:val="none"/>
        </w:rPr>
        <w:t>。健全就业指导、职业培训、就业见习等服务机制，对困难毕业生和长期失业青年实施就业帮扶。支持高校健全就业创业指导服务体系，推动就业创业服务向校园延伸，鼓励支持高校毕业生多渠道就业创业。鼓励高校毕业生到基层就业，组织实施好“三支一扶”等项目，畅通基层成长通道。引导高校毕业生到中小企业和非公有制单位就业，鼓励大学生参军入伍，鼓励高校毕业生自主创业、灵活就业和跨地区就业等，促进高校毕业生充分就业。</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促进农村富余劳动力稳定就业。</w:t>
      </w:r>
      <w:r>
        <w:rPr>
          <w:rFonts w:hint="eastAsia" w:ascii="仿宋_GB2312" w:hAnsi="宋体" w:eastAsia="仿宋_GB2312"/>
          <w:color w:val="auto"/>
          <w:sz w:val="32"/>
          <w:szCs w:val="32"/>
          <w:highlight w:val="none"/>
        </w:rPr>
        <w:t>推动农村劳动力多渠道就业和多元化发展，持续推进农业富余劳动力进城务工、跨地区有序流动并稳定生活，落实农村转移人口就业扶持政策，实施新生代农民工职业技能提升计划。深化深汕劳务协作，加强信息引导，促进供求对接，积极促进</w:t>
      </w:r>
      <w:r>
        <w:rPr>
          <w:rFonts w:hint="eastAsia" w:ascii="仿宋_GB2312" w:hAnsi="宋体" w:eastAsia="仿宋_GB2312"/>
          <w:color w:val="auto"/>
          <w:sz w:val="32"/>
          <w:szCs w:val="32"/>
          <w:highlight w:val="none"/>
          <w:lang w:val="en-US" w:eastAsia="zh-CN"/>
        </w:rPr>
        <w:t>各类</w:t>
      </w:r>
      <w:r>
        <w:rPr>
          <w:rFonts w:hint="eastAsia" w:ascii="仿宋_GB2312" w:hAnsi="宋体" w:eastAsia="仿宋_GB2312"/>
          <w:color w:val="auto"/>
          <w:sz w:val="32"/>
          <w:szCs w:val="32"/>
          <w:highlight w:val="none"/>
        </w:rPr>
        <w:t>劳动力有序进入深圳求职就业。鼓励农村劳动力实现就地就近转移就业和返乡创业。</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帮扶困难人员就业。</w:t>
      </w:r>
      <w:r>
        <w:rPr>
          <w:rFonts w:hint="eastAsia" w:ascii="仿宋_GB2312" w:hAnsi="宋体" w:eastAsia="仿宋_GB2312"/>
          <w:b w:val="0"/>
          <w:bCs/>
          <w:color w:val="auto"/>
          <w:sz w:val="32"/>
          <w:szCs w:val="32"/>
          <w:highlight w:val="none"/>
          <w:lang w:val="en-US" w:eastAsia="zh-CN"/>
        </w:rPr>
        <w:t>健全脱贫人口就业帮扶长效机制，</w:t>
      </w:r>
      <w:r>
        <w:rPr>
          <w:rFonts w:hint="eastAsia" w:ascii="仿宋_GB2312" w:hAnsi="宋体" w:eastAsia="仿宋_GB2312"/>
          <w:color w:val="auto"/>
          <w:sz w:val="32"/>
          <w:szCs w:val="32"/>
          <w:highlight w:val="none"/>
        </w:rPr>
        <w:t>动态合理确定就业困难人员范围，</w:t>
      </w:r>
      <w:r>
        <w:rPr>
          <w:rFonts w:hint="eastAsia" w:ascii="仿宋_GB2312" w:hAnsi="宋体" w:eastAsia="仿宋_GB2312"/>
          <w:color w:val="auto"/>
          <w:sz w:val="32"/>
          <w:szCs w:val="32"/>
          <w:highlight w:val="none"/>
          <w:lang w:val="en-US" w:eastAsia="zh-CN"/>
        </w:rPr>
        <w:t>完善</w:t>
      </w:r>
      <w:r>
        <w:rPr>
          <w:rFonts w:hint="eastAsia" w:ascii="仿宋_GB2312" w:hAnsi="宋体" w:eastAsia="仿宋_GB2312"/>
          <w:color w:val="auto"/>
          <w:sz w:val="32"/>
          <w:szCs w:val="32"/>
          <w:highlight w:val="none"/>
        </w:rPr>
        <w:t>就业困难人员认定</w:t>
      </w:r>
      <w:r>
        <w:rPr>
          <w:rFonts w:hint="eastAsia" w:ascii="仿宋_GB2312" w:hAnsi="宋体" w:eastAsia="仿宋_GB2312"/>
          <w:color w:val="auto"/>
          <w:sz w:val="32"/>
          <w:szCs w:val="32"/>
          <w:highlight w:val="none"/>
          <w:lang w:val="en-US" w:eastAsia="zh-CN"/>
        </w:rPr>
        <w:t>办法</w:t>
      </w:r>
      <w:r>
        <w:rPr>
          <w:rFonts w:hint="eastAsia" w:ascii="仿宋_GB2312" w:hAnsi="宋体" w:eastAsia="仿宋_GB2312"/>
          <w:color w:val="auto"/>
          <w:sz w:val="32"/>
          <w:szCs w:val="32"/>
          <w:highlight w:val="none"/>
        </w:rPr>
        <w:t>，精准识别就业援助对象，制定个性化援助计划。组织开展专项就业服务活动。规范公益性岗位开发管理，加强公益性岗位托底安置，确保零就业家庭动态“清零”。加强</w:t>
      </w:r>
      <w:r>
        <w:rPr>
          <w:rFonts w:hint="eastAsia" w:ascii="仿宋_GB2312" w:hAnsi="宋体" w:eastAsia="仿宋_GB2312"/>
          <w:color w:val="auto"/>
          <w:sz w:val="32"/>
          <w:szCs w:val="32"/>
          <w:highlight w:val="none"/>
          <w:lang w:val="en-US" w:eastAsia="zh-CN"/>
        </w:rPr>
        <w:t>就业困难人员</w:t>
      </w:r>
      <w:r>
        <w:rPr>
          <w:rFonts w:hint="eastAsia" w:ascii="仿宋_GB2312" w:hAnsi="宋体" w:eastAsia="仿宋_GB2312"/>
          <w:color w:val="auto"/>
          <w:sz w:val="32"/>
          <w:szCs w:val="32"/>
          <w:highlight w:val="none"/>
        </w:rPr>
        <w:t>的精准就业服务，</w:t>
      </w:r>
      <w:r>
        <w:rPr>
          <w:rFonts w:hint="eastAsia" w:ascii="仿宋_GB2312" w:hAnsi="宋体" w:eastAsia="仿宋_GB2312"/>
          <w:color w:val="auto"/>
          <w:sz w:val="32"/>
          <w:szCs w:val="32"/>
          <w:highlight w:val="none"/>
          <w:lang w:val="en-US" w:eastAsia="zh-CN"/>
        </w:rPr>
        <w:t>加强对就业帮扶效果的跟踪与评估，确保零就业家庭动态清零</w:t>
      </w:r>
      <w:r>
        <w:rPr>
          <w:rFonts w:hint="eastAsia" w:ascii="仿宋_GB2312" w:hAnsi="宋体" w:eastAsia="仿宋_GB2312"/>
          <w:color w:val="auto"/>
          <w:sz w:val="32"/>
          <w:szCs w:val="32"/>
          <w:highlight w:val="none"/>
        </w:rPr>
        <w:t>。</w:t>
      </w:r>
    </w:p>
    <w:p>
      <w:pPr>
        <w:pStyle w:val="4"/>
        <w:keepNext w:val="0"/>
        <w:keepLines w:val="0"/>
        <w:pageBreakBefore w:val="0"/>
        <w:widowControl w:val="0"/>
        <w:kinsoku/>
        <w:wordWrap/>
        <w:overflowPunct/>
        <w:topLinePunct w:val="0"/>
        <w:autoSpaceDE/>
        <w:autoSpaceDN/>
        <w:bidi w:val="0"/>
        <w:adjustRightInd w:val="0"/>
        <w:snapToGrid w:val="0"/>
        <w:spacing w:before="120" w:beforeLines="50" w:after="120" w:afterLines="50" w:line="620" w:lineRule="exact"/>
        <w:ind w:left="200"/>
        <w:jc w:val="center"/>
        <w:textAlignment w:val="auto"/>
        <w:rPr>
          <w:rFonts w:ascii="Cambria" w:hAnsi="Cambria" w:eastAsia="楷体_GB2312"/>
          <w:color w:val="auto"/>
          <w:sz w:val="34"/>
          <w:highlight w:val="none"/>
        </w:rPr>
      </w:pPr>
      <w:bookmarkStart w:id="41" w:name="_Toc7752"/>
      <w:bookmarkStart w:id="42" w:name="_Toc6388"/>
      <w:r>
        <w:rPr>
          <w:rFonts w:hint="eastAsia" w:ascii="Cambria" w:hAnsi="Cambria" w:eastAsia="楷体_GB2312"/>
          <w:color w:val="auto"/>
          <w:sz w:val="34"/>
          <w:highlight w:val="none"/>
        </w:rPr>
        <w:t>第四节  推进全方位公共就业服务</w:t>
      </w:r>
      <w:bookmarkEnd w:id="41"/>
      <w:bookmarkEnd w:id="42"/>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提升基本公共就业服务效能。</w:t>
      </w:r>
      <w:r>
        <w:rPr>
          <w:rFonts w:hint="eastAsia" w:ascii="仿宋_GB2312" w:hAnsi="宋体" w:eastAsia="仿宋_GB2312"/>
          <w:color w:val="auto"/>
          <w:sz w:val="32"/>
          <w:szCs w:val="32"/>
          <w:highlight w:val="none"/>
        </w:rPr>
        <w:t>进一步规范公共就业服务事项、因地制宜分类分块制定服务项目清单，落实公共就业服务实名制、鼓励社会力量参与公共就业服务，丰富公共就业服务渠道、推动线下实体网点服务与线上互联网服务深度融合，优化经办窗口设置，开设重点群体专门窗口和绿色通道，设立自助服务区域、完善线下服务体验，提升农村地区公共就业服务能力，推进城镇公共就业服务向农村倾斜，城市优质资源向农村辐射，保障农村地区基本公共就业服务需求。</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完善人力资源市场服务功能。</w:t>
      </w:r>
      <w:r>
        <w:rPr>
          <w:rFonts w:hint="eastAsia" w:ascii="仿宋_GB2312" w:hAnsi="宋体" w:eastAsia="仿宋_GB2312"/>
          <w:color w:val="auto"/>
          <w:sz w:val="32"/>
          <w:szCs w:val="32"/>
          <w:highlight w:val="none"/>
        </w:rPr>
        <w:t>着力打造覆盖全民、贯穿全程、辐射全域、便捷高效的全方位公共就业服务体系，提升劳动力市场供需匹配效率。建立完善全市统一规范、功能齐全、服务配套的人力资源市场，确保各类人才招聘有固定场所，使招聘工作经常化、固定化，不断扩大容量，提升服务能力，拓宽服务领域，为各类用人单位和求职者提供“一站式”服务。建成以“汕尾在线人力资源市场”为中枢，内联各县（市、区）人力资源市场、用人单位、各类大中专学校，市、县（市、区）、镇（街道）</w:t>
      </w:r>
      <w:r>
        <w:rPr>
          <w:rFonts w:hint="eastAsia" w:ascii="仿宋_GB2312" w:hAnsi="宋体" w:eastAsia="仿宋_GB2312"/>
          <w:color w:val="auto"/>
          <w:sz w:val="32"/>
          <w:szCs w:val="32"/>
          <w:highlight w:val="none"/>
          <w:lang w:val="en-US" w:eastAsia="zh-CN"/>
        </w:rPr>
        <w:t>三</w:t>
      </w:r>
      <w:r>
        <w:rPr>
          <w:rFonts w:hint="eastAsia" w:ascii="仿宋_GB2312" w:hAnsi="宋体" w:eastAsia="仿宋_GB2312"/>
          <w:color w:val="auto"/>
          <w:sz w:val="32"/>
          <w:szCs w:val="32"/>
          <w:highlight w:val="none"/>
        </w:rPr>
        <w:t>级联网共享的就业服务网络，外联周边地市及粤港澳大湾区人力资源市场的信息网络，充分发挥其快捷、高效的服务功能</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提升劳动力市场供需匹配效率</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依托“善美村居”，充分发挥“我要就业”“我要找家政”等就业应用小程序的作用，打造“不见面求职”“不见面招工”“云面试”等求职招工新模式。</w:t>
      </w:r>
      <w:r>
        <w:rPr>
          <w:rFonts w:ascii="仿宋_GB2312" w:hAnsi="宋体" w:eastAsia="仿宋_GB2312"/>
          <w:color w:val="auto"/>
          <w:sz w:val="32"/>
          <w:szCs w:val="32"/>
          <w:highlight w:val="none"/>
        </w:rPr>
        <w:t>出台促进人力资源市场高质量发展</w:t>
      </w:r>
      <w:r>
        <w:rPr>
          <w:rFonts w:hint="eastAsia" w:ascii="仿宋_GB2312" w:hAnsi="宋体" w:eastAsia="仿宋_GB2312"/>
          <w:color w:val="auto"/>
          <w:sz w:val="32"/>
          <w:szCs w:val="32"/>
          <w:highlight w:val="none"/>
        </w:rPr>
        <w:t>政策</w:t>
      </w:r>
      <w:r>
        <w:rPr>
          <w:rFonts w:ascii="仿宋_GB2312" w:hAnsi="宋体" w:eastAsia="仿宋_GB2312"/>
          <w:color w:val="auto"/>
          <w:sz w:val="32"/>
          <w:szCs w:val="32"/>
          <w:highlight w:val="none"/>
        </w:rPr>
        <w:t>，创新完善人力资源服务业激励措施。</w:t>
      </w:r>
      <w:r>
        <w:rPr>
          <w:rFonts w:hint="eastAsia" w:ascii="仿宋_GB2312" w:hAnsi="宋体" w:eastAsia="仿宋_GB2312"/>
          <w:color w:val="auto"/>
          <w:sz w:val="32"/>
          <w:szCs w:val="32"/>
          <w:highlight w:val="none"/>
        </w:rPr>
        <w:t>以推进区域协同、产业协同、服务协同发展为重点，以强主体、建园区、创品牌、优业态、聚人才为着力点，推动人力资源服务业与相关产业融合发展，促进人力资源服务业集聚区建设，不断壮大市场主体，激发市场活力，完善服务体系，提高服务质量。更多依靠市场机制和现代科技创新推动人力资源服务业向专业化和价值链高端延伸，推动创新人才建设。促进人力资源服务业更好地服务于就业创业、人才开发、产业发展、社会民生等领域，切实成为助力汕尾高质量发展的“催化剂”和“新动能”。</w:t>
      </w:r>
    </w:p>
    <w:p>
      <w:pPr>
        <w:adjustRightInd w:val="0"/>
        <w:snapToGrid w:val="0"/>
        <w:spacing w:line="360" w:lineRule="auto"/>
        <w:ind w:firstLine="640" w:firstLineChars="200"/>
        <w:rPr>
          <w:rFonts w:ascii="仿宋_GB2312" w:hAnsi="宋体" w:eastAsia="仿宋_GB2312"/>
          <w:color w:val="auto"/>
          <w:sz w:val="32"/>
          <w:szCs w:val="32"/>
          <w:highlight w:val="none"/>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jc w:val="center"/>
              <w:rPr>
                <w:rFonts w:ascii="楷体_GB2312" w:hAnsi="宋体" w:eastAsia="楷体_GB2312" w:cs="宋体"/>
                <w:b/>
                <w:color w:val="auto"/>
                <w:sz w:val="32"/>
                <w:szCs w:val="32"/>
                <w:highlight w:val="none"/>
                <w:lang w:bidi="zh-TW"/>
              </w:rPr>
            </w:pPr>
            <w:r>
              <w:rPr>
                <w:rFonts w:hint="eastAsia" w:ascii="楷体_GB2312" w:hAnsi="宋体" w:eastAsia="楷体_GB2312" w:cs="宋体"/>
                <w:b/>
                <w:color w:val="auto"/>
                <w:sz w:val="32"/>
                <w:szCs w:val="32"/>
                <w:highlight w:val="none"/>
                <w:lang w:bidi="zh-TW"/>
              </w:rPr>
              <w:t>专栏4  发展人力资源服务产业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adjustRightInd w:val="0"/>
              <w:snapToGrid w:val="0"/>
              <w:spacing w:before="120" w:beforeLines="50" w:line="360" w:lineRule="auto"/>
              <w:ind w:firstLine="560" w:firstLineChars="200"/>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发挥人力资源服务产业园“集聚产业</w:t>
            </w:r>
            <w:r>
              <w:rPr>
                <w:rFonts w:hint="eastAsia" w:ascii="楷体_GB2312" w:hAnsi="宋体" w:eastAsia="楷体_GB2312" w:cs="宋体"/>
                <w:color w:val="auto"/>
                <w:sz w:val="28"/>
                <w:szCs w:val="28"/>
                <w:highlight w:val="none"/>
                <w:lang w:eastAsia="zh-CN" w:bidi="zh-TW"/>
              </w:rPr>
              <w:t>、</w:t>
            </w:r>
            <w:r>
              <w:rPr>
                <w:rFonts w:hint="eastAsia" w:ascii="楷体_GB2312" w:hAnsi="宋体" w:eastAsia="楷体_GB2312" w:cs="宋体"/>
                <w:color w:val="auto"/>
                <w:sz w:val="28"/>
                <w:szCs w:val="28"/>
                <w:highlight w:val="none"/>
                <w:lang w:bidi="zh-TW"/>
              </w:rPr>
              <w:t>拓展业态</w:t>
            </w:r>
            <w:r>
              <w:rPr>
                <w:rFonts w:hint="eastAsia" w:ascii="楷体_GB2312" w:hAnsi="宋体" w:eastAsia="楷体_GB2312" w:cs="宋体"/>
                <w:color w:val="auto"/>
                <w:sz w:val="28"/>
                <w:szCs w:val="28"/>
                <w:highlight w:val="none"/>
                <w:lang w:eastAsia="zh-CN" w:bidi="zh-TW"/>
              </w:rPr>
              <w:t>、</w:t>
            </w:r>
            <w:r>
              <w:rPr>
                <w:rFonts w:hint="eastAsia" w:ascii="楷体_GB2312" w:hAnsi="宋体" w:eastAsia="楷体_GB2312" w:cs="宋体"/>
                <w:color w:val="auto"/>
                <w:sz w:val="28"/>
                <w:szCs w:val="28"/>
                <w:highlight w:val="none"/>
                <w:lang w:bidi="zh-TW"/>
              </w:rPr>
              <w:t>孵化企业</w:t>
            </w:r>
            <w:r>
              <w:rPr>
                <w:rFonts w:hint="eastAsia" w:ascii="楷体_GB2312" w:hAnsi="宋体" w:eastAsia="楷体_GB2312" w:cs="宋体"/>
                <w:color w:val="auto"/>
                <w:sz w:val="28"/>
                <w:szCs w:val="28"/>
                <w:highlight w:val="none"/>
                <w:lang w:eastAsia="zh-CN" w:bidi="zh-TW"/>
              </w:rPr>
              <w:t>、</w:t>
            </w:r>
            <w:r>
              <w:rPr>
                <w:rFonts w:hint="eastAsia" w:ascii="楷体_GB2312" w:hAnsi="宋体" w:eastAsia="楷体_GB2312" w:cs="宋体"/>
                <w:color w:val="auto"/>
                <w:sz w:val="28"/>
                <w:szCs w:val="28"/>
                <w:highlight w:val="none"/>
                <w:lang w:bidi="zh-TW"/>
              </w:rPr>
              <w:t>培育市场”的效应，紧紧围绕经济转变发展方式、实现产业结构优化升级对人力资源开发配置的需要，发挥园区资源集聚、企业孵化、技术渗透、示范带动、培育市场、外围辐射的功能，更好地服务于我市经济发展对人力资源的需求，推进我市人力资源产业科学快速发展，切实解决企业用工。重点发展人力资源服务中介、外包、劳务派遣、高级人才寻访、人才测评、人力资源服务外包、人力资源管理咨询、薪酬管理、人事诊断等新兴业务的人力资源服务企业不低于15家，以吸引国际国内知名人力资源服务企业为突破，与扶持本地人力资源企业相并举。2021年至2023年产业园总营收不低于4亿元；其中2021年总营收不低于0.5亿元；2022年总营收不低于1.5亿元；2023年总营收不低于2.0亿元。</w:t>
            </w:r>
          </w:p>
        </w:tc>
      </w:tr>
    </w:tbl>
    <w:p>
      <w:pPr>
        <w:adjustRightInd w:val="0"/>
        <w:snapToGrid w:val="0"/>
        <w:spacing w:line="360" w:lineRule="auto"/>
        <w:ind w:firstLine="643" w:firstLineChars="200"/>
        <w:rPr>
          <w:rFonts w:hint="eastAsia" w:ascii="仿宋_GB2312" w:hAnsi="宋体" w:eastAsia="仿宋_GB2312"/>
          <w:b/>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强化就业援助和就业服务指导。</w:t>
      </w:r>
      <w:r>
        <w:rPr>
          <w:rFonts w:hint="eastAsia" w:ascii="仿宋_GB2312" w:hAnsi="宋体" w:eastAsia="仿宋_GB2312"/>
          <w:color w:val="auto"/>
          <w:sz w:val="32"/>
          <w:szCs w:val="32"/>
          <w:highlight w:val="none"/>
        </w:rPr>
        <w:t>提供全方位公共就业服务，及时为失业人员开展失业登记、失业保险发放、推荐就业等服务。通过举办现场招聘、网络招聘、校园招聘等方式，广搭就业平台，为以大中专毕业生为主的各类求职者提供充分交流洽谈机遇。积极拓展与市外</w:t>
      </w:r>
      <w:r>
        <w:rPr>
          <w:rFonts w:hint="eastAsia" w:ascii="仿宋_GB2312" w:hAnsi="宋体" w:eastAsia="仿宋_GB2312"/>
          <w:color w:val="auto"/>
          <w:sz w:val="32"/>
          <w:szCs w:val="32"/>
          <w:highlight w:val="none"/>
          <w:lang w:val="en-US" w:eastAsia="zh-CN"/>
        </w:rPr>
        <w:t>人力资源</w:t>
      </w:r>
      <w:r>
        <w:rPr>
          <w:rFonts w:hint="eastAsia" w:ascii="仿宋_GB2312" w:hAnsi="宋体" w:eastAsia="仿宋_GB2312"/>
          <w:color w:val="auto"/>
          <w:sz w:val="32"/>
          <w:szCs w:val="32"/>
          <w:highlight w:val="none"/>
        </w:rPr>
        <w:t>市场和用人单位的合作，努力实现毕业生供求信息的有效对接，拓宽毕业生向外输出的渠道。切实开展好以“送政策、送岗位、送服务、送温暖”为主题的就业援助活动，继续实施岗位补贴、社会保险补贴、职业培训补贴和职业介绍补贴政策，</w:t>
      </w:r>
      <w:r>
        <w:rPr>
          <w:rFonts w:hint="eastAsia" w:ascii="仿宋_GB2312" w:hAnsi="宋体" w:eastAsia="仿宋_GB2312"/>
          <w:color w:val="auto"/>
          <w:sz w:val="32"/>
          <w:szCs w:val="32"/>
          <w:highlight w:val="none"/>
          <w:lang w:val="en-US" w:eastAsia="zh-CN"/>
        </w:rPr>
        <w:t>凸现失业保险制度优势</w:t>
      </w:r>
      <w:r>
        <w:rPr>
          <w:rFonts w:hint="eastAsia" w:ascii="仿宋_GB2312" w:hAnsi="宋体" w:eastAsia="仿宋_GB2312"/>
          <w:color w:val="auto"/>
          <w:sz w:val="32"/>
          <w:szCs w:val="32"/>
          <w:highlight w:val="none"/>
        </w:rPr>
        <w:t>，切实发挥失业保险基金保障基本生活、促进企业保岗、稳岗和促进失业人员实现再就业的作用。</w:t>
      </w:r>
    </w:p>
    <w:p>
      <w:pPr>
        <w:pStyle w:val="8"/>
        <w:rPr>
          <w:rFonts w:hint="eastAsia" w:ascii="仿宋_GB2312" w:hAnsi="宋体" w:eastAsia="仿宋_GB2312"/>
          <w:color w:val="auto"/>
          <w:sz w:val="32"/>
          <w:szCs w:val="32"/>
          <w:highlight w:val="none"/>
        </w:rPr>
      </w:pPr>
    </w:p>
    <w:p>
      <w:pPr>
        <w:pStyle w:val="9"/>
        <w:rPr>
          <w:rFonts w:hint="eastAsia" w:ascii="仿宋_GB2312" w:hAnsi="宋体" w:eastAsia="仿宋_GB2312"/>
          <w:color w:val="auto"/>
          <w:sz w:val="32"/>
          <w:szCs w:val="32"/>
          <w:highlight w:val="none"/>
        </w:rPr>
      </w:pPr>
    </w:p>
    <w:p>
      <w:pPr>
        <w:pStyle w:val="6"/>
        <w:rPr>
          <w:rFonts w:hint="eastAsia" w:ascii="仿宋_GB2312" w:hAnsi="宋体" w:eastAsia="仿宋_GB2312"/>
          <w:color w:val="auto"/>
          <w:sz w:val="32"/>
          <w:szCs w:val="32"/>
          <w:highlight w:val="none"/>
        </w:rPr>
      </w:pPr>
    </w:p>
    <w:p>
      <w:pPr>
        <w:rPr>
          <w:rFonts w:hint="eastAsia" w:ascii="仿宋_GB2312" w:hAnsi="宋体" w:eastAsia="仿宋_GB2312"/>
          <w:color w:val="auto"/>
          <w:sz w:val="32"/>
          <w:szCs w:val="32"/>
          <w:highlight w:val="none"/>
        </w:rPr>
      </w:pPr>
    </w:p>
    <w:p>
      <w:pPr>
        <w:pStyle w:val="2"/>
        <w:rPr>
          <w:rFonts w:hint="eastAsia"/>
        </w:rPr>
      </w:pPr>
    </w:p>
    <w:p>
      <w:pPr>
        <w:pStyle w:val="8"/>
        <w:rPr>
          <w:rFonts w:hint="eastAsia"/>
        </w:rPr>
      </w:pPr>
    </w:p>
    <w:p>
      <w:pPr>
        <w:pStyle w:val="9"/>
        <w:rPr>
          <w:rFonts w:hint="eastAsia" w:ascii="仿宋_GB2312" w:hAnsi="宋体" w:eastAsia="仿宋_GB2312"/>
          <w:color w:val="auto"/>
          <w:sz w:val="32"/>
          <w:szCs w:val="32"/>
          <w:highlight w:val="none"/>
        </w:rPr>
      </w:pPr>
    </w:p>
    <w:p>
      <w:pPr>
        <w:pStyle w:val="6"/>
        <w:rPr>
          <w:color w:val="auto"/>
          <w:highlight w:val="none"/>
        </w:rPr>
      </w:pPr>
    </w:p>
    <w:p>
      <w:pPr>
        <w:pStyle w:val="3"/>
        <w:adjustRightInd w:val="0"/>
        <w:snapToGrid w:val="0"/>
        <w:spacing w:before="120" w:beforeLines="50" w:after="120" w:afterLines="50" w:line="360" w:lineRule="auto"/>
        <w:jc w:val="center"/>
        <w:rPr>
          <w:rFonts w:ascii="Calibri" w:hAnsi="Calibri" w:eastAsia="黑体"/>
          <w:b w:val="0"/>
          <w:bCs/>
          <w:color w:val="auto"/>
          <w:sz w:val="36"/>
          <w:szCs w:val="36"/>
          <w:highlight w:val="none"/>
          <w:lang w:val="en-US"/>
        </w:rPr>
      </w:pPr>
      <w:bookmarkStart w:id="43" w:name="_Toc12107"/>
      <w:bookmarkStart w:id="44" w:name="_Toc6760"/>
      <w:bookmarkStart w:id="45" w:name="_Toc10505"/>
      <w:r>
        <w:rPr>
          <w:rFonts w:hint="eastAsia" w:ascii="Calibri" w:hAnsi="Calibri" w:eastAsia="黑体"/>
          <w:b w:val="0"/>
          <w:bCs/>
          <w:color w:val="auto"/>
          <w:sz w:val="36"/>
          <w:szCs w:val="36"/>
          <w:highlight w:val="none"/>
          <w:lang w:val="en-US"/>
        </w:rPr>
        <w:t>第五章  建设全覆盖可持续的多层次社会保障体</w:t>
      </w:r>
      <w:bookmarkEnd w:id="43"/>
      <w:r>
        <w:rPr>
          <w:rFonts w:hint="eastAsia" w:ascii="Calibri" w:hAnsi="Calibri" w:eastAsia="黑体"/>
          <w:b w:val="0"/>
          <w:bCs/>
          <w:color w:val="auto"/>
          <w:sz w:val="36"/>
          <w:szCs w:val="36"/>
          <w:highlight w:val="none"/>
          <w:lang w:val="en-US"/>
        </w:rPr>
        <w:t>系</w:t>
      </w:r>
      <w:bookmarkEnd w:id="44"/>
      <w:bookmarkEnd w:id="45"/>
    </w:p>
    <w:p>
      <w:pPr>
        <w:adjustRightInd w:val="0"/>
        <w:snapToGrid w:val="0"/>
        <w:spacing w:line="360" w:lineRule="auto"/>
        <w:ind w:firstLine="640" w:firstLineChars="200"/>
        <w:rPr>
          <w:rFonts w:ascii="仿宋_GB2312" w:hAnsi="宋体" w:eastAsia="仿宋_GB2312"/>
          <w:b/>
          <w:color w:val="auto"/>
          <w:sz w:val="32"/>
          <w:szCs w:val="32"/>
          <w:highlight w:val="none"/>
        </w:rPr>
      </w:pPr>
      <w:bookmarkStart w:id="46" w:name="_Toc1139"/>
      <w:r>
        <w:rPr>
          <w:rFonts w:hint="eastAsia" w:ascii="仿宋_GB2312" w:hAnsi="宋体" w:eastAsia="仿宋_GB2312"/>
          <w:color w:val="auto"/>
          <w:sz w:val="32"/>
          <w:szCs w:val="32"/>
          <w:highlight w:val="none"/>
        </w:rPr>
        <w:t>按照兜底线、织密网、建机制的要求，进一步深化养老、失业、工伤保险制度改革，推动建成覆盖全民、城乡统筹、权责清晰、保障适度、可持续的多层次社会保障体系，为经济社会发展提供水平适度、持续稳定的社会保障网。</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47" w:name="_Toc32594"/>
      <w:bookmarkStart w:id="48" w:name="_Toc9134"/>
      <w:r>
        <w:rPr>
          <w:rFonts w:hint="eastAsia" w:ascii="Cambria" w:hAnsi="Cambria" w:eastAsia="楷体_GB2312"/>
          <w:color w:val="auto"/>
          <w:sz w:val="34"/>
          <w:highlight w:val="none"/>
        </w:rPr>
        <w:t>第一节  促进全民享有社会保障</w:t>
      </w:r>
      <w:bookmarkEnd w:id="47"/>
      <w:bookmarkEnd w:id="48"/>
    </w:p>
    <w:p>
      <w:pPr>
        <w:adjustRightInd w:val="0"/>
        <w:snapToGrid w:val="0"/>
        <w:spacing w:line="360" w:lineRule="auto"/>
        <w:ind w:firstLine="643" w:firstLineChars="200"/>
        <w:rPr>
          <w:rFonts w:hint="eastAsia"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全面实施全民参保计划。</w:t>
      </w:r>
      <w:r>
        <w:rPr>
          <w:rFonts w:hint="eastAsia" w:ascii="仿宋_GB2312" w:hAnsi="宋体" w:eastAsia="仿宋_GB2312"/>
          <w:color w:val="auto"/>
          <w:sz w:val="32"/>
          <w:szCs w:val="32"/>
          <w:highlight w:val="none"/>
        </w:rPr>
        <w:t>完善政策措施，创新工作机制，强化经办服务，全面推动全民参保计划实施，深入推进社会保险扩面征缴。压紧压实各级政府扩面征缴主体责任，充分调动群众参保缴费积极性，促进实现城镇职工基本养老保险由制度全覆盖到实际人群全覆盖，城乡居民基本养老保险适龄参保人员实现应保尽保，加强失业保险、工伤保险参保扩面工作。不断提升社会保险</w:t>
      </w:r>
      <w:r>
        <w:rPr>
          <w:rFonts w:hint="eastAsia" w:ascii="仿宋_GB2312" w:hAnsi="宋体" w:eastAsia="仿宋_GB2312"/>
          <w:color w:val="auto"/>
          <w:sz w:val="32"/>
          <w:szCs w:val="32"/>
          <w:highlight w:val="none"/>
          <w:lang w:val="en-US" w:eastAsia="zh-CN"/>
        </w:rPr>
        <w:t>覆盖面</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做大基金规模，增强社保基金抗风险能力</w:t>
      </w:r>
      <w:r>
        <w:rPr>
          <w:rFonts w:hint="eastAsia" w:ascii="仿宋_GB2312" w:hAnsi="宋体" w:eastAsia="仿宋_GB2312"/>
          <w:color w:val="auto"/>
          <w:sz w:val="32"/>
          <w:szCs w:val="32"/>
          <w:highlight w:val="none"/>
        </w:rPr>
        <w:t>。</w:t>
      </w:r>
    </w:p>
    <w:p>
      <w:pPr>
        <w:adjustRightInd w:val="0"/>
        <w:snapToGrid w:val="0"/>
        <w:spacing w:line="360" w:lineRule="auto"/>
        <w:ind w:firstLine="640" w:firstLineChars="200"/>
        <w:rPr>
          <w:rFonts w:ascii="仿宋_GB2312" w:hAnsi="宋体" w:eastAsia="仿宋_GB2312"/>
          <w:color w:val="auto"/>
          <w:sz w:val="32"/>
          <w:szCs w:val="32"/>
          <w:highlight w:val="none"/>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专栏5  深入实施全民参保计划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adjustRightInd w:val="0"/>
              <w:snapToGrid w:val="0"/>
              <w:spacing w:line="360" w:lineRule="auto"/>
              <w:ind w:firstLine="560" w:firstLineChars="200"/>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持续推进企业养老</w:t>
            </w:r>
            <w:r>
              <w:rPr>
                <w:rFonts w:hint="eastAsia" w:ascii="楷体_GB2312" w:hAnsi="宋体" w:eastAsia="楷体_GB2312" w:cs="宋体"/>
                <w:color w:val="auto"/>
                <w:sz w:val="28"/>
                <w:szCs w:val="28"/>
                <w:highlight w:val="none"/>
                <w:lang w:val="en-US" w:eastAsia="zh-CN" w:bidi="zh-TW"/>
              </w:rPr>
              <w:t>保险</w:t>
            </w:r>
            <w:r>
              <w:rPr>
                <w:rFonts w:hint="eastAsia" w:ascii="楷体_GB2312" w:hAnsi="宋体" w:eastAsia="楷体_GB2312" w:cs="宋体"/>
                <w:color w:val="auto"/>
                <w:sz w:val="28"/>
                <w:szCs w:val="28"/>
                <w:highlight w:val="none"/>
                <w:lang w:bidi="zh-TW"/>
              </w:rPr>
              <w:t>、城乡居民养老</w:t>
            </w:r>
            <w:r>
              <w:rPr>
                <w:rFonts w:hint="eastAsia" w:ascii="楷体_GB2312" w:hAnsi="宋体" w:eastAsia="楷体_GB2312" w:cs="宋体"/>
                <w:color w:val="auto"/>
                <w:sz w:val="28"/>
                <w:szCs w:val="28"/>
                <w:highlight w:val="none"/>
                <w:lang w:val="en-US" w:eastAsia="zh-CN" w:bidi="zh-TW"/>
              </w:rPr>
              <w:t>保险</w:t>
            </w:r>
            <w:r>
              <w:rPr>
                <w:rFonts w:hint="eastAsia" w:ascii="楷体_GB2312" w:hAnsi="宋体" w:eastAsia="楷体_GB2312" w:cs="宋体"/>
                <w:color w:val="auto"/>
                <w:sz w:val="28"/>
                <w:szCs w:val="28"/>
                <w:highlight w:val="none"/>
                <w:lang w:bidi="zh-TW"/>
              </w:rPr>
              <w:t>、</w:t>
            </w:r>
            <w:r>
              <w:rPr>
                <w:rFonts w:hint="eastAsia" w:ascii="楷体_GB2312" w:hAnsi="宋体" w:eastAsia="楷体_GB2312" w:cs="宋体"/>
                <w:color w:val="auto"/>
                <w:sz w:val="28"/>
                <w:szCs w:val="28"/>
                <w:highlight w:val="none"/>
                <w:lang w:val="en-US" w:eastAsia="zh-CN" w:bidi="zh-TW"/>
              </w:rPr>
              <w:t>失业保险、</w:t>
            </w:r>
            <w:r>
              <w:rPr>
                <w:rFonts w:hint="eastAsia" w:ascii="楷体_GB2312" w:hAnsi="宋体" w:eastAsia="楷体_GB2312" w:cs="宋体"/>
                <w:color w:val="auto"/>
                <w:sz w:val="28"/>
                <w:szCs w:val="28"/>
                <w:highlight w:val="none"/>
                <w:lang w:bidi="zh-TW"/>
              </w:rPr>
              <w:t>工伤保险扩面征缴，以未参保和参保率低的企业为突破口，重点推进非公有制企业职工参保率，提高灵活就业人员、新就业形态从业人员等群体参保的便利度。压实</w:t>
            </w:r>
            <w:r>
              <w:rPr>
                <w:rFonts w:ascii="楷体_GB2312" w:hAnsi="宋体" w:eastAsia="楷体_GB2312" w:cs="宋体"/>
                <w:color w:val="auto"/>
                <w:sz w:val="28"/>
                <w:szCs w:val="28"/>
                <w:highlight w:val="none"/>
                <w:lang w:bidi="zh-TW"/>
              </w:rPr>
              <w:t>各级政府落实城乡居民基本养老保险扩面征缴主体责任，强力推进城乡居民基本养老保险工作，提高我市城乡居民基本养老保险参保人数、缴费人数，实现应保尽保、应享尽享</w:t>
            </w:r>
            <w:r>
              <w:rPr>
                <w:rFonts w:hint="eastAsia" w:ascii="楷体_GB2312" w:hAnsi="宋体" w:eastAsia="楷体_GB2312" w:cs="宋体"/>
                <w:color w:val="auto"/>
                <w:sz w:val="28"/>
                <w:szCs w:val="28"/>
                <w:highlight w:val="none"/>
                <w:lang w:eastAsia="zh-CN" w:bidi="zh-TW"/>
              </w:rPr>
              <w:t>。</w:t>
            </w:r>
            <w:r>
              <w:rPr>
                <w:rFonts w:hint="eastAsia" w:ascii="楷体_GB2312" w:hAnsi="宋体" w:eastAsia="楷体_GB2312" w:cs="宋体"/>
                <w:color w:val="auto"/>
                <w:sz w:val="28"/>
                <w:szCs w:val="28"/>
                <w:highlight w:val="none"/>
                <w:lang w:bidi="zh-TW"/>
              </w:rPr>
              <w:t>充分利用全民参保信息系统，通过数据分析支撑精准扩面，促进精确管理，提升精细服务。创新社会保险政策宣传，提供精准式、推送式政策宣传。</w:t>
            </w:r>
          </w:p>
        </w:tc>
      </w:tr>
    </w:tbl>
    <w:p>
      <w:pPr>
        <w:adjustRightInd w:val="0"/>
        <w:snapToGrid w:val="0"/>
        <w:spacing w:line="360" w:lineRule="auto"/>
        <w:ind w:firstLine="643" w:firstLineChars="200"/>
        <w:rPr>
          <w:rFonts w:ascii="仿宋_GB2312" w:hAnsi="宋体" w:eastAsia="仿宋_GB2312"/>
          <w:b/>
          <w:color w:val="auto"/>
          <w:sz w:val="32"/>
          <w:szCs w:val="32"/>
          <w:highlight w:val="none"/>
        </w:rPr>
      </w:pPr>
    </w:p>
    <w:p>
      <w:pPr>
        <w:adjustRightInd w:val="0"/>
        <w:snapToGrid w:val="0"/>
        <w:spacing w:line="360" w:lineRule="auto"/>
        <w:ind w:firstLine="643" w:firstLineChars="200"/>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扩大社会保险参保续保。</w:t>
      </w:r>
      <w:r>
        <w:rPr>
          <w:rFonts w:hint="eastAsia" w:ascii="仿宋_GB2312" w:hAnsi="宋体" w:eastAsia="仿宋_GB2312"/>
          <w:color w:val="auto"/>
          <w:sz w:val="32"/>
          <w:szCs w:val="32"/>
          <w:highlight w:val="none"/>
        </w:rPr>
        <w:t>建立全民参保登记动态清零机制，动态精准锁定未参保人员和中断缴费人员。健全灵活就业人员参加企业职工养老保险制度，探索灵活就业人员参加失业保险制度，建立新业态从业人员职业伤害保障制度。完善被征地农民养老保障政策，落实被征地农民参保。完善公路、铁路及建筑施工等高风险行业按项目参加工伤保险的长效机制，实现高风险行业从业人员工伤保险保障全覆盖。完善社会保障待遇水平与缴费相挂钩的参保缴费激励机制，全面实施阶段性下调费率、减免社保费等政策，完善缓缴、延缴等参保缴费机制，保持企业社会保险缴费成本预期稳定，支持实体经济发展。</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49" w:name="_Toc29159"/>
      <w:bookmarkStart w:id="50" w:name="_Toc28547"/>
      <w:r>
        <w:rPr>
          <w:rFonts w:hint="eastAsia" w:ascii="Cambria" w:hAnsi="Cambria" w:eastAsia="楷体_GB2312"/>
          <w:color w:val="auto"/>
          <w:sz w:val="34"/>
          <w:highlight w:val="none"/>
        </w:rPr>
        <w:t>第二节  完善社会保障制度体系</w:t>
      </w:r>
      <w:bookmarkEnd w:id="49"/>
      <w:bookmarkEnd w:id="50"/>
    </w:p>
    <w:p>
      <w:pPr>
        <w:adjustRightInd w:val="0"/>
        <w:snapToGrid w:val="0"/>
        <w:spacing w:line="360" w:lineRule="auto"/>
        <w:ind w:firstLine="643" w:firstLineChars="200"/>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巩固提升社保统筹层次。</w:t>
      </w:r>
      <w:r>
        <w:rPr>
          <w:rFonts w:hint="eastAsia" w:ascii="仿宋_GB2312" w:hAnsi="宋体" w:eastAsia="仿宋_GB2312"/>
          <w:color w:val="auto"/>
          <w:sz w:val="32"/>
          <w:szCs w:val="32"/>
          <w:highlight w:val="none"/>
        </w:rPr>
        <w:t>落实企业职工基本养老保险省级统筹配套政策，配合省做好与全国统筹有序对接。逐步提高机关事业单位养老保险统筹层次。按照省的部署，推进城乡居民基本养老保险基金省级管理。配合做好失业保险省级统筹。优化省级统筹工作目标考核体系。增强区域间社保发展协调性和整体性，构建更加公平、更可持续的社保制度。</w:t>
      </w:r>
    </w:p>
    <w:p>
      <w:pPr>
        <w:adjustRightInd w:val="0"/>
        <w:snapToGrid w:val="0"/>
        <w:spacing w:line="360" w:lineRule="auto"/>
        <w:ind w:firstLine="643" w:firstLineChars="200"/>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构建多层次养老保险体系。</w:t>
      </w:r>
      <w:r>
        <w:rPr>
          <w:rFonts w:hint="eastAsia" w:ascii="仿宋_GB2312" w:hAnsi="宋体" w:eastAsia="仿宋_GB2312"/>
          <w:color w:val="auto"/>
          <w:sz w:val="32"/>
          <w:szCs w:val="32"/>
          <w:highlight w:val="none"/>
        </w:rPr>
        <w:t>按照省的部署，逐步向全省企业职工基本养老保险单位缴费比例和缴费工资基数下限统一。按照国家和省的部署，实施渐进式延迟法定退休年龄。健全多层次养老保险体系，完善企业年金制度，扩大企业年金覆盖面，探索建立行业性、区域性企业年金制度。推动机关事业单位为编外人员建立企业年金。巩固和推进职业年金基金实账积累，积极稳妥全面做实职业年金账户。落实丧葬补助金、职工遗属待遇政策。完善城乡居民基本养老保险制度，适时提高最低缴费档次标准，进一步完善被征地农民社会保障政策。加强城乡居民基本养老保险与社会救助、社会福利等其他社会保障制度的配套衔接。</w:t>
      </w:r>
    </w:p>
    <w:p>
      <w:pPr>
        <w:adjustRightInd w:val="0"/>
        <w:snapToGrid w:val="0"/>
        <w:spacing w:line="360" w:lineRule="auto"/>
        <w:ind w:firstLine="643" w:firstLineChars="200"/>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完善失业保险制度。</w:t>
      </w:r>
      <w:r>
        <w:rPr>
          <w:rFonts w:hint="eastAsia" w:ascii="仿宋_GB2312" w:hAnsi="宋体" w:eastAsia="仿宋_GB2312"/>
          <w:color w:val="auto"/>
          <w:sz w:val="32"/>
          <w:szCs w:val="32"/>
          <w:highlight w:val="none"/>
        </w:rPr>
        <w:t>扩大失业保险保障范围，完善失业保险金等待遇申领发放政策。按国家、省规定扩大失业保险基金支出范围。积极探索灵活就业人员参加失业保险新模式。完善失业保险技能提升补贴政策。充分发挥失业保险保生活、防失业、促就业功能，推动失业保险从基本生活保障向职业技能提升扩展、从事后帮扶就业向事前预防失业拓展、从失业人员向所有参保职工和企业拓展。</w:t>
      </w:r>
    </w:p>
    <w:p>
      <w:pPr>
        <w:adjustRightInd w:val="0"/>
        <w:snapToGrid w:val="0"/>
        <w:spacing w:line="360" w:lineRule="auto"/>
        <w:ind w:firstLine="643" w:firstLineChars="200"/>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完善工伤保险制度。</w:t>
      </w:r>
      <w:r>
        <w:rPr>
          <w:rFonts w:hint="eastAsia" w:ascii="仿宋_GB2312" w:hAnsi="宋体" w:eastAsia="仿宋_GB2312"/>
          <w:color w:val="auto"/>
          <w:sz w:val="32"/>
          <w:szCs w:val="32"/>
          <w:highlight w:val="none"/>
        </w:rPr>
        <w:t>健全工伤保险浮动费率机制，实现工伤保险费率标准平稳过渡。构建多层次工伤保障制度体系，探索建立补充工伤保险制度。实施非劳动关系特定人员参加工伤保险办法。完善工伤预防、补偿、康复“三位一体”制度，实施工伤预防五年行动计划，探索预防项目绩效评价办法，促进伤后补偿向伤前预防倾斜。健全“早期介入”和“先康复后评残”工伤康复机制。实现1家达标医疗机构纳入职工工伤康复定点机构范围，提升工伤康复能力。</w:t>
      </w:r>
    </w:p>
    <w:p>
      <w:pPr>
        <w:pStyle w:val="8"/>
        <w:spacing w:after="0" w:line="360" w:lineRule="auto"/>
        <w:rPr>
          <w:rFonts w:ascii="仿宋_GB2312" w:hAnsi="宋体"/>
          <w:color w:val="auto"/>
          <w:highlight w:val="none"/>
        </w:rPr>
      </w:pPr>
      <w:r>
        <w:rPr>
          <w:rFonts w:hint="eastAsia" w:ascii="仿宋_GB2312" w:hAnsi="宋体"/>
          <w:color w:val="auto"/>
          <w:sz w:val="32"/>
          <w:szCs w:val="32"/>
          <w:highlight w:val="none"/>
          <w:lang w:eastAsia="zh-CN"/>
        </w:rPr>
        <w:t>　　</w:t>
      </w:r>
      <w:r>
        <w:rPr>
          <w:rFonts w:hint="eastAsia" w:ascii="仿宋_GB2312" w:hAnsi="宋体" w:eastAsia="仿宋_GB2312"/>
          <w:b/>
          <w:bCs/>
          <w:color w:val="auto"/>
          <w:sz w:val="32"/>
          <w:szCs w:val="32"/>
          <w:highlight w:val="none"/>
        </w:rPr>
        <w:t>加强社会保险基金监管。</w:t>
      </w:r>
      <w:r>
        <w:rPr>
          <w:rFonts w:hint="eastAsia" w:ascii="仿宋_GB2312" w:hAnsi="宋体" w:eastAsia="仿宋_GB2312"/>
          <w:color w:val="auto"/>
          <w:sz w:val="32"/>
          <w:szCs w:val="32"/>
          <w:highlight w:val="none"/>
        </w:rPr>
        <w:t>健全政策、经办、信息、监督“四位一体”的基金管理风险防控体系。推进专业化基金监督队伍建设，提升监管能力。建立健全欺诈骗保行为举报奖励制度，鼓励公众参与基金监督。健全社保领域严重失信人名单管理制度，严格执行社保领域守信联合激励和失信联合惩戒措施，加强社保严重失信黑名单认定和管理。</w:t>
      </w:r>
    </w:p>
    <w:p>
      <w:pPr>
        <w:pStyle w:val="9"/>
        <w:rPr>
          <w:color w:val="auto"/>
          <w:highlight w:val="none"/>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w:t>
            </w:r>
            <w:r>
              <w:rPr>
                <w:rFonts w:hint="eastAsia" w:ascii="楷体_GB2312" w:hAnsi="宋体" w:eastAsia="楷体_GB2312" w:cs="宋体"/>
                <w:b/>
                <w:color w:val="auto"/>
                <w:sz w:val="32"/>
                <w:szCs w:val="32"/>
                <w:highlight w:val="none"/>
                <w:lang w:eastAsia="zh-CN" w:bidi="zh-TW"/>
              </w:rPr>
              <w:t>６</w:t>
            </w:r>
            <w:r>
              <w:rPr>
                <w:rFonts w:hint="eastAsia" w:ascii="楷体_GB2312" w:hAnsi="宋体" w:eastAsia="楷体_GB2312" w:cs="宋体"/>
                <w:b/>
                <w:color w:val="auto"/>
                <w:sz w:val="32"/>
                <w:szCs w:val="32"/>
                <w:highlight w:val="none"/>
                <w:lang w:bidi="zh-TW"/>
              </w:rPr>
              <w:t xml:space="preserve">  提升工伤康复能力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adjustRightInd w:val="0"/>
              <w:snapToGrid w:val="0"/>
              <w:spacing w:before="120" w:beforeLines="50" w:line="360" w:lineRule="auto"/>
              <w:ind w:firstLine="560" w:firstLineChars="200"/>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到2025年，加快推动我市1家达到工伤康复服务条件的二级甲等资质以上医疗机构成功申报“职工工伤康复定点机构”，填补我市目前没有职工工伤康复医疗机构的空白。</w:t>
            </w:r>
          </w:p>
        </w:tc>
      </w:tr>
    </w:tbl>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51" w:name="_Toc28318"/>
      <w:bookmarkStart w:id="52" w:name="_Toc25449"/>
      <w:r>
        <w:rPr>
          <w:rFonts w:hint="eastAsia" w:ascii="Cambria" w:hAnsi="Cambria" w:eastAsia="楷体_GB2312"/>
          <w:color w:val="auto"/>
          <w:sz w:val="34"/>
          <w:highlight w:val="none"/>
        </w:rPr>
        <w:t>第三节  完善社会保障待遇调整机制</w:t>
      </w:r>
      <w:bookmarkEnd w:id="51"/>
      <w:bookmarkEnd w:id="52"/>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稳步提高社会保障水平。</w:t>
      </w:r>
      <w:r>
        <w:rPr>
          <w:rFonts w:hint="eastAsia" w:ascii="仿宋_GB2312" w:hAnsi="宋体" w:eastAsia="仿宋_GB2312"/>
          <w:color w:val="auto"/>
          <w:sz w:val="32"/>
          <w:szCs w:val="32"/>
          <w:highlight w:val="none"/>
        </w:rPr>
        <w:t>严格落实广东省推进企业职工基本养老保险全国统筹各项部署，推动省级统筹与全国统筹有序对接。根据国家和省的安排适时提高企业退休人员养老金水平，落实随工资增长、物价上涨等因素调整退休人员基本养老金待遇和失业、工伤保险待遇的政策机制。稳步提高城乡居民基本养老保险基础养老金标准。完善工伤保险职业康复标准，提高工伤职工重返就业岗位比例。</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b/>
          <w:color w:val="auto"/>
          <w:sz w:val="32"/>
          <w:szCs w:val="32"/>
          <w:highlight w:val="none"/>
        </w:rPr>
        <w:t>健全社保待遇确定和调整机制。</w:t>
      </w:r>
      <w:r>
        <w:rPr>
          <w:rFonts w:hint="eastAsia" w:ascii="仿宋_GB2312" w:hAnsi="宋体" w:eastAsia="仿宋_GB2312"/>
          <w:color w:val="auto"/>
          <w:sz w:val="32"/>
          <w:szCs w:val="32"/>
          <w:highlight w:val="none"/>
        </w:rPr>
        <w:t>坚持尽力而为、量力而行，促进社保待遇水平与汕尾经济发展水平相适应，确保各项社保待遇按时足额发放。统筹安排机关事业单位和企业退休人员的基本养老金调整，逐步建立兼顾各类人员的养老保险待遇正常调整机制。制定和完善城乡社会保险制度衔接办法，加强城乡社会保险制度统筹，完善社会保险关系跨区域转移接续政策。提高失业保险金标准，建立待遇水平动态</w:t>
      </w:r>
      <w:r>
        <w:rPr>
          <w:rFonts w:hint="eastAsia" w:ascii="仿宋_GB2312" w:hAnsi="宋体" w:eastAsia="仿宋_GB2312"/>
          <w:color w:val="auto"/>
          <w:sz w:val="32"/>
          <w:szCs w:val="32"/>
          <w:highlight w:val="none"/>
          <w:lang w:val="en-US" w:eastAsia="zh-CN"/>
        </w:rPr>
        <w:t>调整</w:t>
      </w:r>
      <w:r>
        <w:rPr>
          <w:rFonts w:hint="eastAsia" w:ascii="仿宋_GB2312" w:hAnsi="宋体" w:eastAsia="仿宋_GB2312"/>
          <w:color w:val="auto"/>
          <w:sz w:val="32"/>
          <w:szCs w:val="32"/>
          <w:highlight w:val="none"/>
        </w:rPr>
        <w:t>机制，加大对困难家庭、双失业家庭、大龄失业人员等重点群体的生活保障力度。</w:t>
      </w:r>
    </w:p>
    <w:p>
      <w:pPr>
        <w:pStyle w:val="4"/>
        <w:keepNext w:val="0"/>
        <w:keepLines w:val="0"/>
        <w:pageBreakBefore w:val="0"/>
        <w:widowControl w:val="0"/>
        <w:kinsoku/>
        <w:wordWrap/>
        <w:overflowPunct/>
        <w:topLinePunct w:val="0"/>
        <w:autoSpaceDE/>
        <w:autoSpaceDN/>
        <w:bidi w:val="0"/>
        <w:adjustRightInd w:val="0"/>
        <w:snapToGrid w:val="0"/>
        <w:spacing w:before="120" w:beforeLines="50" w:after="120" w:afterLines="50" w:line="620" w:lineRule="exact"/>
        <w:ind w:left="200"/>
        <w:jc w:val="center"/>
        <w:textAlignment w:val="auto"/>
        <w:rPr>
          <w:rFonts w:ascii="Cambria" w:hAnsi="Cambria" w:eastAsia="楷体_GB2312"/>
          <w:color w:val="auto"/>
          <w:sz w:val="34"/>
          <w:highlight w:val="none"/>
        </w:rPr>
      </w:pPr>
      <w:bookmarkStart w:id="53" w:name="_Toc4551"/>
      <w:bookmarkStart w:id="54" w:name="_Toc8562"/>
      <w:r>
        <w:rPr>
          <w:rFonts w:hint="eastAsia" w:ascii="Cambria" w:hAnsi="Cambria" w:eastAsia="楷体_GB2312"/>
          <w:color w:val="auto"/>
          <w:sz w:val="34"/>
          <w:highlight w:val="none"/>
          <w:lang w:val="en-US" w:eastAsia="zh-CN"/>
        </w:rPr>
        <w:t xml:space="preserve">第四节  </w:t>
      </w:r>
      <w:r>
        <w:rPr>
          <w:rFonts w:hint="eastAsia" w:ascii="Cambria" w:hAnsi="Cambria" w:eastAsia="楷体_GB2312"/>
          <w:color w:val="auto"/>
          <w:sz w:val="34"/>
          <w:highlight w:val="none"/>
        </w:rPr>
        <w:t>提升社会保险经办服务水平</w:t>
      </w:r>
      <w:bookmarkEnd w:id="53"/>
      <w:bookmarkEnd w:id="54"/>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全面优化经办服务管理体系。</w:t>
      </w:r>
      <w:r>
        <w:rPr>
          <w:rFonts w:hint="eastAsia" w:ascii="仿宋_GB2312" w:hAnsi="宋体" w:eastAsia="仿宋_GB2312"/>
          <w:color w:val="auto"/>
          <w:sz w:val="32"/>
          <w:szCs w:val="32"/>
          <w:highlight w:val="none"/>
        </w:rPr>
        <w:t>加快经办服务场所、机构、人员、流程、稽核等的整合和规范统一，逐步实现各类社会保险经办服务一体化。加强标准化建设，形成与社会保障改革发展相适应，融信息化建设、参保登记、权益记录、转移接续、待遇领取等业务于一体的标准化体系。推进社会保险经办业务职责属地化管理，进一步理顺市、县（市</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区</w:t>
      </w:r>
      <w:r>
        <w:rPr>
          <w:rFonts w:hint="eastAsia" w:ascii="仿宋_GB2312" w:hAnsi="宋体" w:eastAsia="仿宋_GB2312"/>
          <w:color w:val="auto"/>
          <w:sz w:val="32"/>
          <w:szCs w:val="32"/>
          <w:highlight w:val="none"/>
        </w:rPr>
        <w:t>）职责关系，推动县（市</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区）</w:t>
      </w:r>
      <w:r>
        <w:rPr>
          <w:rFonts w:hint="eastAsia" w:ascii="仿宋_GB2312" w:hAnsi="宋体" w:eastAsia="仿宋_GB2312"/>
          <w:color w:val="auto"/>
          <w:sz w:val="32"/>
          <w:szCs w:val="32"/>
          <w:highlight w:val="none"/>
          <w:lang w:val="en-US" w:eastAsia="zh-CN"/>
        </w:rPr>
        <w:t>社保经办机构</w:t>
      </w:r>
      <w:r>
        <w:rPr>
          <w:rFonts w:hint="eastAsia" w:ascii="仿宋_GB2312" w:hAnsi="宋体" w:eastAsia="仿宋_GB2312"/>
          <w:color w:val="auto"/>
          <w:sz w:val="32"/>
          <w:szCs w:val="32"/>
          <w:highlight w:val="none"/>
        </w:rPr>
        <w:t>的内设机构设置标准化、扁平化和人员配置科学化，推动多险合一经办。推动企业退休人员基本纳入街道社区实行社会化管理。</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推动社保经办数字化转型。</w:t>
      </w:r>
      <w:r>
        <w:rPr>
          <w:rFonts w:hint="eastAsia" w:ascii="仿宋_GB2312" w:hAnsi="宋体" w:eastAsia="仿宋_GB2312"/>
          <w:color w:val="auto"/>
          <w:sz w:val="32"/>
          <w:szCs w:val="32"/>
          <w:highlight w:val="none"/>
        </w:rPr>
        <w:t>优化经办模式，拓展服务渠道，适应移动互联网发展趋势，</w:t>
      </w:r>
      <w:r>
        <w:rPr>
          <w:rFonts w:hint="eastAsia" w:ascii="仿宋_GB2312" w:hAnsi="宋体" w:eastAsia="仿宋_GB2312"/>
          <w:color w:val="auto"/>
          <w:sz w:val="32"/>
          <w:szCs w:val="32"/>
          <w:highlight w:val="none"/>
          <w:lang w:val="en-US" w:eastAsia="zh-CN"/>
        </w:rPr>
        <w:t>依托“数字人社”</w:t>
      </w:r>
      <w:r>
        <w:rPr>
          <w:rFonts w:hint="eastAsia" w:ascii="仿宋_GB2312" w:hAnsi="宋体" w:eastAsia="仿宋_GB2312"/>
          <w:color w:val="auto"/>
          <w:sz w:val="32"/>
          <w:szCs w:val="32"/>
          <w:highlight w:val="none"/>
        </w:rPr>
        <w:t>建设“电子社保”“掌上社保”，实现社会保障服务更加便捷、高效。全面应用</w:t>
      </w:r>
      <w:r>
        <w:rPr>
          <w:rFonts w:hint="eastAsia" w:ascii="仿宋_GB2312" w:hAnsi="宋体" w:eastAsia="仿宋_GB2312"/>
          <w:color w:val="auto"/>
          <w:sz w:val="32"/>
          <w:szCs w:val="32"/>
          <w:highlight w:val="none"/>
          <w:lang w:val="en-US" w:eastAsia="zh-CN"/>
        </w:rPr>
        <w:t>省</w:t>
      </w:r>
      <w:r>
        <w:rPr>
          <w:rFonts w:hint="eastAsia" w:ascii="仿宋_GB2312" w:hAnsi="宋体" w:eastAsia="仿宋_GB2312"/>
          <w:color w:val="auto"/>
          <w:sz w:val="32"/>
          <w:szCs w:val="32"/>
          <w:highlight w:val="none"/>
        </w:rPr>
        <w:t>集中式社保信息系统，实现业务财务档案的一体化和数字化，强化人社部门内部及跨部门数据共享。</w:t>
      </w:r>
      <w:r>
        <w:rPr>
          <w:rFonts w:hint="eastAsia" w:ascii="仿宋_GB2312" w:hAnsi="宋体" w:eastAsia="仿宋_GB2312"/>
          <w:color w:val="auto"/>
          <w:sz w:val="32"/>
          <w:szCs w:val="32"/>
          <w:highlight w:val="none"/>
          <w:lang w:val="en-US" w:eastAsia="zh-CN"/>
        </w:rPr>
        <w:t>完善</w:t>
      </w:r>
      <w:r>
        <w:rPr>
          <w:rFonts w:hint="eastAsia" w:ascii="仿宋_GB2312" w:hAnsi="宋体" w:eastAsia="仿宋_GB2312"/>
          <w:color w:val="auto"/>
          <w:sz w:val="32"/>
          <w:szCs w:val="32"/>
          <w:highlight w:val="none"/>
        </w:rPr>
        <w:t>线上参保缴费、待遇申领等服务渠道，实现社保关系顺畅衔接，实行工伤医疗费用联网结算，优化异地工伤医疗管理服务。</w:t>
      </w:r>
    </w:p>
    <w:p>
      <w:pPr>
        <w:pStyle w:val="8"/>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宋体" w:eastAsia="楷体_GB2312" w:cs="宋体"/>
                <w:b/>
                <w:color w:val="auto"/>
                <w:sz w:val="32"/>
                <w:szCs w:val="32"/>
                <w:highlight w:val="none"/>
                <w:lang w:bidi="zh-TW"/>
              </w:rPr>
            </w:pPr>
            <w:r>
              <w:rPr>
                <w:rFonts w:hint="eastAsia" w:ascii="楷体_GB2312" w:hAnsi="宋体" w:eastAsia="楷体_GB2312" w:cs="宋体"/>
                <w:b/>
                <w:color w:val="auto"/>
                <w:sz w:val="32"/>
                <w:szCs w:val="32"/>
                <w:highlight w:val="none"/>
                <w:lang w:bidi="zh-TW"/>
              </w:rPr>
              <w:t>专栏</w:t>
            </w:r>
            <w:r>
              <w:rPr>
                <w:rFonts w:hint="eastAsia" w:ascii="楷体_GB2312" w:hAnsi="宋体" w:eastAsia="楷体_GB2312" w:cs="宋体"/>
                <w:b/>
                <w:color w:val="auto"/>
                <w:sz w:val="32"/>
                <w:szCs w:val="32"/>
                <w:highlight w:val="none"/>
                <w:lang w:eastAsia="zh-CN" w:bidi="zh-TW"/>
              </w:rPr>
              <w:t>７</w:t>
            </w:r>
            <w:r>
              <w:rPr>
                <w:rFonts w:hint="eastAsia" w:ascii="楷体_GB2312" w:hAnsi="宋体" w:eastAsia="楷体_GB2312" w:cs="宋体"/>
                <w:b/>
                <w:color w:val="auto"/>
                <w:sz w:val="32"/>
                <w:szCs w:val="32"/>
                <w:highlight w:val="none"/>
                <w:lang w:bidi="zh-TW"/>
              </w:rPr>
              <w:t xml:space="preserve">  提升社保经办管理服务能力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keepNext w:val="0"/>
              <w:keepLines w:val="0"/>
              <w:widowControl/>
              <w:suppressLineNumbers w:val="0"/>
              <w:spacing w:line="360" w:lineRule="auto"/>
              <w:ind w:firstLine="560" w:firstLineChars="200"/>
              <w:jc w:val="both"/>
              <w:rPr>
                <w:rFonts w:hint="eastAsia"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1.</w:t>
            </w:r>
            <w:r>
              <w:rPr>
                <w:rFonts w:hint="eastAsia" w:ascii="楷体_GB2312" w:hAnsi="宋体" w:eastAsia="楷体_GB2312" w:cs="宋体"/>
                <w:b/>
                <w:bCs/>
                <w:color w:val="auto"/>
                <w:kern w:val="2"/>
                <w:sz w:val="28"/>
                <w:szCs w:val="28"/>
                <w:highlight w:val="none"/>
                <w:lang w:val="en-US" w:eastAsia="zh-CN" w:bidi="zh-TW"/>
              </w:rPr>
              <w:t>社会保险经办服务标准化建设工程。</w:t>
            </w:r>
            <w:r>
              <w:rPr>
                <w:rFonts w:hint="eastAsia" w:ascii="楷体_GB2312" w:hAnsi="宋体" w:eastAsia="楷体_GB2312" w:cs="宋体"/>
                <w:color w:val="auto"/>
                <w:sz w:val="28"/>
                <w:szCs w:val="28"/>
                <w:highlight w:val="none"/>
                <w:lang w:val="en-US" w:eastAsia="zh-CN" w:bidi="zh-TW"/>
              </w:rPr>
              <w:t xml:space="preserve">以社保领域国家标准为指引，健全经办服务标准化工作机制，形成融信息化建设、参保登记、权益记录、转移接续、待遇领取等业务于一体的标准化体系，实施全省统一的经办标准、业务流程、管理办法。 </w:t>
            </w:r>
          </w:p>
          <w:p>
            <w:pPr>
              <w:widowControl/>
              <w:adjustRightInd/>
              <w:snapToGrid/>
              <w:spacing w:line="360" w:lineRule="auto"/>
              <w:ind w:firstLine="560" w:firstLineChars="200"/>
              <w:jc w:val="both"/>
              <w:rPr>
                <w:rFonts w:ascii="楷体_GB2312" w:hAnsi="宋体" w:eastAsia="楷体_GB2312" w:cs="宋体"/>
                <w:color w:val="auto"/>
                <w:sz w:val="28"/>
                <w:szCs w:val="28"/>
                <w:highlight w:val="none"/>
                <w:lang w:bidi="zh-TW"/>
              </w:rPr>
            </w:pPr>
            <w:r>
              <w:rPr>
                <w:rFonts w:hint="eastAsia" w:ascii="楷体_GB2312" w:hAnsi="宋体" w:eastAsia="楷体_GB2312" w:cs="宋体"/>
                <w:b w:val="0"/>
                <w:bCs w:val="0"/>
                <w:color w:val="auto"/>
                <w:kern w:val="2"/>
                <w:sz w:val="28"/>
                <w:szCs w:val="28"/>
                <w:highlight w:val="none"/>
                <w:lang w:val="en-US" w:eastAsia="zh-CN" w:bidi="zh-TW"/>
              </w:rPr>
              <w:t>2.</w:t>
            </w:r>
            <w:r>
              <w:rPr>
                <w:rFonts w:hint="eastAsia" w:ascii="楷体_GB2312" w:hAnsi="宋体" w:eastAsia="楷体_GB2312" w:cs="宋体"/>
                <w:b/>
                <w:bCs/>
                <w:color w:val="auto"/>
                <w:kern w:val="2"/>
                <w:sz w:val="28"/>
                <w:szCs w:val="28"/>
                <w:highlight w:val="none"/>
                <w:lang w:val="en-US" w:eastAsia="zh-CN" w:bidi="zh-TW"/>
              </w:rPr>
              <w:t>加强专业化、精准化、个性化培训。</w:t>
            </w:r>
            <w:r>
              <w:rPr>
                <w:rFonts w:hint="eastAsia" w:ascii="楷体_GB2312" w:hAnsi="宋体" w:eastAsia="楷体_GB2312" w:cs="宋体"/>
                <w:color w:val="auto"/>
                <w:kern w:val="2"/>
                <w:sz w:val="28"/>
                <w:szCs w:val="28"/>
                <w:highlight w:val="none"/>
                <w:lang w:val="en-US" w:eastAsia="zh-CN" w:bidi="zh-TW"/>
              </w:rPr>
              <w:t>开展社保精算、金融、保险、社会管理、社会工作、社保基金财务会计制度、社保经办标准化管理等各类专项培训，培养专业领域业务能手。</w:t>
            </w:r>
          </w:p>
        </w:tc>
      </w:tr>
    </w:tbl>
    <w:p>
      <w:pPr>
        <w:pStyle w:val="8"/>
        <w:rPr>
          <w:rStyle w:val="32"/>
          <w:rFonts w:ascii="仿宋_GB2312" w:hAnsi="宋体" w:eastAsia="仿宋_GB2312"/>
          <w:color w:val="auto"/>
          <w:sz w:val="32"/>
          <w:szCs w:val="32"/>
          <w:highlight w:val="none"/>
        </w:rPr>
      </w:pPr>
    </w:p>
    <w:p>
      <w:pPr>
        <w:pStyle w:val="9"/>
      </w:pPr>
    </w:p>
    <w:p>
      <w:pPr>
        <w:pStyle w:val="9"/>
        <w:rPr>
          <w:color w:val="auto"/>
          <w:highlight w:val="none"/>
        </w:rPr>
      </w:pPr>
    </w:p>
    <w:p>
      <w:pPr>
        <w:pStyle w:val="6"/>
        <w:rPr>
          <w:color w:val="auto"/>
          <w:highlight w:val="none"/>
        </w:rPr>
      </w:pPr>
    </w:p>
    <w:p/>
    <w:p>
      <w:pPr>
        <w:pStyle w:val="9"/>
        <w:rPr>
          <w:color w:val="auto"/>
          <w:highlight w:val="none"/>
        </w:rPr>
      </w:pPr>
    </w:p>
    <w:p>
      <w:pPr>
        <w:pStyle w:val="3"/>
        <w:adjustRightInd w:val="0"/>
        <w:snapToGrid w:val="0"/>
        <w:spacing w:before="120" w:beforeLines="50" w:after="120" w:afterLines="50" w:line="360" w:lineRule="auto"/>
        <w:jc w:val="center"/>
        <w:rPr>
          <w:rFonts w:ascii="Calibri" w:hAnsi="Calibri" w:eastAsia="黑体"/>
          <w:b w:val="0"/>
          <w:bCs/>
          <w:color w:val="auto"/>
          <w:sz w:val="36"/>
          <w:szCs w:val="36"/>
          <w:highlight w:val="none"/>
          <w:lang w:val="en-US"/>
        </w:rPr>
      </w:pPr>
      <w:bookmarkStart w:id="55" w:name="_Toc22610"/>
      <w:bookmarkStart w:id="56" w:name="_Toc31320"/>
      <w:r>
        <w:rPr>
          <w:rFonts w:hint="eastAsia" w:ascii="Calibri" w:hAnsi="Calibri" w:eastAsia="黑体"/>
          <w:b w:val="0"/>
          <w:bCs/>
          <w:color w:val="auto"/>
          <w:sz w:val="36"/>
          <w:szCs w:val="36"/>
          <w:highlight w:val="none"/>
          <w:lang w:val="en-US"/>
        </w:rPr>
        <w:t>第六章</w:t>
      </w:r>
      <w:r>
        <w:rPr>
          <w:rFonts w:ascii="Calibri" w:hAnsi="Calibri" w:eastAsia="黑体"/>
          <w:b w:val="0"/>
          <w:bCs/>
          <w:color w:val="auto"/>
          <w:sz w:val="36"/>
          <w:szCs w:val="36"/>
          <w:highlight w:val="none"/>
          <w:lang w:val="en-US"/>
        </w:rPr>
        <w:t xml:space="preserve"> </w:t>
      </w:r>
      <w:r>
        <w:rPr>
          <w:rFonts w:hint="eastAsia" w:ascii="Calibri" w:hAnsi="Calibri" w:eastAsia="黑体"/>
          <w:b w:val="0"/>
          <w:bCs/>
          <w:color w:val="auto"/>
          <w:sz w:val="36"/>
          <w:szCs w:val="36"/>
          <w:highlight w:val="none"/>
          <w:lang w:val="en-US"/>
        </w:rPr>
        <w:t xml:space="preserve"> 建设高水平人才队</w:t>
      </w:r>
      <w:bookmarkEnd w:id="46"/>
      <w:r>
        <w:rPr>
          <w:rFonts w:hint="eastAsia" w:ascii="Calibri" w:hAnsi="Calibri" w:eastAsia="黑体"/>
          <w:b w:val="0"/>
          <w:bCs/>
          <w:color w:val="auto"/>
          <w:sz w:val="36"/>
          <w:szCs w:val="36"/>
          <w:highlight w:val="none"/>
          <w:lang w:val="en-US"/>
        </w:rPr>
        <w:t>伍</w:t>
      </w:r>
      <w:bookmarkEnd w:id="55"/>
      <w:bookmarkEnd w:id="56"/>
    </w:p>
    <w:p>
      <w:pPr>
        <w:adjustRightInd w:val="0"/>
        <w:snapToGrid w:val="0"/>
        <w:spacing w:line="360" w:lineRule="auto"/>
        <w:ind w:firstLine="640" w:firstLineChars="200"/>
        <w:rPr>
          <w:rStyle w:val="32"/>
          <w:rFonts w:hAnsi="仿宋" w:eastAsia="仿宋_GB2312" w:cs="仿宋"/>
          <w:color w:val="auto"/>
          <w:sz w:val="32"/>
          <w:szCs w:val="32"/>
          <w:highlight w:val="none"/>
        </w:rPr>
      </w:pPr>
      <w:bookmarkStart w:id="57" w:name="_Toc29194"/>
      <w:r>
        <w:rPr>
          <w:rStyle w:val="32"/>
          <w:rFonts w:hint="eastAsia" w:hAnsi="仿宋" w:eastAsia="仿宋_GB2312" w:cs="仿宋"/>
          <w:color w:val="auto"/>
          <w:sz w:val="32"/>
          <w:szCs w:val="32"/>
          <w:highlight w:val="none"/>
        </w:rPr>
        <w:t>坚持党管人才原则，贯彻尊重劳动、尊重知识、尊重人才、尊重创造方针，紧抓新一轮科技革命和产业变革重大机遇，实行更加开放的人才政策，加强专业技术人才、技能人才队伍建设，协同现代产业发展，支撑经济社会转型，深入实施人才强市战略，大力推进人才发展体制机制改革和政策创新，持续优化人才发展环境和服务保障，全面提升高水平人才集聚能力。</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58" w:name="_Toc16593"/>
      <w:bookmarkStart w:id="59" w:name="_Toc22036"/>
      <w:r>
        <w:rPr>
          <w:rFonts w:hint="eastAsia" w:ascii="Cambria" w:hAnsi="Cambria" w:eastAsia="楷体_GB2312"/>
          <w:color w:val="auto"/>
          <w:sz w:val="34"/>
          <w:highlight w:val="none"/>
        </w:rPr>
        <w:t>第一节  加快建设高层次专业技术人才队伍</w:t>
      </w:r>
      <w:bookmarkEnd w:id="58"/>
      <w:bookmarkEnd w:id="59"/>
    </w:p>
    <w:p>
      <w:pPr>
        <w:adjustRightInd w:val="0"/>
        <w:snapToGrid w:val="0"/>
        <w:spacing w:line="360" w:lineRule="auto"/>
        <w:ind w:firstLine="643" w:firstLineChars="200"/>
        <w:rPr>
          <w:color w:val="auto"/>
          <w:highlight w:val="none"/>
        </w:rPr>
      </w:pPr>
      <w:r>
        <w:rPr>
          <w:rStyle w:val="32"/>
          <w:rFonts w:hint="eastAsia" w:hAnsi="仿宋" w:eastAsia="仿宋_GB2312" w:cs="仿宋"/>
          <w:b/>
          <w:color w:val="auto"/>
          <w:sz w:val="32"/>
          <w:szCs w:val="32"/>
          <w:highlight w:val="none"/>
        </w:rPr>
        <w:t>深化专业技术职称制度改革。</w:t>
      </w:r>
      <w:r>
        <w:rPr>
          <w:rStyle w:val="32"/>
          <w:rFonts w:hint="eastAsia" w:hAnsi="仿宋" w:eastAsia="仿宋_GB2312" w:cs="仿宋"/>
          <w:color w:val="auto"/>
          <w:sz w:val="32"/>
          <w:szCs w:val="32"/>
          <w:highlight w:val="none"/>
        </w:rPr>
        <w:t>完善职称管理体系，促进职称政策与人事人才政策相衔接。在中小学职称改革基础上，逐步在其他系统探索建立与人事人才政策相衔接。将社会化职称评定职能全面下放给具备条件的行业组织，支持民营企业、社会组织参与职称评价。制定行业组织承接职称评审职能监管办法。争取在卫生、建筑等专业</w:t>
      </w:r>
      <w:r>
        <w:rPr>
          <w:rStyle w:val="32"/>
          <w:rFonts w:hint="eastAsia" w:hAnsi="仿宋" w:eastAsia="仿宋_GB2312" w:cs="仿宋"/>
          <w:color w:val="auto"/>
          <w:sz w:val="32"/>
          <w:szCs w:val="32"/>
          <w:highlight w:val="none"/>
          <w:lang w:val="en-US" w:eastAsia="zh-CN"/>
        </w:rPr>
        <w:t>领域</w:t>
      </w:r>
      <w:r>
        <w:rPr>
          <w:rStyle w:val="32"/>
          <w:rFonts w:hint="eastAsia" w:hAnsi="仿宋" w:eastAsia="仿宋_GB2312" w:cs="仿宋"/>
          <w:color w:val="auto"/>
          <w:sz w:val="32"/>
          <w:szCs w:val="32"/>
          <w:highlight w:val="none"/>
        </w:rPr>
        <w:t>组建副高级职称评审委员会，向符合条件的县（市、区）逐步下放中级职称评审权限。在新型研发机构、大型骨干企业、高新技术企业等开展职称自主评价试点。将技术创新、高新技术成果转化、发明专利转化等方面取得的经济效益和社会效益作为职称评审的重要条件。推进职称信息化建设，建立健全职称申报兜底机制，畅通各类型专业技术人才职称申报渠道。</w:t>
      </w:r>
    </w:p>
    <w:p>
      <w:pPr>
        <w:adjustRightInd w:val="0"/>
        <w:snapToGrid w:val="0"/>
        <w:spacing w:line="360" w:lineRule="auto"/>
        <w:ind w:firstLine="643" w:firstLineChars="200"/>
        <w:rPr>
          <w:rStyle w:val="32"/>
          <w:rFonts w:hint="eastAsia" w:hAnsi="仿宋" w:eastAsia="仿宋_GB2312" w:cs="仿宋"/>
          <w:color w:val="auto"/>
          <w:sz w:val="32"/>
          <w:szCs w:val="32"/>
          <w:highlight w:val="none"/>
          <w:lang w:eastAsia="zh-CN"/>
        </w:rPr>
      </w:pPr>
      <w:r>
        <w:rPr>
          <w:rStyle w:val="32"/>
          <w:rFonts w:hint="eastAsia" w:hAnsi="仿宋" w:eastAsia="仿宋_GB2312" w:cs="仿宋"/>
          <w:b/>
          <w:color w:val="auto"/>
          <w:sz w:val="32"/>
          <w:szCs w:val="32"/>
          <w:highlight w:val="none"/>
        </w:rPr>
        <w:t>推进新时代博士和博士后人才创新发展。</w:t>
      </w:r>
      <w:r>
        <w:rPr>
          <w:rStyle w:val="32"/>
          <w:rFonts w:hint="eastAsia" w:hAnsi="仿宋" w:eastAsia="仿宋_GB2312" w:cs="仿宋"/>
          <w:color w:val="auto"/>
          <w:sz w:val="32"/>
          <w:szCs w:val="32"/>
          <w:highlight w:val="none"/>
        </w:rPr>
        <w:t>大力招揽海内外优秀博士和出站博士后来汕尾工作。完善资助政策，拓展招收渠道，搭建优化发展平台，鼓励支持高端产业开展博士后工作。加大博士后</w:t>
      </w:r>
      <w:r>
        <w:rPr>
          <w:rStyle w:val="32"/>
          <w:rFonts w:hint="eastAsia" w:hAnsi="仿宋" w:eastAsia="仿宋_GB2312" w:cs="仿宋"/>
          <w:color w:val="auto"/>
          <w:sz w:val="32"/>
          <w:szCs w:val="32"/>
          <w:highlight w:val="none"/>
          <w:lang w:val="en-US" w:eastAsia="zh-CN"/>
        </w:rPr>
        <w:t>引进</w:t>
      </w:r>
      <w:r>
        <w:rPr>
          <w:rStyle w:val="32"/>
          <w:rFonts w:hint="eastAsia" w:hAnsi="仿宋" w:eastAsia="仿宋_GB2312" w:cs="仿宋"/>
          <w:color w:val="auto"/>
          <w:sz w:val="32"/>
          <w:szCs w:val="32"/>
          <w:highlight w:val="none"/>
        </w:rPr>
        <w:t>力度，依托国内著名高校和深圳研究机构，深化深汕博士后人才与项目的合作。鼓励支持参加广东“众创杯”博士</w:t>
      </w:r>
      <w:r>
        <w:rPr>
          <w:rStyle w:val="32"/>
          <w:rFonts w:hint="eastAsia" w:hAnsi="仿宋" w:eastAsia="仿宋_GB2312" w:cs="仿宋"/>
          <w:color w:val="auto"/>
          <w:sz w:val="32"/>
          <w:szCs w:val="32"/>
          <w:highlight w:val="none"/>
          <w:lang w:eastAsia="zh-CN"/>
        </w:rPr>
        <w:t>、</w:t>
      </w:r>
      <w:r>
        <w:rPr>
          <w:rStyle w:val="32"/>
          <w:rFonts w:hint="eastAsia" w:hAnsi="仿宋" w:eastAsia="仿宋_GB2312" w:cs="仿宋"/>
          <w:color w:val="auto"/>
          <w:sz w:val="32"/>
          <w:szCs w:val="32"/>
          <w:highlight w:val="none"/>
        </w:rPr>
        <w:t>博士后创新赛。支持博士后到众创空间开展创新创业，促进人才、技术、资本的高效配置和有效整合。建立博士后人才需求库和博士后科研项目库，打造信息交流平台。组织博士后学术沙龙等活动，营造学术交流氛围。</w:t>
      </w:r>
    </w:p>
    <w:p>
      <w:pPr>
        <w:adjustRightInd w:val="0"/>
        <w:snapToGrid w:val="0"/>
        <w:spacing w:line="360" w:lineRule="auto"/>
        <w:ind w:firstLine="640" w:firstLineChars="200"/>
        <w:rPr>
          <w:rStyle w:val="32"/>
          <w:rFonts w:hAnsi="仿宋" w:eastAsia="仿宋_GB2312" w:cs="仿宋"/>
          <w:color w:val="auto"/>
          <w:sz w:val="32"/>
          <w:szCs w:val="32"/>
          <w:highlight w:val="none"/>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宋体" w:eastAsia="楷体_GB2312" w:cs="宋体"/>
                <w:b/>
                <w:color w:val="auto"/>
                <w:sz w:val="32"/>
                <w:szCs w:val="32"/>
                <w:highlight w:val="none"/>
                <w:lang w:bidi="zh-TW"/>
              </w:rPr>
            </w:pPr>
            <w:r>
              <w:rPr>
                <w:rFonts w:hint="eastAsia" w:ascii="楷体_GB2312" w:hAnsi="宋体" w:eastAsia="楷体_GB2312" w:cs="宋体"/>
                <w:b/>
                <w:color w:val="auto"/>
                <w:sz w:val="32"/>
                <w:szCs w:val="32"/>
                <w:highlight w:val="none"/>
                <w:lang w:bidi="zh-TW"/>
              </w:rPr>
              <w:t>专栏</w:t>
            </w:r>
            <w:r>
              <w:rPr>
                <w:rFonts w:hint="eastAsia" w:ascii="楷体_GB2312" w:hAnsi="宋体" w:eastAsia="楷体_GB2312" w:cs="宋体"/>
                <w:b/>
                <w:color w:val="auto"/>
                <w:sz w:val="32"/>
                <w:szCs w:val="32"/>
                <w:highlight w:val="none"/>
                <w:lang w:eastAsia="zh-CN" w:bidi="zh-TW"/>
              </w:rPr>
              <w:t>８</w:t>
            </w:r>
            <w:r>
              <w:rPr>
                <w:rFonts w:hint="eastAsia" w:ascii="楷体_GB2312" w:hAnsi="宋体" w:eastAsia="楷体_GB2312" w:cs="宋体"/>
                <w:b/>
                <w:color w:val="auto"/>
                <w:sz w:val="32"/>
                <w:szCs w:val="32"/>
                <w:highlight w:val="none"/>
                <w:lang w:bidi="zh-TW"/>
              </w:rPr>
              <w:t xml:space="preserve">  高层次专业技术人才队伍建设计划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adjustRightInd w:val="0"/>
              <w:snapToGrid w:val="0"/>
              <w:spacing w:line="360" w:lineRule="auto"/>
              <w:ind w:firstLine="562" w:firstLineChars="200"/>
              <w:rPr>
                <w:rFonts w:ascii="楷体_GB2312" w:hAnsi="宋体" w:eastAsia="楷体_GB2312" w:cs="宋体"/>
                <w:color w:val="auto"/>
                <w:sz w:val="28"/>
                <w:szCs w:val="28"/>
                <w:highlight w:val="none"/>
                <w:lang w:bidi="zh-TW"/>
              </w:rPr>
            </w:pPr>
            <w:r>
              <w:rPr>
                <w:rFonts w:hint="eastAsia" w:ascii="楷体_GB2312" w:hAnsi="宋体" w:eastAsia="楷体_GB2312" w:cs="宋体"/>
                <w:b/>
                <w:bCs/>
                <w:color w:val="auto"/>
                <w:sz w:val="28"/>
                <w:szCs w:val="28"/>
                <w:highlight w:val="none"/>
                <w:lang w:bidi="zh-TW"/>
              </w:rPr>
              <w:t>1.深化职称制度改革。</w:t>
            </w:r>
            <w:r>
              <w:rPr>
                <w:rFonts w:hint="eastAsia" w:ascii="楷体_GB2312" w:hAnsi="宋体" w:eastAsia="楷体_GB2312" w:cs="宋体"/>
                <w:color w:val="auto"/>
                <w:sz w:val="28"/>
                <w:szCs w:val="28"/>
                <w:highlight w:val="none"/>
                <w:lang w:bidi="zh-TW"/>
              </w:rPr>
              <w:t>加大“放管服”力度，借鉴中小学教师职称制度改革的经验并加强与国有企业、非公企业的联系，建立信息交流平台，研究探索其他专业职称评价的标准办法，拓宽评价的渠道，研究解决企业专技人员申报职称评审的难题，促进职称评审工作的不断发展。</w:t>
            </w:r>
          </w:p>
          <w:p>
            <w:pPr>
              <w:adjustRightInd w:val="0"/>
              <w:snapToGrid w:val="0"/>
              <w:spacing w:line="360" w:lineRule="auto"/>
              <w:ind w:firstLine="562" w:firstLineChars="200"/>
              <w:rPr>
                <w:rFonts w:ascii="楷体_GB2312" w:hAnsi="宋体" w:eastAsia="楷体_GB2312" w:cs="宋体"/>
                <w:color w:val="auto"/>
                <w:sz w:val="28"/>
                <w:szCs w:val="28"/>
                <w:highlight w:val="none"/>
                <w:lang w:bidi="zh-TW"/>
              </w:rPr>
            </w:pPr>
            <w:r>
              <w:rPr>
                <w:rFonts w:hint="eastAsia" w:ascii="楷体_GB2312" w:hAnsi="宋体" w:eastAsia="楷体_GB2312" w:cs="宋体"/>
                <w:b/>
                <w:bCs/>
                <w:color w:val="auto"/>
                <w:sz w:val="28"/>
                <w:szCs w:val="28"/>
                <w:highlight w:val="none"/>
                <w:lang w:bidi="zh-TW"/>
              </w:rPr>
              <w:t>2.加强博士工作站、博士后科研工作站等平台建设。</w:t>
            </w:r>
            <w:r>
              <w:rPr>
                <w:rFonts w:hint="eastAsia" w:ascii="楷体_GB2312" w:hAnsi="宋体" w:eastAsia="楷体_GB2312" w:cs="宋体"/>
                <w:color w:val="auto"/>
                <w:sz w:val="28"/>
                <w:szCs w:val="28"/>
                <w:highlight w:val="none"/>
                <w:lang w:bidi="zh-TW"/>
              </w:rPr>
              <w:t>加大宣传力度，推动汕尾市新能源实验室、华南师范大学汕尾校区和信利半导体有限公司等人才密集、科技含量较高的企事业建立博士后科研工作站或博士后创新实践基地。</w:t>
            </w:r>
          </w:p>
        </w:tc>
      </w:tr>
    </w:tbl>
    <w:p>
      <w:pPr>
        <w:adjustRightInd w:val="0"/>
        <w:snapToGrid w:val="0"/>
        <w:spacing w:line="360" w:lineRule="auto"/>
        <w:rPr>
          <w:rStyle w:val="32"/>
          <w:color w:val="auto"/>
          <w:highlight w:val="none"/>
        </w:rPr>
      </w:pPr>
    </w:p>
    <w:p>
      <w:pPr>
        <w:adjustRightInd w:val="0"/>
        <w:snapToGrid w:val="0"/>
        <w:spacing w:line="360" w:lineRule="auto"/>
        <w:ind w:firstLine="643" w:firstLineChars="200"/>
        <w:rPr>
          <w:rStyle w:val="32"/>
          <w:rFonts w:hAnsi="仿宋" w:eastAsia="仿宋_GB2312" w:cs="仿宋"/>
          <w:color w:val="auto"/>
          <w:sz w:val="32"/>
          <w:szCs w:val="32"/>
          <w:highlight w:val="none"/>
        </w:rPr>
      </w:pPr>
      <w:r>
        <w:rPr>
          <w:rStyle w:val="32"/>
          <w:rFonts w:hint="eastAsia" w:hAnsi="仿宋" w:eastAsia="仿宋_GB2312" w:cs="仿宋"/>
          <w:b/>
          <w:color w:val="auto"/>
          <w:sz w:val="32"/>
          <w:szCs w:val="32"/>
          <w:highlight w:val="none"/>
        </w:rPr>
        <w:t>优化专技人才继续教育。</w:t>
      </w:r>
      <w:r>
        <w:rPr>
          <w:rStyle w:val="32"/>
          <w:rFonts w:hint="eastAsia" w:hAnsi="仿宋" w:eastAsia="仿宋_GB2312" w:cs="仿宋"/>
          <w:color w:val="auto"/>
          <w:sz w:val="32"/>
          <w:szCs w:val="32"/>
          <w:highlight w:val="none"/>
        </w:rPr>
        <w:t>深入落实《广东省专业技术人员继续教育条例》《专业技术人员继续教育规定》，大力实施专业技术人才知识更新工程，着力提升专业技术人才的综合素质、专业水平和创新能力。创新继续教育方式，提升线上培训服务质量。按照高水平、小规模、重特色的要求，组织本市专业技术人员参加各类国家级、省级中高级研修项目。进一步强化继续教育对提升基层专业技术人才能力素质的主渠道作用。联合有关施教机构主动承担培训任务，为基层专业技术人才提供形式多样的继续教育服务。</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60" w:name="_Toc11875"/>
      <w:bookmarkStart w:id="61" w:name="_Toc29001"/>
      <w:r>
        <w:rPr>
          <w:rFonts w:hint="eastAsia" w:ascii="Cambria" w:hAnsi="Cambria" w:eastAsia="楷体_GB2312"/>
          <w:color w:val="auto"/>
          <w:sz w:val="34"/>
          <w:highlight w:val="none"/>
        </w:rPr>
        <w:t>第二节  扩大高水平技能人才有效供给</w:t>
      </w:r>
      <w:bookmarkEnd w:id="60"/>
      <w:bookmarkEnd w:id="61"/>
    </w:p>
    <w:p>
      <w:pPr>
        <w:adjustRightInd w:val="0"/>
        <w:snapToGrid w:val="0"/>
        <w:spacing w:line="360" w:lineRule="auto"/>
        <w:ind w:firstLine="643" w:firstLineChars="200"/>
        <w:rPr>
          <w:rFonts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大力引育高技能人才。</w:t>
      </w:r>
      <w:r>
        <w:rPr>
          <w:rFonts w:hint="eastAsia" w:ascii="仿宋_GB2312" w:hAnsi="仿宋_GB2312" w:eastAsia="仿宋_GB2312" w:cs="仿宋_GB2312"/>
          <w:bCs/>
          <w:color w:val="auto"/>
          <w:sz w:val="32"/>
          <w:szCs w:val="32"/>
          <w:highlight w:val="none"/>
        </w:rPr>
        <w:t>深入实施国家和省高技能人才振兴计划，紧密围绕我市现代产业发展对高技能人才需求，引育打造一支结构优良、技艺精湛的高技能人才队伍。加大高技能人才引进力度，鼓励企业引进国家级技能大师工作室带头人和产业发展急需的技师、高级技师等高技能人才。支持企业培育新时代高技能人才，实施“首席技师”培养工程。鼓励技师、高级技师向省、市、县级技能大师、国家级技能大师、享受国务院特贴专家的高技能人才提升发展。加强高技能人才重点项目建设，推荐优秀高技能人才参评国务院特殊津贴、中华技能大奖、全国技术能手，参评广东省技能大奖、省企业首席技师等项目。加快技能领军人才培养选拔，加快构建“高级技师-首席技师-技能大师”金字塔形技能领军人才梯队。依托本</w:t>
      </w:r>
      <w:r>
        <w:rPr>
          <w:rFonts w:hint="eastAsia" w:hAnsi="仿宋_GB2312" w:eastAsia="仿宋_GB2312" w:cs="仿宋_GB2312"/>
          <w:bCs/>
          <w:color w:val="auto"/>
          <w:sz w:val="32"/>
          <w:szCs w:val="32"/>
          <w:highlight w:val="none"/>
        </w:rPr>
        <w:t>地技工院</w:t>
      </w:r>
      <w:r>
        <w:rPr>
          <w:rFonts w:hint="eastAsia" w:ascii="仿宋_GB2312" w:hAnsi="仿宋_GB2312" w:eastAsia="仿宋_GB2312" w:cs="仿宋_GB2312"/>
          <w:bCs/>
          <w:color w:val="auto"/>
          <w:sz w:val="32"/>
          <w:szCs w:val="32"/>
          <w:highlight w:val="none"/>
        </w:rPr>
        <w:t>校和职业学院，培养更多满足本地产业需求的高技能人才。加大高技能人才公共实训基地建设力度，重点扶持建设汕尾技师学院国家级高技能人才培训基地，加快建设我市国家级技能大师</w:t>
      </w:r>
      <w:bookmarkStart w:id="62" w:name="bkReivew3003541"/>
      <w:r>
        <w:rPr>
          <w:rFonts w:hint="eastAsia" w:ascii="仿宋_GB2312" w:hAnsi="仿宋_GB2312" w:eastAsia="仿宋_GB2312" w:cs="仿宋_GB2312"/>
          <w:bCs/>
          <w:color w:val="auto"/>
          <w:sz w:val="32"/>
          <w:szCs w:val="32"/>
          <w:highlight w:val="none"/>
        </w:rPr>
        <w:t>工作</w:t>
      </w:r>
      <w:bookmarkEnd w:id="62"/>
      <w:r>
        <w:rPr>
          <w:rFonts w:hint="eastAsia" w:ascii="仿宋_GB2312" w:hAnsi="仿宋_GB2312" w:eastAsia="仿宋_GB2312" w:cs="仿宋_GB2312"/>
          <w:bCs/>
          <w:color w:val="auto"/>
          <w:sz w:val="32"/>
          <w:szCs w:val="32"/>
          <w:highlight w:val="none"/>
        </w:rPr>
        <w:t>室。支持有资质的企业自主认定技能人才。</w:t>
      </w:r>
    </w:p>
    <w:p>
      <w:pPr>
        <w:adjustRightInd w:val="0"/>
        <w:snapToGrid w:val="0"/>
        <w:spacing w:line="360" w:lineRule="auto"/>
        <w:ind w:firstLine="643" w:firstLineChars="200"/>
        <w:rPr>
          <w:rFonts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开展大规模职业技能培训</w:t>
      </w:r>
      <w:r>
        <w:rPr>
          <w:rFonts w:hint="eastAsia" w:ascii="仿宋_GB2312" w:hAnsi="仿宋_GB2312" w:eastAsia="仿宋_GB2312" w:cs="仿宋_GB2312"/>
          <w:color w:val="auto"/>
          <w:sz w:val="32"/>
          <w:szCs w:val="32"/>
          <w:highlight w:val="none"/>
        </w:rPr>
        <w:t>。充分发挥院校和企业培训主体作用，结合本地产业布局和企业用工需要，依托市场化力量，全面实施职业技能提升行动，推行终身职业技能培训制度，全面提升劳动者技能素质。扩大职业技能培训网络覆盖面，创新“上线下乡”双向培训模式，支持企业和院校等设立“技能网校”，推广“互联网</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”线上职业技能培训。支持企业和院校深入基层乡镇设立培训点，开展“送教下乡”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送教进企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培训，促进城乡劳动力“就地培训、就近就业”。灵活运用技能提升培训、适岗培训、企业新型学徒培养等多种培训方式，重点加强对企业职工、就业困难人员、“两后生”、高校毕业生、农民工、新型职业农民等重点群体劳动力职业技能培训，确保覆盖每一个有培训愿望的劳动力。充分释放培训补贴资金红利，落实企业紧缺急需职业（工种）高级工以上技能提升补贴提高30%政策，强化资金保障，完善资金使用管理制度，提高培训补贴资金使用效率。</w:t>
      </w:r>
    </w:p>
    <w:p>
      <w:pPr>
        <w:adjustRightInd w:val="0"/>
        <w:snapToGrid w:val="0"/>
        <w:spacing w:line="360" w:lineRule="auto"/>
        <w:ind w:firstLine="643" w:firstLineChars="200"/>
        <w:rPr>
          <w:rFonts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健全技能竞赛选拔培养机制</w:t>
      </w:r>
      <w:r>
        <w:rPr>
          <w:rFonts w:hint="eastAsia" w:ascii="仿宋_GB2312" w:hAnsi="仿宋_GB2312" w:eastAsia="仿宋_GB2312" w:cs="仿宋_GB2312"/>
          <w:color w:val="auto"/>
          <w:sz w:val="32"/>
          <w:szCs w:val="32"/>
          <w:highlight w:val="none"/>
        </w:rPr>
        <w:t>。积极参加世界技能大赛和国内、省内各类技能竞赛，主动承办省内技能竞赛，常态化开展岗位练兵技术比武等活动。借鉴省内外优秀技能竞赛模式，优化完善我市竞赛组织、办赛、激励机制，打造我市职业技能竞赛“市运会”。</w:t>
      </w:r>
    </w:p>
    <w:p>
      <w:pPr>
        <w:adjustRightInd w:val="0"/>
        <w:snapToGrid w:val="0"/>
        <w:spacing w:line="360" w:lineRule="auto"/>
        <w:ind w:firstLine="643" w:firstLineChars="200"/>
        <w:rPr>
          <w:rFonts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完善技能人才评价激励机制。</w:t>
      </w:r>
      <w:r>
        <w:rPr>
          <w:rFonts w:hint="eastAsia" w:ascii="仿宋_GB2312" w:hAnsi="仿宋_GB2312" w:eastAsia="仿宋_GB2312" w:cs="仿宋_GB2312"/>
          <w:color w:val="auto"/>
          <w:sz w:val="32"/>
          <w:szCs w:val="32"/>
          <w:highlight w:val="none"/>
        </w:rPr>
        <w:t>以职业技能等级证书制度改革为重点，建立健全以职业资格评价、职业技能等级认定和专项职业能力考核等为主要内容的技能人才多元评价制度，拓宽技能人才发展通道。推进我市技工院校全面建立职业技能等级认定制度。支持信利、比亚迪等大型企业作为职业技能等级认定工作载体，资助制定技能人才评价方案，开展技能人才培训和评价认定。推动用人单位建立职工凭技能得到使用晋升、凭业绩贡献确定薪酬待遇的激励制度。</w:t>
      </w:r>
    </w:p>
    <w:p>
      <w:pPr>
        <w:keepNext w:val="0"/>
        <w:keepLines w:val="0"/>
        <w:adjustRightInd w:val="0"/>
        <w:snapToGrid w:val="0"/>
        <w:spacing w:before="120" w:beforeLines="50" w:after="120" w:afterLines="50" w:line="360" w:lineRule="auto"/>
        <w:ind w:left="0" w:firstLine="643" w:firstLineChars="200"/>
        <w:jc w:val="left"/>
        <w:rPr>
          <w:rFonts w:ascii="Cambria" w:hAnsi="Cambria" w:eastAsia="楷体_GB2312"/>
          <w:color w:val="auto"/>
          <w:sz w:val="32"/>
          <w:szCs w:val="32"/>
          <w:highlight w:val="none"/>
        </w:rPr>
      </w:pPr>
      <w:r>
        <w:rPr>
          <w:rFonts w:hint="eastAsia" w:ascii="仿宋_GB2312" w:hAnsi="仿宋_GB2312" w:eastAsia="仿宋_GB2312" w:cs="仿宋_GB2312"/>
          <w:b/>
          <w:bCs/>
          <w:color w:val="auto"/>
          <w:sz w:val="32"/>
          <w:szCs w:val="32"/>
          <w:highlight w:val="none"/>
        </w:rPr>
        <w:t>大力弘扬新时期工匠精神。</w:t>
      </w:r>
      <w:r>
        <w:rPr>
          <w:rFonts w:hint="eastAsia" w:ascii="仿宋_GB2312" w:hAnsi="仿宋_GB2312" w:eastAsia="仿宋_GB2312" w:cs="仿宋_GB2312"/>
          <w:color w:val="auto"/>
          <w:sz w:val="32"/>
          <w:szCs w:val="32"/>
          <w:highlight w:val="none"/>
        </w:rPr>
        <w:t>加大对工匠精神、工匠文化的研究力度，将工匠精神列为院校、职业培训机构通用职业素质必修课，融入公共课程、专业教学、实习实训、就业指导等教学环节，贯穿教育培训全过程。推广和打造</w:t>
      </w:r>
      <w:r>
        <w:rPr>
          <w:rFonts w:hint="eastAsia" w:ascii="仿宋_GB2312" w:hAnsi="仿宋_GB2312" w:eastAsia="仿宋_GB2312" w:cs="仿宋_GB2312"/>
          <w:color w:val="auto"/>
          <w:sz w:val="32"/>
          <w:szCs w:val="32"/>
          <w:highlight w:val="none"/>
          <w:lang w:val="zh-CN" w:bidi="zh-CN"/>
        </w:rPr>
        <w:t>“</w:t>
      </w:r>
      <w:r>
        <w:rPr>
          <w:rFonts w:hint="eastAsia" w:ascii="仿宋_GB2312" w:hAnsi="仿宋_GB2312" w:eastAsia="仿宋_GB2312" w:cs="仿宋_GB2312"/>
          <w:color w:val="auto"/>
          <w:sz w:val="32"/>
          <w:szCs w:val="32"/>
          <w:highlight w:val="none"/>
          <w:lang w:bidi="zh-CN"/>
        </w:rPr>
        <w:t>善美</w:t>
      </w:r>
      <w:r>
        <w:rPr>
          <w:rFonts w:hint="eastAsia" w:ascii="仿宋_GB2312" w:hAnsi="仿宋_GB2312" w:eastAsia="仿宋_GB2312" w:cs="仿宋_GB2312"/>
          <w:color w:val="auto"/>
          <w:sz w:val="32"/>
          <w:szCs w:val="32"/>
          <w:highlight w:val="none"/>
        </w:rPr>
        <w:t>工匠”等品牌，大力宣传技能人才在经济高质量发展中的重要作用，选树一批重视技能的企业和技能人才典型，</w:t>
      </w:r>
      <w:r>
        <w:rPr>
          <w:rFonts w:ascii="仿宋_GB2312" w:hAnsi="仿宋_GB2312" w:eastAsia="仿宋_GB2312" w:cs="仿宋_GB2312"/>
          <w:color w:val="auto"/>
          <w:sz w:val="32"/>
          <w:szCs w:val="32"/>
          <w:highlight w:val="none"/>
        </w:rPr>
        <w:t>营造崇尚技能的社会氛围。</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63" w:name="_Toc7726"/>
      <w:bookmarkStart w:id="64" w:name="_Toc12123"/>
      <w:r>
        <w:rPr>
          <w:rFonts w:hint="eastAsia" w:ascii="Cambria" w:hAnsi="Cambria" w:eastAsia="楷体_GB2312"/>
          <w:color w:val="auto"/>
          <w:sz w:val="34"/>
          <w:highlight w:val="none"/>
        </w:rPr>
        <w:t>第三节  实施重大人才培养工程</w:t>
      </w:r>
      <w:bookmarkEnd w:id="63"/>
      <w:bookmarkEnd w:id="64"/>
    </w:p>
    <w:p>
      <w:pPr>
        <w:pStyle w:val="20"/>
        <w:adjustRightInd w:val="0"/>
        <w:snapToGrid w:val="0"/>
        <w:spacing w:line="360" w:lineRule="auto"/>
        <w:ind w:firstLine="643" w:firstLineChars="200"/>
        <w:rPr>
          <w:rFonts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b/>
          <w:color w:val="auto"/>
          <w:sz w:val="32"/>
          <w:szCs w:val="32"/>
          <w:highlight w:val="none"/>
          <w:lang w:val="en-US" w:bidi="ar-SA"/>
        </w:rPr>
        <w:t>打造“善美工匠”品牌。</w:t>
      </w:r>
      <w:r>
        <w:rPr>
          <w:rFonts w:hint="eastAsia" w:ascii="仿宋_GB2312" w:hAnsi="仿宋_GB2312" w:eastAsia="仿宋_GB2312" w:cs="仿宋_GB2312"/>
          <w:color w:val="auto"/>
          <w:sz w:val="32"/>
          <w:szCs w:val="32"/>
          <w:highlight w:val="none"/>
          <w:lang w:val="en-US" w:eastAsia="zh-CN" w:bidi="ar-SA"/>
        </w:rPr>
        <w:t>推动技工教育与现代产业高质量协同发展，大力实施服务现代产业发展行动、技工教育大发展行动、职业技能提升行动、创新评价激励机制先导行动、菁英培育成长行动、技能就业创业行动、工匠精神培育弘扬行动等七大行动计划。加强技工院校党的全面领导和党的建设，优化技工教育专业设置、区域布局、人才培养结构，全力打造“善美工匠”品牌。实施“广东技工”工程，到2022年，全市“广东技工”技能劳动者占就业人员总量达25%，高技能人才占技能人才比例达18%以上；到2025年，我市“广东技工”规模更加宏大、结果更加优良、年龄梯队更加完善、技术技能更加精湛，高技能人才占技能人才比例达22%以上。</w:t>
      </w:r>
    </w:p>
    <w:p>
      <w:pPr>
        <w:pStyle w:val="20"/>
        <w:adjustRightInd w:val="0"/>
        <w:snapToGrid w:val="0"/>
        <w:spacing w:line="360" w:lineRule="auto"/>
        <w:ind w:firstLine="643" w:firstLineChars="200"/>
        <w:rPr>
          <w:rFonts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b/>
          <w:color w:val="auto"/>
          <w:sz w:val="32"/>
          <w:szCs w:val="32"/>
          <w:highlight w:val="none"/>
          <w:lang w:val="en-US" w:bidi="ar-SA"/>
        </w:rPr>
        <w:t>打造“吃在汕尾”品牌。</w:t>
      </w:r>
      <w:r>
        <w:rPr>
          <w:rFonts w:hint="eastAsia" w:ascii="仿宋_GB2312" w:hAnsi="仿宋_GB2312" w:eastAsia="仿宋_GB2312" w:cs="仿宋_GB2312"/>
          <w:color w:val="auto"/>
          <w:sz w:val="32"/>
          <w:szCs w:val="32"/>
          <w:highlight w:val="none"/>
          <w:lang w:val="en-US" w:eastAsia="zh-CN" w:bidi="ar-SA"/>
        </w:rPr>
        <w:t>构建完善“粤菜师傅”人才体系，加快建设一批高质量“粤菜师傅”培训基地、大师工作室和乡村特色培训点，优化“粤菜师傅+抖音”云培训模式并给予适当资金扶持。充分发挥职业院校和餐饮行业企业培训主体作用，推进“粤菜师傅+抖音”等云培训模式，大规模开展“粤菜师傅”培养培训。建立健全“粤菜师傅”标准体系，创新开发一批“汕尾特色”“粤菜师傅”专项职业能力和课程标准，推动形成“汕尾风味菜”菜品标准。积极构建“粤菜师傅”文化体系，创新打造“吃在汕尾”系列主题宣传片、纪录片等，持续举办“吃在汕尾”系列“粤菜师傅”活动，提升“粤菜师傅”品牌影响力。推进二马路“粤菜师傅美食一条街”改造，将“粤菜师傅美食一条街”打造成“粤菜师傅”培养示范基地、产业促进平台、综合服务平台、工程交流合作平台等“一基地三平台”。到2025年，全市开展“粤菜师傅”培训1万人次以上，带动2.5万人以上实现就业创业。</w:t>
      </w:r>
    </w:p>
    <w:p>
      <w:pPr>
        <w:pStyle w:val="20"/>
        <w:adjustRightInd w:val="0"/>
        <w:snapToGrid w:val="0"/>
        <w:spacing w:line="360" w:lineRule="auto"/>
        <w:ind w:firstLine="643" w:firstLineChars="200"/>
        <w:rPr>
          <w:rFonts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b/>
          <w:color w:val="auto"/>
          <w:sz w:val="32"/>
          <w:szCs w:val="32"/>
          <w:highlight w:val="none"/>
        </w:rPr>
        <w:t>推进</w:t>
      </w:r>
      <w:r>
        <w:rPr>
          <w:rFonts w:hint="eastAsia" w:ascii="仿宋_GB2312" w:hAnsi="仿宋_GB2312" w:eastAsia="仿宋_GB2312" w:cs="仿宋_GB2312"/>
          <w:b/>
          <w:color w:val="auto"/>
          <w:sz w:val="32"/>
          <w:szCs w:val="32"/>
          <w:highlight w:val="none"/>
          <w:lang w:val="en-US" w:bidi="ar-SA"/>
        </w:rPr>
        <w:t>“南</w:t>
      </w:r>
      <w:r>
        <w:rPr>
          <w:rFonts w:hint="eastAsia" w:ascii="仿宋_GB2312" w:hAnsi="仿宋_GB2312" w:eastAsia="仿宋_GB2312" w:cs="仿宋_GB2312"/>
          <w:b/>
          <w:color w:val="auto"/>
          <w:sz w:val="32"/>
          <w:szCs w:val="32"/>
          <w:highlight w:val="none"/>
        </w:rPr>
        <w:t>粤家政</w:t>
      </w:r>
      <w:r>
        <w:rPr>
          <w:rFonts w:hint="eastAsia" w:ascii="仿宋_GB2312" w:hAnsi="仿宋_GB2312" w:eastAsia="仿宋_GB2312" w:cs="仿宋_GB2312"/>
          <w:b/>
          <w:color w:val="auto"/>
          <w:sz w:val="32"/>
          <w:szCs w:val="32"/>
          <w:highlight w:val="none"/>
          <w:lang w:val="en-US" w:bidi="ar-SA"/>
        </w:rPr>
        <w:t>”工</w:t>
      </w:r>
      <w:r>
        <w:rPr>
          <w:rFonts w:hint="eastAsia" w:ascii="仿宋_GB2312" w:hAnsi="仿宋_GB2312" w:eastAsia="仿宋_GB2312" w:cs="仿宋_GB2312"/>
          <w:b/>
          <w:color w:val="auto"/>
          <w:sz w:val="32"/>
          <w:szCs w:val="32"/>
          <w:highlight w:val="none"/>
        </w:rPr>
        <w:t>程提质扩容。</w:t>
      </w:r>
      <w:r>
        <w:rPr>
          <w:rFonts w:hint="eastAsia" w:ascii="仿宋_GB2312" w:hAnsi="仿宋_GB2312" w:eastAsia="仿宋_GB2312" w:cs="仿宋_GB2312"/>
          <w:color w:val="auto"/>
          <w:sz w:val="32"/>
          <w:szCs w:val="32"/>
          <w:highlight w:val="none"/>
        </w:rPr>
        <w:t>以“南粤家政”培训示范基地为抓</w:t>
      </w:r>
      <w:r>
        <w:rPr>
          <w:rFonts w:hint="eastAsia" w:ascii="仿宋_GB2312" w:hAnsi="仿宋_GB2312" w:eastAsia="仿宋_GB2312" w:cs="仿宋_GB2312"/>
          <w:color w:val="auto"/>
          <w:sz w:val="32"/>
          <w:szCs w:val="32"/>
          <w:highlight w:val="none"/>
          <w:lang w:eastAsia="zh-CN"/>
        </w:rPr>
        <w:t>手</w:t>
      </w:r>
      <w:r>
        <w:rPr>
          <w:rFonts w:hint="eastAsia" w:ascii="仿宋_GB2312" w:hAnsi="仿宋_GB2312" w:eastAsia="仿宋_GB2312" w:cs="仿宋_GB2312"/>
          <w:color w:val="auto"/>
          <w:sz w:val="32"/>
          <w:szCs w:val="32"/>
          <w:highlight w:val="none"/>
        </w:rPr>
        <w:t>，加强对家政服务业从业人员的培训工作。充分发挥政府职能，培育、完善家政服务市场，推进家政服务业的产业化。成立汕尾家政服务协会，规范家政服务企业和从业人员的管理制度和行为。利用“互联网+”技术，通过建立家政企业和从业人员诚信制度，推出家政从业人员“诚信服务卡”，并推广“持证上岗”，不断完善家政企业和家政服务员信用信息记录，提高家政企业和家政服务员的整体信用水平，推动家政服务业规范化、标准化、品牌化、智能化发展。举办家政服务职业技能竞赛，树立家政服务典型，推选一批家政服务明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打造“善美管家”就业品牌</w:t>
      </w:r>
      <w:r>
        <w:rPr>
          <w:rFonts w:hint="eastAsia" w:ascii="仿宋_GB2312" w:hAnsi="仿宋_GB2312" w:eastAsia="仿宋_GB2312" w:cs="仿宋_GB2312"/>
          <w:color w:val="auto"/>
          <w:sz w:val="32"/>
          <w:szCs w:val="32"/>
          <w:highlight w:val="none"/>
        </w:rPr>
        <w:t>。</w:t>
      </w:r>
    </w:p>
    <w:p>
      <w:pPr>
        <w:pStyle w:val="20"/>
        <w:adjustRightInd w:val="0"/>
        <w:snapToGrid w:val="0"/>
        <w:spacing w:line="360" w:lineRule="auto"/>
        <w:ind w:firstLineChars="125"/>
        <w:rPr>
          <w:rFonts w:ascii="仿宋_GB2312" w:hAnsi="仿宋_GB2312" w:eastAsia="仿宋_GB2312" w:cs="仿宋_GB2312"/>
          <w:color w:val="auto"/>
          <w:sz w:val="32"/>
          <w:szCs w:val="32"/>
          <w:highlight w:val="none"/>
          <w:lang w:eastAsia="zh-CN"/>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w:t>
            </w:r>
            <w:r>
              <w:rPr>
                <w:rFonts w:hint="eastAsia" w:ascii="楷体_GB2312" w:hAnsi="宋体" w:eastAsia="楷体_GB2312" w:cs="宋体"/>
                <w:b/>
                <w:color w:val="auto"/>
                <w:sz w:val="32"/>
                <w:szCs w:val="32"/>
                <w:highlight w:val="none"/>
                <w:lang w:val="en-US" w:eastAsia="zh-CN" w:bidi="zh-TW"/>
              </w:rPr>
              <w:t>9</w:t>
            </w:r>
            <w:r>
              <w:rPr>
                <w:rFonts w:hint="eastAsia" w:ascii="楷体_GB2312" w:hAnsi="宋体" w:eastAsia="楷体_GB2312" w:cs="宋体"/>
                <w:b/>
                <w:color w:val="auto"/>
                <w:sz w:val="32"/>
                <w:szCs w:val="32"/>
                <w:highlight w:val="none"/>
                <w:lang w:bidi="zh-TW"/>
              </w:rPr>
              <w:t xml:space="preserve">  完善家政供需对接线上服务平台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adjustRightInd w:val="0"/>
              <w:snapToGrid w:val="0"/>
              <w:spacing w:before="120" w:beforeLines="50" w:line="360" w:lineRule="auto"/>
              <w:ind w:firstLine="560" w:firstLineChars="200"/>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依托现有的“迪迪七优”家政线上服务平台，通过收集家政企业与需求方的实际体验反馈，持续优化平台功能，做到需求方填写需求，平台智能匹配，做到快速打通供需双方对接桥梁。加强“迪迪七优”家政线上服务平台宣传，鼓励家政企业和个人利用走线上渠道，实现家政需求“线上办、一网办、</w:t>
            </w:r>
            <w:bookmarkStart w:id="65" w:name="bkPolitics3150612"/>
            <w:r>
              <w:rPr>
                <w:rFonts w:hint="eastAsia" w:ascii="楷体_GB2312" w:hAnsi="宋体" w:eastAsia="楷体_GB2312" w:cs="宋体"/>
                <w:color w:val="auto"/>
                <w:sz w:val="28"/>
                <w:szCs w:val="28"/>
                <w:highlight w:val="none"/>
                <w:lang w:bidi="zh-TW"/>
              </w:rPr>
              <w:t>快速办</w:t>
            </w:r>
            <w:bookmarkEnd w:id="65"/>
            <w:r>
              <w:rPr>
                <w:rFonts w:hint="eastAsia" w:ascii="楷体_GB2312" w:hAnsi="宋体" w:eastAsia="楷体_GB2312" w:cs="宋体"/>
                <w:color w:val="auto"/>
                <w:sz w:val="28"/>
                <w:szCs w:val="28"/>
                <w:highlight w:val="none"/>
                <w:lang w:bidi="zh-TW"/>
              </w:rPr>
              <w:t>”，持续提升家政服务效率。</w:t>
            </w:r>
          </w:p>
        </w:tc>
      </w:tr>
    </w:tbl>
    <w:p>
      <w:pPr>
        <w:pStyle w:val="20"/>
        <w:adjustRightInd w:val="0"/>
        <w:snapToGrid w:val="0"/>
        <w:spacing w:line="360" w:lineRule="auto"/>
        <w:ind w:firstLine="0"/>
        <w:rPr>
          <w:rFonts w:ascii="仿宋_GB2312" w:hAnsi="仿宋_GB2312" w:eastAsia="仿宋_GB2312" w:cs="仿宋_GB2312"/>
          <w:color w:val="auto"/>
          <w:sz w:val="32"/>
          <w:szCs w:val="32"/>
          <w:highlight w:val="none"/>
          <w:lang w:eastAsia="zh-CN"/>
        </w:rPr>
      </w:pPr>
    </w:p>
    <w:p>
      <w:pPr>
        <w:pStyle w:val="20"/>
        <w:adjustRightInd w:val="0"/>
        <w:snapToGrid w:val="0"/>
        <w:spacing w:line="360" w:lineRule="auto"/>
        <w:ind w:firstLine="643" w:firstLineChars="200"/>
        <w:jc w:val="both"/>
        <w:rPr>
          <w:rFonts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实施“乡村工匠”工程。</w:t>
      </w:r>
      <w:r>
        <w:rPr>
          <w:rFonts w:hint="eastAsia" w:ascii="仿宋_GB2312" w:hAnsi="仿宋_GB2312" w:eastAsia="仿宋_GB2312" w:cs="仿宋_GB2312"/>
          <w:color w:val="auto"/>
          <w:sz w:val="32"/>
          <w:szCs w:val="32"/>
          <w:highlight w:val="none"/>
          <w:lang w:val="en-US" w:eastAsia="zh-CN"/>
        </w:rPr>
        <w:t>加强“乡村工匠”实用技能人才职业教育和职业技能培训，建设乡村建筑工匠、动植物疫病防控、特色农产品栽培、农产品食品加工与质量安全等乡村工匠专业。支持院校、企业与农村合作社等合作培养“乡村工匠”。重点培育陆丰皮影戏、甲子贝雕、捷胜泥塑、传统糕点制作等传统特色工艺稀缺人才，打造传统特色工艺传承技能大师。建立健全的乡村工匠培养标准和技能评价体系，支持乡村工匠参与职称评定。开展乡村工匠职业技能竞赛，选树乡村工匠典型。对乡村工匠创业人员及其创办的经营主体，按规定申请享受就业创业扶持优惠政策。到2022年，全市开展乡村工匠培训培养3000人次以上。到2025年，“乡村工匠”队伍更加壮大、结构更加优化、技能更加精湛、素质更加优良，在我市乡村振兴发展中发挥示范引领作用。</w:t>
      </w:r>
    </w:p>
    <w:p>
      <w:pPr>
        <w:pStyle w:val="20"/>
        <w:adjustRightInd w:val="0"/>
        <w:snapToGrid w:val="0"/>
        <w:spacing w:line="360" w:lineRule="auto"/>
        <w:ind w:firstLine="643" w:firstLineChars="200"/>
        <w:jc w:val="both"/>
        <w:rPr>
          <w:rFonts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扎实推进“农村电商”工程。</w:t>
      </w:r>
      <w:r>
        <w:rPr>
          <w:rFonts w:hint="eastAsia" w:ascii="仿宋_GB2312" w:hAnsi="仿宋_GB2312" w:eastAsia="仿宋_GB2312" w:cs="仿宋_GB2312"/>
          <w:color w:val="auto"/>
          <w:sz w:val="32"/>
          <w:szCs w:val="32"/>
          <w:highlight w:val="none"/>
        </w:rPr>
        <w:t>加强农村电商培训，加大农</w:t>
      </w:r>
      <w:r>
        <w:rPr>
          <w:rFonts w:hint="eastAsia" w:ascii="仿宋_GB2312" w:hAnsi="仿宋_GB2312" w:eastAsia="仿宋_GB2312" w:cs="仿宋_GB2312"/>
          <w:color w:val="auto"/>
          <w:sz w:val="32"/>
          <w:szCs w:val="32"/>
          <w:highlight w:val="none"/>
          <w:lang w:val="en-US" w:eastAsia="zh-CN"/>
        </w:rPr>
        <w:t>村技能人才培养力度，推动全市各级各类技工院校开设电子商务专业，深化校企合作，建立适应农村电商需求的人才培训体系。强化农村电商政策扶持，优化农村电商公共创业就业服务，加速建设农村电商平台，从全市镇村(含涉农街道居委)扶持创建农村电商站基层示范站、服务站。推动“直播带货”产业发展。</w:t>
      </w:r>
    </w:p>
    <w:p>
      <w:pPr>
        <w:pStyle w:val="20"/>
        <w:adjustRightInd w:val="0"/>
        <w:snapToGrid w:val="0"/>
        <w:spacing w:line="360" w:lineRule="auto"/>
        <w:ind w:firstLine="640" w:firstLineChars="200"/>
        <w:jc w:val="both"/>
        <w:rPr>
          <w:rFonts w:ascii="仿宋_GB2312" w:hAnsi="仿宋_GB2312" w:eastAsia="仿宋_GB2312" w:cs="仿宋_GB2312"/>
          <w:color w:val="auto"/>
          <w:sz w:val="32"/>
          <w:szCs w:val="32"/>
          <w:highlight w:val="none"/>
          <w:lang w:val="en-US" w:eastAsia="zh-CN"/>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jc w:val="center"/>
              <w:rPr>
                <w:rFonts w:ascii="仿宋" w:hAnsi="仿宋" w:eastAsia="仿宋" w:cs="仿宋"/>
                <w:color w:val="auto"/>
                <w:sz w:val="32"/>
                <w:szCs w:val="32"/>
                <w:highlight w:val="none"/>
              </w:rPr>
            </w:pPr>
            <w:r>
              <w:rPr>
                <w:rFonts w:hint="eastAsia" w:ascii="楷体_GB2312" w:hAnsi="宋体" w:eastAsia="楷体_GB2312" w:cs="宋体"/>
                <w:b/>
                <w:color w:val="auto"/>
                <w:sz w:val="32"/>
                <w:szCs w:val="32"/>
                <w:highlight w:val="none"/>
                <w:lang w:bidi="zh-TW"/>
              </w:rPr>
              <w:t>专栏1</w:t>
            </w:r>
            <w:r>
              <w:rPr>
                <w:rFonts w:hint="eastAsia" w:ascii="楷体_GB2312" w:hAnsi="宋体" w:eastAsia="楷体_GB2312" w:cs="宋体"/>
                <w:b/>
                <w:color w:val="auto"/>
                <w:sz w:val="32"/>
                <w:szCs w:val="32"/>
                <w:highlight w:val="none"/>
                <w:lang w:val="en-US" w:eastAsia="zh-CN" w:bidi="zh-TW"/>
              </w:rPr>
              <w:t>0</w:t>
            </w:r>
            <w:r>
              <w:rPr>
                <w:rFonts w:hint="eastAsia" w:ascii="楷体_GB2312" w:hAnsi="宋体" w:eastAsia="楷体_GB2312" w:cs="宋体"/>
                <w:b/>
                <w:color w:val="auto"/>
                <w:sz w:val="32"/>
                <w:szCs w:val="32"/>
                <w:highlight w:val="none"/>
                <w:lang w:bidi="zh-TW"/>
              </w:rPr>
              <w:t xml:space="preserve">  农村电商“百园万站”专项行动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pStyle w:val="19"/>
              <w:adjustRightInd w:val="0"/>
              <w:snapToGrid w:val="0"/>
              <w:spacing w:before="120" w:beforeLines="50" w:line="360" w:lineRule="auto"/>
              <w:ind w:firstLine="560"/>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强化农村电商政策扶持，优化农村电商公共创业就业服务，加速建设农村电商平台，积极稳妥推进农村电商工作，在全市各</w:t>
            </w:r>
            <w:bookmarkStart w:id="66" w:name="bkPolitics3053532"/>
            <w:r>
              <w:rPr>
                <w:rFonts w:hint="eastAsia" w:ascii="楷体_GB2312" w:hAnsi="宋体" w:eastAsia="楷体_GB2312" w:cs="宋体"/>
                <w:color w:val="auto"/>
                <w:sz w:val="28"/>
                <w:szCs w:val="28"/>
                <w:highlight w:val="none"/>
                <w:lang w:bidi="zh-TW"/>
              </w:rPr>
              <w:t>县</w:t>
            </w:r>
            <w:bookmarkEnd w:id="66"/>
            <w:r>
              <w:rPr>
                <w:rFonts w:hint="eastAsia" w:ascii="楷体_GB2312" w:hAnsi="宋体" w:eastAsia="楷体_GB2312" w:cs="宋体"/>
                <w:color w:val="auto"/>
                <w:sz w:val="28"/>
                <w:szCs w:val="28"/>
                <w:highlight w:val="none"/>
                <w:lang w:bidi="zh-TW"/>
              </w:rPr>
              <w:t>区或中心镇推动建设1个农村电商产业园。按照“好中选优、示范带动”的原则，从全市镇村（含涉农街道居委）农村电商站中扶持创建农村电商基层示范站。</w:t>
            </w:r>
          </w:p>
        </w:tc>
      </w:tr>
    </w:tbl>
    <w:p>
      <w:pPr>
        <w:pStyle w:val="20"/>
        <w:adjustRightInd w:val="0"/>
        <w:snapToGrid w:val="0"/>
        <w:spacing w:line="360" w:lineRule="auto"/>
        <w:ind w:firstLine="0"/>
        <w:rPr>
          <w:rFonts w:ascii="仿宋_GB2312" w:hAnsi="仿宋_GB2312" w:eastAsia="仿宋_GB2312" w:cs="仿宋_GB2312"/>
          <w:color w:val="auto"/>
          <w:sz w:val="32"/>
          <w:szCs w:val="32"/>
          <w:highlight w:val="none"/>
          <w:lang w:val="en-US" w:eastAsia="zh-CN"/>
        </w:rPr>
      </w:pP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67" w:name="_Toc23609"/>
      <w:bookmarkStart w:id="68" w:name="_Toc13631"/>
      <w:r>
        <w:rPr>
          <w:rFonts w:hint="eastAsia" w:ascii="Cambria" w:hAnsi="Cambria" w:eastAsia="楷体_GB2312"/>
          <w:color w:val="auto"/>
          <w:sz w:val="34"/>
          <w:highlight w:val="none"/>
        </w:rPr>
        <w:t>第四节  完善人才公共服务体系</w:t>
      </w:r>
      <w:bookmarkEnd w:id="67"/>
      <w:bookmarkEnd w:id="68"/>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畅通劳动力和人才社会性流动渠道。</w:t>
      </w:r>
      <w:r>
        <w:rPr>
          <w:rFonts w:hint="eastAsia" w:ascii="仿宋_GB2312" w:hAnsi="仿宋_GB2312" w:eastAsia="仿宋_GB2312" w:cs="仿宋_GB2312"/>
          <w:color w:val="auto"/>
          <w:sz w:val="32"/>
          <w:szCs w:val="32"/>
          <w:highlight w:val="none"/>
          <w:lang w:bidi="zh-TW"/>
        </w:rPr>
        <w:t>深化人才资源供给侧结构性改革，建立产业发展、转型升级与人才供求匹配机制。制定符合汕尾特色的区域人才政策，鼓励和引导人才向基层一线流动。深化人才发展体制机制改革，持续推动简政放权，破除人才在城乡、区域和不同所有制单位之间的流动障碍。优化外籍人才服务，推动人才开放、交流与合作。</w:t>
      </w: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创新人才服务管理政策。</w:t>
      </w:r>
      <w:r>
        <w:rPr>
          <w:rFonts w:hint="eastAsia" w:ascii="仿宋_GB2312" w:hAnsi="仿宋_GB2312" w:eastAsia="仿宋_GB2312" w:cs="仿宋_GB2312"/>
          <w:color w:val="auto"/>
          <w:sz w:val="32"/>
          <w:szCs w:val="32"/>
          <w:highlight w:val="none"/>
          <w:lang w:bidi="zh-TW"/>
        </w:rPr>
        <w:t>推进出台急需紧缺高层次人才配套政策，探索建立汕尾市高层次人才服务办法、柔性引进高层次人才办法和本土人才培育办法。探索建立高技能人才吸引政策，引进契合汕尾产业发展需要的高技能人才。发挥市场评价主体的作用，加大创新创业人才引进力度。加强人才供需状况监测，定期发布汕尾市急需紧缺高层次导向目录。探索企事业单位工作人员双向交流机制，鼓励我市高校、科研院所等事业单位科研人员离岗创业。探索实行特设岗位、购买服务等方式，拓宽体制外人员流向事业单位参与科技创新的途径。推行事业单位人事制度综合配套改革，实行岗位管理和单位自主用人。发挥政府、市场、专业组织、用人单位等多元评价主体作用，建立多维度人才评价标准，探索建立高层次人才积分制认定办法，对人才进行综合量化评价。</w:t>
      </w: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优化提升人才服务水平。</w:t>
      </w:r>
      <w:r>
        <w:rPr>
          <w:rFonts w:hint="eastAsia" w:ascii="仿宋_GB2312" w:hAnsi="仿宋_GB2312" w:eastAsia="仿宋_GB2312" w:cs="仿宋_GB2312"/>
          <w:color w:val="auto"/>
          <w:sz w:val="32"/>
          <w:szCs w:val="32"/>
          <w:highlight w:val="none"/>
          <w:lang w:bidi="zh-TW"/>
        </w:rPr>
        <w:t>推进高层次人才服务专区建设，夯实人才创新创业平台载体，健全高层次人才“一站式”服务平台。做好高层次人才服务对接，促进高层次人才成果转化落地。探索引进人力资源服务机构和风险投资机构,参与高层次人才的市场化评价。整合优化市、区赴市外招聘人才工作，建立统一的招聘平台。</w:t>
      </w:r>
      <w:r>
        <w:rPr>
          <w:rFonts w:hint="eastAsia" w:ascii="仿宋_GB2312" w:hAnsi="仿宋_GB2312" w:eastAsia="仿宋_GB2312" w:cs="仿宋_GB2312"/>
          <w:color w:val="auto"/>
          <w:sz w:val="32"/>
          <w:szCs w:val="32"/>
          <w:highlight w:val="none"/>
          <w:lang w:val="en-US" w:eastAsia="zh-CN" w:bidi="zh-TW"/>
        </w:rPr>
        <w:t>协同有关部门</w:t>
      </w:r>
      <w:r>
        <w:rPr>
          <w:rFonts w:hint="eastAsia" w:ascii="仿宋_GB2312" w:hAnsi="仿宋_GB2312" w:eastAsia="仿宋_GB2312" w:cs="仿宋_GB2312"/>
          <w:color w:val="auto"/>
          <w:sz w:val="32"/>
          <w:szCs w:val="32"/>
          <w:highlight w:val="none"/>
          <w:lang w:bidi="zh-TW"/>
        </w:rPr>
        <w:t>完善高层次人才安居办法，增加新引进人才租房补贴额度。</w:t>
      </w:r>
      <w:bookmarkStart w:id="69" w:name="_Toc338"/>
      <w:bookmarkStart w:id="70" w:name="_Toc16817"/>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不断规范表彰奖励。</w:t>
      </w:r>
      <w:r>
        <w:rPr>
          <w:rFonts w:hint="eastAsia" w:ascii="仿宋_GB2312" w:hAnsi="仿宋_GB2312" w:eastAsia="仿宋_GB2312" w:cs="仿宋_GB2312"/>
          <w:color w:val="auto"/>
          <w:sz w:val="32"/>
          <w:szCs w:val="32"/>
          <w:highlight w:val="none"/>
          <w:lang w:bidi="zh-TW"/>
        </w:rPr>
        <w:t>全面贯彻落实党中央、国务院和省委、省政府各项功勋荣誉和表彰奖励工作部署，加强对全市各地各单位的业务指导，严格按照《国家功勋荣誉表彰条例》《评比达标表彰活动管理办法》等有关规定，履行“一推两审三公示”等表彰评选工作程序，确保表彰工作有序合规开展。按照省表彰办的工作安排，指导各地各单位做好每年年度表彰项目的申报。配合宣传部门加大对表彰奖励获得者事迹的宣传力度，营造尊崇模范、争做先锋的良好氛围。</w:t>
      </w:r>
    </w:p>
    <w:p>
      <w:pPr>
        <w:pStyle w:val="8"/>
        <w:rPr>
          <w:color w:val="auto"/>
          <w:highlight w:val="none"/>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专栏1</w:t>
            </w:r>
            <w:r>
              <w:rPr>
                <w:rFonts w:hint="eastAsia" w:ascii="楷体_GB2312" w:hAnsi="宋体" w:eastAsia="楷体_GB2312" w:cs="宋体"/>
                <w:b/>
                <w:color w:val="auto"/>
                <w:sz w:val="32"/>
                <w:szCs w:val="32"/>
                <w:highlight w:val="none"/>
                <w:lang w:val="en-US" w:eastAsia="zh-CN" w:bidi="zh-TW"/>
              </w:rPr>
              <w:t>1</w:t>
            </w:r>
            <w:r>
              <w:rPr>
                <w:rFonts w:hint="eastAsia" w:ascii="楷体_GB2312" w:hAnsi="宋体" w:eastAsia="楷体_GB2312" w:cs="宋体"/>
                <w:b/>
                <w:color w:val="auto"/>
                <w:sz w:val="32"/>
                <w:szCs w:val="32"/>
                <w:highlight w:val="none"/>
                <w:lang w:bidi="zh-TW"/>
              </w:rPr>
              <w:t xml:space="preserve">  建设高层次“一站式”服务平台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adjustRightInd w:val="0"/>
              <w:snapToGrid w:val="0"/>
              <w:spacing w:before="120" w:beforeLines="50" w:line="360" w:lineRule="auto"/>
              <w:ind w:firstLine="560" w:firstLineChars="200"/>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承接广东省布点推动高层次人才“一站式”服务分窗口网格化建设任务，设立高层次人才服务分窗口。按照统一机构名称、标牌标识、服务标准、事项、流程、材料等要素，建成“国际人才一站式窗口”，完善国际人才服务体系，为各类国际高层次人才在投资便利化、生活保障和创新创业方面提供“一站式”综合服务，实现国际人才办理相关事项“一窗办结”。</w:t>
            </w:r>
          </w:p>
        </w:tc>
      </w:tr>
      <w:bookmarkEnd w:id="69"/>
      <w:bookmarkEnd w:id="70"/>
    </w:tbl>
    <w:p>
      <w:pPr>
        <w:pStyle w:val="3"/>
        <w:adjustRightInd w:val="0"/>
        <w:snapToGrid w:val="0"/>
        <w:spacing w:before="120" w:beforeLines="50" w:after="120" w:afterLines="50" w:line="360" w:lineRule="auto"/>
        <w:jc w:val="center"/>
        <w:rPr>
          <w:rFonts w:ascii="Calibri" w:hAnsi="Calibri" w:eastAsia="黑体"/>
          <w:b w:val="0"/>
          <w:bCs/>
          <w:color w:val="auto"/>
          <w:sz w:val="36"/>
          <w:szCs w:val="36"/>
          <w:highlight w:val="none"/>
          <w:lang w:val="en-US"/>
        </w:rPr>
      </w:pPr>
      <w:bookmarkStart w:id="71" w:name="_Toc5378"/>
      <w:bookmarkStart w:id="72" w:name="_Toc21943"/>
      <w:r>
        <w:rPr>
          <w:rFonts w:hint="eastAsia" w:ascii="Calibri" w:hAnsi="Calibri" w:eastAsia="黑体"/>
          <w:b w:val="0"/>
          <w:bCs/>
          <w:color w:val="auto"/>
          <w:sz w:val="36"/>
          <w:szCs w:val="36"/>
          <w:highlight w:val="none"/>
          <w:lang w:val="en-US"/>
        </w:rPr>
        <w:t xml:space="preserve">第七章 </w:t>
      </w:r>
      <w:r>
        <w:rPr>
          <w:rFonts w:ascii="Calibri" w:hAnsi="Calibri" w:eastAsia="黑体"/>
          <w:b w:val="0"/>
          <w:bCs/>
          <w:color w:val="auto"/>
          <w:sz w:val="36"/>
          <w:szCs w:val="36"/>
          <w:highlight w:val="none"/>
          <w:lang w:val="en-US"/>
        </w:rPr>
        <w:t xml:space="preserve"> </w:t>
      </w:r>
      <w:r>
        <w:rPr>
          <w:rFonts w:hint="eastAsia" w:ascii="Calibri" w:hAnsi="Calibri" w:eastAsia="黑体"/>
          <w:b w:val="0"/>
          <w:bCs/>
          <w:color w:val="auto"/>
          <w:sz w:val="36"/>
          <w:szCs w:val="36"/>
          <w:highlight w:val="none"/>
          <w:lang w:val="en-US"/>
        </w:rPr>
        <w:t>推动</w:t>
      </w:r>
      <w:r>
        <w:rPr>
          <w:rFonts w:ascii="Calibri" w:hAnsi="Calibri" w:eastAsia="黑体"/>
          <w:b w:val="0"/>
          <w:bCs/>
          <w:color w:val="auto"/>
          <w:sz w:val="36"/>
          <w:szCs w:val="36"/>
          <w:highlight w:val="none"/>
          <w:lang w:val="en-US"/>
        </w:rPr>
        <w:t>技工教育</w:t>
      </w:r>
      <w:r>
        <w:rPr>
          <w:rFonts w:hint="eastAsia" w:ascii="Calibri" w:hAnsi="Calibri" w:eastAsia="黑体"/>
          <w:b w:val="0"/>
          <w:bCs/>
          <w:color w:val="auto"/>
          <w:sz w:val="36"/>
          <w:szCs w:val="36"/>
          <w:highlight w:val="none"/>
          <w:lang w:val="en-US"/>
        </w:rPr>
        <w:t>高质量</w:t>
      </w:r>
      <w:r>
        <w:rPr>
          <w:rFonts w:ascii="Calibri" w:hAnsi="Calibri" w:eastAsia="黑体"/>
          <w:b w:val="0"/>
          <w:bCs/>
          <w:color w:val="auto"/>
          <w:sz w:val="36"/>
          <w:szCs w:val="36"/>
          <w:highlight w:val="none"/>
          <w:lang w:val="en-US"/>
        </w:rPr>
        <w:t>发</w:t>
      </w:r>
      <w:bookmarkEnd w:id="57"/>
      <w:r>
        <w:rPr>
          <w:rFonts w:hint="eastAsia" w:ascii="Calibri" w:hAnsi="Calibri" w:eastAsia="黑体"/>
          <w:b w:val="0"/>
          <w:bCs/>
          <w:color w:val="auto"/>
          <w:sz w:val="36"/>
          <w:szCs w:val="36"/>
          <w:highlight w:val="none"/>
          <w:lang w:val="en-US"/>
        </w:rPr>
        <w:t>展</w:t>
      </w:r>
      <w:bookmarkEnd w:id="71"/>
      <w:bookmarkEnd w:id="72"/>
    </w:p>
    <w:p>
      <w:pPr>
        <w:adjustRightInd w:val="0"/>
        <w:snapToGrid w:val="0"/>
        <w:spacing w:line="360" w:lineRule="auto"/>
        <w:ind w:firstLine="640" w:firstLineChars="200"/>
        <w:rPr>
          <w:rFonts w:ascii="仿宋_GB2312" w:hAnsi="仿宋_GB2312" w:eastAsia="仿宋_GB2312" w:cs="仿宋_GB2312"/>
          <w:color w:val="auto"/>
          <w:sz w:val="32"/>
          <w:szCs w:val="32"/>
          <w:highlight w:val="none"/>
          <w:lang w:bidi="zh-TW"/>
        </w:rPr>
      </w:pPr>
      <w:bookmarkStart w:id="73" w:name="_Toc20542"/>
      <w:r>
        <w:rPr>
          <w:rFonts w:hint="eastAsia" w:ascii="仿宋_GB2312" w:hAnsi="仿宋_GB2312" w:eastAsia="仿宋_GB2312" w:cs="仿宋_GB2312"/>
          <w:color w:val="auto"/>
          <w:sz w:val="32"/>
          <w:szCs w:val="32"/>
          <w:highlight w:val="none"/>
          <w:lang w:bidi="zh-TW"/>
        </w:rPr>
        <w:t>紧密对接现代产业体系发展，优化调整技工院校布局和专</w:t>
      </w:r>
    </w:p>
    <w:p>
      <w:pPr>
        <w:adjustRightInd w:val="0"/>
        <w:snapToGrid w:val="0"/>
        <w:spacing w:line="360" w:lineRule="auto"/>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color w:val="auto"/>
          <w:sz w:val="32"/>
          <w:szCs w:val="32"/>
          <w:highlight w:val="none"/>
          <w:lang w:bidi="zh-TW"/>
        </w:rPr>
        <w:t>业设置，按照“能力本位、对标国际、产教融合、高端引领、质量办学”的总体要求，创新技工教育发展体制机制，推动由政府举办为主向政府统筹管理、社会多元办学的格局转变，由参照普通教育办学模式向企业社会参与、专业特色鲜明的类型教育转变，加快打造技工教育强市。</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74" w:name="_Toc92"/>
      <w:bookmarkStart w:id="75" w:name="_Toc18071"/>
      <w:r>
        <w:rPr>
          <w:rFonts w:hint="eastAsia" w:ascii="Cambria" w:hAnsi="Cambria" w:eastAsia="楷体_GB2312"/>
          <w:color w:val="auto"/>
          <w:sz w:val="34"/>
          <w:highlight w:val="none"/>
        </w:rPr>
        <w:t>第一节  优化技工教育规划布局</w:t>
      </w:r>
      <w:bookmarkEnd w:id="74"/>
      <w:bookmarkEnd w:id="75"/>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推进技工院校战略性布局调整。</w:t>
      </w:r>
      <w:r>
        <w:rPr>
          <w:rFonts w:hint="eastAsia" w:ascii="仿宋_GB2312" w:hAnsi="仿宋_GB2312" w:eastAsia="仿宋_GB2312" w:cs="仿宋_GB2312"/>
          <w:color w:val="auto"/>
          <w:sz w:val="32"/>
          <w:szCs w:val="32"/>
          <w:highlight w:val="none"/>
          <w:lang w:bidi="zh-TW"/>
        </w:rPr>
        <w:t>加强市属技工院校全面改革规划，通过资源整合和强基提质，提高办学水平和办学条件。加快汕尾市高级技工学校新校区项目建设，</w:t>
      </w:r>
      <w:r>
        <w:rPr>
          <w:rFonts w:hint="eastAsia" w:ascii="仿宋_GB2312" w:hAnsi="仿宋_GB2312" w:eastAsia="仿宋_GB2312" w:cs="仿宋_GB2312"/>
          <w:color w:val="auto"/>
          <w:sz w:val="32"/>
          <w:szCs w:val="32"/>
          <w:highlight w:val="none"/>
        </w:rPr>
        <w:t>到2021年把汕尾市高级技工学校申报创建成为汕尾技师学院。2022年把陆丰市技工学校建成陆丰市高级技工学校。在海丰县和陆河县各新建1所技工学校，缩小地区技工教育差距。</w:t>
      </w: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提升技工院校办学层次规模。</w:t>
      </w:r>
      <w:r>
        <w:rPr>
          <w:rFonts w:hint="eastAsia" w:ascii="仿宋_GB2312" w:hAnsi="仿宋_GB2312" w:eastAsia="仿宋_GB2312" w:cs="仿宋_GB2312"/>
          <w:color w:val="auto"/>
          <w:sz w:val="32"/>
          <w:szCs w:val="32"/>
          <w:highlight w:val="none"/>
          <w:lang w:bidi="zh-TW"/>
        </w:rPr>
        <w:t>深化技工院校招生制度改革，扩大技工院校高级工班招生比例和学制技师培养规模，稳定全日制招生规模，扩大非全日制招生规模，学制教育在校生规模达到合理水平，并与当年社会培训规模比例达到1:1左右。技师学院和高级技工学校高级工以上在校生分别保持70%和55%以上。支持技工院校建立国家级、省级高技能人才培训基地和技能大师工作室。</w:t>
      </w:r>
    </w:p>
    <w:p>
      <w:pPr>
        <w:adjustRightInd w:val="0"/>
        <w:snapToGrid w:val="0"/>
        <w:spacing w:line="360" w:lineRule="auto"/>
        <w:ind w:firstLine="640" w:firstLineChars="200"/>
        <w:rPr>
          <w:rFonts w:ascii="仿宋_GB2312" w:hAnsi="仿宋_GB2312" w:eastAsia="仿宋_GB2312" w:cs="仿宋_GB2312"/>
          <w:color w:val="auto"/>
          <w:sz w:val="32"/>
          <w:szCs w:val="32"/>
          <w:highlight w:val="none"/>
          <w:lang w:bidi="zh-TW"/>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专栏1</w:t>
            </w:r>
            <w:r>
              <w:rPr>
                <w:rFonts w:hint="eastAsia" w:ascii="楷体_GB2312" w:hAnsi="宋体" w:eastAsia="楷体_GB2312" w:cs="宋体"/>
                <w:b/>
                <w:color w:val="auto"/>
                <w:sz w:val="32"/>
                <w:szCs w:val="32"/>
                <w:highlight w:val="none"/>
                <w:lang w:val="en-US" w:eastAsia="zh-CN" w:bidi="zh-TW"/>
              </w:rPr>
              <w:t>2</w:t>
            </w:r>
            <w:r>
              <w:rPr>
                <w:rFonts w:hint="eastAsia" w:ascii="楷体_GB2312" w:hAnsi="宋体" w:eastAsia="楷体_GB2312" w:cs="宋体"/>
                <w:b/>
                <w:color w:val="auto"/>
                <w:sz w:val="32"/>
                <w:szCs w:val="32"/>
                <w:highlight w:val="none"/>
                <w:lang w:bidi="zh-TW"/>
              </w:rPr>
              <w:t xml:space="preserve">  高质量建设汕尾市高级技工学校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adjustRightInd w:val="0"/>
              <w:snapToGrid w:val="0"/>
              <w:spacing w:before="120" w:beforeLines="50" w:line="360" w:lineRule="auto"/>
              <w:ind w:firstLine="560" w:firstLineChars="200"/>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紧紧围绕着将汕尾市高级技工学校建成高水平技师学院，并争取建成高等院校为总体目标，紧扣我市产业发展需要，通过省市共建模式，对标技师学院标准，全面加强学校硬、软件建设。师资队伍建设全面优化，教学改革不断深化，内部质量保障体系更加完善，建成具备中、高级和预备技师多种办学层次，技工常设专业和地方特色专业并存，部分专业建设成全省的示范专业，打造成为省现代化技工教育示范基地、产业工人培养基地和广东产业技能硅谷，辐射带动粤东、粤北乃至全省技工教育创新发展，为区域经济社会发展提供强有力的技能人才支撑。</w:t>
            </w:r>
          </w:p>
        </w:tc>
      </w:tr>
    </w:tbl>
    <w:p>
      <w:pPr>
        <w:adjustRightInd w:val="0"/>
        <w:snapToGrid w:val="0"/>
        <w:spacing w:line="360" w:lineRule="auto"/>
        <w:rPr>
          <w:rFonts w:ascii="仿宋_GB2312" w:hAnsi="仿宋_GB2312" w:eastAsia="仿宋_GB2312" w:cs="仿宋_GB2312"/>
          <w:color w:val="auto"/>
          <w:sz w:val="32"/>
          <w:szCs w:val="32"/>
          <w:highlight w:val="none"/>
          <w:lang w:bidi="zh-TW"/>
        </w:rPr>
      </w:pP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76" w:name="_Toc29150"/>
      <w:bookmarkStart w:id="77" w:name="_Toc780"/>
      <w:r>
        <w:rPr>
          <w:rFonts w:hint="eastAsia" w:ascii="Cambria" w:hAnsi="Cambria" w:eastAsia="楷体_GB2312"/>
          <w:color w:val="auto"/>
          <w:sz w:val="34"/>
          <w:highlight w:val="none"/>
        </w:rPr>
        <w:t>第二节  打造优质技工教育品牌</w:t>
      </w:r>
      <w:bookmarkEnd w:id="76"/>
      <w:bookmarkEnd w:id="77"/>
    </w:p>
    <w:p>
      <w:pPr>
        <w:adjustRightInd w:val="0"/>
        <w:snapToGrid w:val="0"/>
        <w:spacing w:line="360" w:lineRule="auto"/>
        <w:ind w:firstLine="482" w:firstLineChars="15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打造大师能手名师品牌。</w:t>
      </w:r>
      <w:r>
        <w:rPr>
          <w:rFonts w:hint="eastAsia" w:ascii="仿宋_GB2312" w:hAnsi="仿宋_GB2312" w:eastAsia="仿宋_GB2312" w:cs="仿宋_GB2312"/>
          <w:color w:val="auto"/>
          <w:sz w:val="32"/>
          <w:szCs w:val="32"/>
          <w:highlight w:val="none"/>
          <w:lang w:bidi="zh-TW"/>
        </w:rPr>
        <w:t>落实教师轮训制度，鼓励技工院校和大中型企业共建教师培训基地，建立教师到企业实践和企业人才到技工院校兼职任教的常态化双向交流机制，校企联合培养“一体化”教师。实施名师领航计划，建立教师到企业实践和企业人才到技工院校兼职任教的双向交流培养机制，培育引进2-3名国家级技能大师、20名省级以上技术能手、20名卓越教师和100名教学能手。积极引进中华技能大奖等荣誉获得者和研究生以上学历、副高级以上职称的高素质教师等。选派技工院校教师到省内优秀技工院校跟班学习，鼓励在职教师接受研究生教育。</w:t>
      </w: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default" w:ascii="仿宋_GB2312" w:hAnsi="仿宋_GB2312" w:eastAsia="仿宋_GB2312" w:cs="仿宋_GB2312"/>
          <w:b/>
          <w:bCs/>
          <w:color w:val="auto"/>
          <w:sz w:val="32"/>
          <w:szCs w:val="32"/>
          <w:highlight w:val="none"/>
          <w:lang w:bidi="zh-TW"/>
        </w:rPr>
        <w:t>打造特色专业课程品牌。</w:t>
      </w:r>
      <w:r>
        <w:rPr>
          <w:rFonts w:hint="eastAsia" w:ascii="仿宋_GB2312" w:hAnsi="仿宋_GB2312" w:eastAsia="仿宋_GB2312" w:cs="仿宋_GB2312"/>
          <w:i w:val="0"/>
          <w:iCs w:val="0"/>
          <w:caps w:val="0"/>
          <w:color w:val="auto"/>
          <w:spacing w:val="0"/>
          <w:sz w:val="32"/>
          <w:szCs w:val="32"/>
          <w:highlight w:val="none"/>
          <w:shd w:val="clear" w:color="auto" w:fill="auto"/>
          <w:lang w:bidi="zh-TW"/>
        </w:rPr>
        <w:t>立足服务发展</w:t>
      </w:r>
      <w:r>
        <w:rPr>
          <w:rFonts w:hint="default" w:ascii="仿宋_GB2312" w:hAnsi="仿宋_GB2312" w:eastAsia="仿宋_GB2312" w:cs="仿宋_GB2312"/>
          <w:i w:val="0"/>
          <w:iCs w:val="0"/>
          <w:caps w:val="0"/>
          <w:color w:val="auto"/>
          <w:spacing w:val="0"/>
          <w:sz w:val="32"/>
          <w:szCs w:val="32"/>
          <w:highlight w:val="none"/>
          <w:shd w:val="clear" w:color="auto" w:fill="auto"/>
          <w:lang w:eastAsia="zh-CN" w:bidi="zh-TW"/>
        </w:rPr>
        <w:t>，</w:t>
      </w:r>
      <w:r>
        <w:rPr>
          <w:rFonts w:hint="eastAsia" w:ascii="仿宋_GB2312" w:hAnsi="仿宋_GB2312" w:eastAsia="仿宋_GB2312" w:cs="仿宋_GB2312"/>
          <w:i w:val="0"/>
          <w:iCs w:val="0"/>
          <w:caps w:val="0"/>
          <w:color w:val="auto"/>
          <w:spacing w:val="0"/>
          <w:sz w:val="32"/>
          <w:szCs w:val="32"/>
          <w:highlight w:val="none"/>
          <w:shd w:val="clear" w:color="auto" w:fill="auto"/>
          <w:lang w:bidi="zh-TW"/>
        </w:rPr>
        <w:t>着力创建一批符合国家战略需要、与我市产业发展相匹配的特色品牌专业</w:t>
      </w:r>
      <w:r>
        <w:rPr>
          <w:rFonts w:hint="default" w:ascii="仿宋_GB2312" w:hAnsi="仿宋_GB2312" w:eastAsia="仿宋_GB2312" w:cs="仿宋_GB2312"/>
          <w:i w:val="0"/>
          <w:iCs w:val="0"/>
          <w:caps w:val="0"/>
          <w:color w:val="auto"/>
          <w:spacing w:val="0"/>
          <w:sz w:val="32"/>
          <w:szCs w:val="32"/>
          <w:highlight w:val="none"/>
          <w:shd w:val="clear" w:color="auto" w:fill="auto"/>
          <w:lang w:eastAsia="zh-CN" w:bidi="zh-TW"/>
        </w:rPr>
        <w:t>。</w:t>
      </w:r>
      <w:r>
        <w:rPr>
          <w:rFonts w:hint="eastAsia" w:ascii="仿宋_GB2312" w:hAnsi="仿宋_GB2312" w:eastAsia="仿宋_GB2312" w:cs="仿宋_GB2312"/>
          <w:color w:val="auto"/>
          <w:sz w:val="32"/>
          <w:szCs w:val="32"/>
          <w:highlight w:val="none"/>
          <w:lang w:bidi="zh-TW"/>
        </w:rPr>
        <w:t>聚焦汕尾现代产业发展需求，推动技工院校开设新一代信息技术、大数据、工业机器人应用与维护、现代汽车等新兴专业和水产品养殖与加工、珠宝首饰设计与制作和“粤菜师傅”“南粤家政”等特色专业，打造技工教育品牌专业。加大资金支持力度，扶持建设10个以上省级重点专业和特色专业。加快推进课程改革，重点开发“一体化”课程，注重学生创新创造能力、分析解决问题能力，培养具有现代知识、现代技能和符合企业生产实际的高素质技能人才。根据各专业招生、培养和就业情况，建立健全专业动态调整机制，对连续三年居于各校排名末尾的3-5个专业予以黄牌警示，对连续五年未能整改成功的专业予以撤销或停止招生，推进各校专业建设质量的提高。</w:t>
      </w: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打造红色思政教育品牌。</w:t>
      </w:r>
      <w:r>
        <w:rPr>
          <w:rFonts w:hint="eastAsia" w:ascii="仿宋_GB2312" w:hAnsi="仿宋_GB2312" w:eastAsia="仿宋_GB2312" w:cs="仿宋_GB2312"/>
          <w:color w:val="auto"/>
          <w:sz w:val="32"/>
          <w:szCs w:val="32"/>
          <w:highlight w:val="none"/>
          <w:lang w:bidi="zh-TW"/>
        </w:rPr>
        <w:t>依托海陆丰革命老区红色资源，开设国史党史、国情省情、中华优秀传统文化等人文素养课程，加强学生思想政治教育工作，培育打造红色思政课教育品牌。从技能人才培养特点出发，坚持以习近平新时代中国特色社会主义思想铸魂育人，全面加强社会主义核心价值观、理想信念、优秀传统文化教育和工匠精神教育，培养德技双馨的技能人才。建立思政课建设责任制，将思政课建设纳入学校党建工作考核、办学质量和学科建设评估等主要内容。落实专职思政课教师配备要求，加强思政课教师培养培训。改革思政课教学模式，增强实效性、针对性、体验性。推进思政课程规范化，全面加强思政第二课堂建设，突出“一校一品牌、一系一特色、一课一精品”。</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78" w:name="_Toc25752"/>
      <w:bookmarkStart w:id="79" w:name="_Toc20124"/>
      <w:r>
        <w:rPr>
          <w:rFonts w:hint="eastAsia" w:ascii="Cambria" w:hAnsi="Cambria" w:eastAsia="楷体_GB2312"/>
          <w:color w:val="auto"/>
          <w:sz w:val="34"/>
          <w:highlight w:val="none"/>
        </w:rPr>
        <w:t>第三节  提升技工教育服务能力</w:t>
      </w:r>
      <w:bookmarkEnd w:id="78"/>
      <w:bookmarkEnd w:id="79"/>
    </w:p>
    <w:p>
      <w:pPr>
        <w:adjustRightInd w:val="0"/>
        <w:snapToGrid w:val="0"/>
        <w:spacing w:line="360" w:lineRule="auto"/>
        <w:ind w:firstLine="643" w:firstLineChars="200"/>
        <w:rPr>
          <w:rFonts w:hint="eastAsia"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bCs w:val="0"/>
          <w:color w:val="auto"/>
          <w:sz w:val="32"/>
          <w:szCs w:val="32"/>
          <w:highlight w:val="none"/>
          <w:lang w:bidi="ar-SA"/>
        </w:rPr>
        <w:t>促进产教融合发展。</w:t>
      </w:r>
      <w:r>
        <w:rPr>
          <w:rFonts w:hint="eastAsia" w:ascii="仿宋_GB2312" w:hAnsi="仿宋_GB2312" w:eastAsia="仿宋_GB2312" w:cs="仿宋_GB2312"/>
          <w:b w:val="0"/>
          <w:bCs/>
          <w:color w:val="auto"/>
          <w:sz w:val="32"/>
          <w:szCs w:val="32"/>
          <w:highlight w:val="none"/>
          <w:lang w:bidi="ar-SA"/>
        </w:rPr>
        <w:t>深化产教融合、校企合作，建立由职业院校、行业企业和科研机构等共同参与的职业教育产教融合联盟。</w:t>
      </w:r>
      <w:r>
        <w:rPr>
          <w:rFonts w:hint="eastAsia" w:ascii="仿宋_GB2312" w:hAnsi="仿宋_GB2312" w:eastAsia="仿宋_GB2312" w:cs="仿宋_GB2312"/>
          <w:b w:val="0"/>
          <w:bCs/>
          <w:i w:val="0"/>
          <w:iCs w:val="0"/>
          <w:caps w:val="0"/>
          <w:color w:val="auto"/>
          <w:spacing w:val="0"/>
          <w:sz w:val="32"/>
          <w:szCs w:val="32"/>
          <w:highlight w:val="none"/>
          <w:shd w:val="clear" w:color="auto" w:fill="auto"/>
        </w:rPr>
        <w:t>搭建一批多层次、宽领域的校企合作平台，促进人才链与产业链有机衔接、融</w:t>
      </w:r>
      <w:r>
        <w:rPr>
          <w:rFonts w:hint="eastAsia" w:ascii="仿宋_GB2312" w:hAnsi="仿宋_GB2312" w:eastAsia="仿宋_GB2312" w:cs="仿宋_GB2312"/>
          <w:b w:val="0"/>
          <w:bCs/>
          <w:i w:val="0"/>
          <w:iCs w:val="0"/>
          <w:caps w:val="0"/>
          <w:color w:val="auto"/>
          <w:spacing w:val="0"/>
          <w:sz w:val="32"/>
          <w:szCs w:val="32"/>
          <w:highlight w:val="none"/>
          <w:shd w:val="clear" w:color="auto" w:fill="auto"/>
          <w:lang w:eastAsia="zh-CN"/>
        </w:rPr>
        <w:t>会</w:t>
      </w:r>
      <w:r>
        <w:rPr>
          <w:rFonts w:hint="eastAsia" w:ascii="仿宋_GB2312" w:hAnsi="仿宋_GB2312" w:eastAsia="仿宋_GB2312" w:cs="仿宋_GB2312"/>
          <w:b w:val="0"/>
          <w:bCs/>
          <w:i w:val="0"/>
          <w:iCs w:val="0"/>
          <w:caps w:val="0"/>
          <w:color w:val="auto"/>
          <w:spacing w:val="0"/>
          <w:sz w:val="32"/>
          <w:szCs w:val="32"/>
          <w:highlight w:val="none"/>
          <w:shd w:val="clear" w:color="auto" w:fill="auto"/>
        </w:rPr>
        <w:t>贯通，更好地服务全市产业培育转型和老区经济社会高质量发展。</w:t>
      </w:r>
      <w:r>
        <w:rPr>
          <w:rFonts w:hint="eastAsia" w:ascii="仿宋_GB2312" w:hAnsi="仿宋_GB2312" w:eastAsia="仿宋_GB2312" w:cs="仿宋_GB2312"/>
          <w:bCs/>
          <w:color w:val="auto"/>
          <w:sz w:val="32"/>
          <w:szCs w:val="32"/>
          <w:highlight w:val="none"/>
          <w:lang w:bidi="zh-TW"/>
        </w:rPr>
        <w:t>鼓励技工院校与行业、企业联合培养人才，联合建设实践教学基地、实训中心、职工培训中心等，促进企业主动参与技工院校的人才培养，促进技工院校按</w:t>
      </w:r>
      <w:r>
        <w:rPr>
          <w:rFonts w:hint="eastAsia" w:ascii="仿宋_GB2312" w:hAnsi="仿宋_GB2312" w:eastAsia="仿宋_GB2312" w:cs="仿宋_GB2312"/>
          <w:color w:val="auto"/>
          <w:sz w:val="32"/>
          <w:szCs w:val="32"/>
          <w:highlight w:val="none"/>
          <w:lang w:bidi="zh-TW"/>
        </w:rPr>
        <w:t>企业要求实现订单式人才培养，并为企业员工开发和提供相应培训课程。鼓励企业利用资本、技术、知识、设施、设备和管理等参与校企合作，支持认定一批“产教融合型”企业。加快打造汽车维修、网络安全工程、美容美发等“校中厂”项目，与国泰、信利等合作重点打造“厂中校”项目。</w:t>
      </w: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支持发展民办技工教育。</w:t>
      </w:r>
      <w:r>
        <w:rPr>
          <w:rFonts w:hint="eastAsia" w:ascii="仿宋_GB2312" w:hAnsi="仿宋_GB2312" w:eastAsia="仿宋_GB2312" w:cs="仿宋_GB2312"/>
          <w:color w:val="auto"/>
          <w:sz w:val="32"/>
          <w:szCs w:val="32"/>
          <w:highlight w:val="none"/>
          <w:lang w:bidi="zh-TW"/>
        </w:rPr>
        <w:t>完善鼓励和扶持民办技工教育发</w:t>
      </w:r>
      <w:r>
        <w:rPr>
          <w:rFonts w:ascii="仿宋_GB2312" w:hAnsi="仿宋_GB2312" w:eastAsia="仿宋_GB2312" w:cs="仿宋_GB2312"/>
          <w:color w:val="auto"/>
          <w:sz w:val="32"/>
          <w:szCs w:val="32"/>
          <w:highlight w:val="none"/>
          <w:lang w:bidi="zh-TW"/>
        </w:rPr>
        <w:t>展政策，推动符合条件的民办技工院校按规定享受税收优惠。保障民办技工院校在政府购买服务、校企合作、实训基地建设等方面与公办同类机构享受同等待遇，</w:t>
      </w:r>
      <w:r>
        <w:rPr>
          <w:rFonts w:hint="eastAsia" w:ascii="仿宋_GB2312" w:hAnsi="仿宋_GB2312" w:eastAsia="仿宋_GB2312" w:cs="仿宋_GB2312"/>
          <w:color w:val="auto"/>
          <w:sz w:val="32"/>
          <w:szCs w:val="32"/>
          <w:highlight w:val="none"/>
          <w:lang w:bidi="zh-TW"/>
        </w:rPr>
        <w:t>着力打造民办技工教育示范校</w:t>
      </w:r>
      <w:r>
        <w:rPr>
          <w:rFonts w:ascii="仿宋_GB2312" w:hAnsi="仿宋_GB2312" w:eastAsia="仿宋_GB2312" w:cs="仿宋_GB2312"/>
          <w:color w:val="auto"/>
          <w:sz w:val="32"/>
          <w:szCs w:val="32"/>
          <w:highlight w:val="none"/>
          <w:lang w:bidi="zh-TW"/>
        </w:rPr>
        <w:t>。完善民办技工院校年度检查制度，严格规范办学行为。</w:t>
      </w: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改革完善技工教育政策体系。</w:t>
      </w:r>
      <w:r>
        <w:rPr>
          <w:rFonts w:hint="eastAsia" w:ascii="仿宋_GB2312" w:hAnsi="仿宋_GB2312" w:eastAsia="仿宋_GB2312" w:cs="仿宋_GB2312"/>
          <w:color w:val="auto"/>
          <w:sz w:val="32"/>
          <w:szCs w:val="32"/>
          <w:highlight w:val="none"/>
          <w:lang w:bidi="zh-TW"/>
        </w:rPr>
        <w:t>加强技工院校党的全面领导和党的建设。对标高职院校设置要求，加大财政资金投入，促进技工院校固本强基，推进汕尾技师学院纳入高等职业教育。深化教学研究和教学改革，完善教师参与课题研究激励机制，重点扶持培养中青年骨干教师和特殊教研人才。完善技工院校绩效工资分配机制，强化正向激励引导。推动落实获得中级工、高级工、技师职业资格（职业技能等级）的人员〔含技工院校中级工班、高级工班、预备技师（技师）班毕业生〕，分别按相当于中专、大专、本科学历落实相关待遇。取得高级工和技师、高级技师职业资格（职业技能等级）证书的技能人才，在参加公务员报考录用、企事业单位招聘、考核定级、职称评定、职位晋升、工资待遇等方面，分别与大专和本科学历人员同等对待。</w:t>
      </w: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jc w:val="center"/>
              <w:rPr>
                <w:rFonts w:ascii="仿宋" w:hAnsi="仿宋" w:eastAsia="仿宋" w:cs="仿宋"/>
                <w:color w:val="auto"/>
                <w:sz w:val="32"/>
                <w:szCs w:val="32"/>
                <w:highlight w:val="none"/>
              </w:rPr>
            </w:pPr>
            <w:r>
              <w:rPr>
                <w:rFonts w:hint="eastAsia" w:ascii="楷体_GB2312" w:hAnsi="宋体" w:eastAsia="楷体_GB2312" w:cs="宋体"/>
                <w:b/>
                <w:color w:val="auto"/>
                <w:sz w:val="32"/>
                <w:szCs w:val="32"/>
                <w:highlight w:val="none"/>
                <w:lang w:bidi="zh-TW"/>
              </w:rPr>
              <w:t>专栏1</w:t>
            </w:r>
            <w:r>
              <w:rPr>
                <w:rFonts w:hint="eastAsia" w:ascii="楷体_GB2312" w:hAnsi="宋体" w:eastAsia="楷体_GB2312" w:cs="宋体"/>
                <w:b/>
                <w:color w:val="auto"/>
                <w:sz w:val="32"/>
                <w:szCs w:val="32"/>
                <w:highlight w:val="none"/>
                <w:lang w:val="en-US" w:eastAsia="zh-CN" w:bidi="zh-TW"/>
              </w:rPr>
              <w:t>3</w:t>
            </w:r>
            <w:r>
              <w:rPr>
                <w:rFonts w:hint="eastAsia" w:ascii="楷体_GB2312" w:hAnsi="宋体" w:eastAsia="楷体_GB2312" w:cs="宋体"/>
                <w:b/>
                <w:color w:val="auto"/>
                <w:sz w:val="32"/>
                <w:szCs w:val="32"/>
                <w:highlight w:val="none"/>
                <w:lang w:bidi="zh-TW"/>
              </w:rPr>
              <w:t xml:space="preserve">  高技能人才振兴计划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adjustRightInd w:val="0"/>
              <w:snapToGrid w:val="0"/>
              <w:spacing w:line="312" w:lineRule="auto"/>
              <w:ind w:firstLine="562" w:firstLineChars="200"/>
              <w:rPr>
                <w:rFonts w:hint="eastAsia" w:ascii="楷体_GB2312" w:hAnsi="楷体_GB2312" w:eastAsia="楷体_GB2312" w:cs="楷体_GB2312"/>
                <w:color w:val="auto"/>
                <w:sz w:val="28"/>
                <w:szCs w:val="28"/>
                <w:highlight w:val="none"/>
                <w:lang w:bidi="zh-TW"/>
              </w:rPr>
            </w:pPr>
            <w:r>
              <w:rPr>
                <w:rFonts w:hint="eastAsia" w:ascii="楷体_GB2312" w:hAnsi="楷体_GB2312" w:eastAsia="楷体_GB2312" w:cs="楷体_GB2312"/>
                <w:b/>
                <w:bCs/>
                <w:color w:val="auto"/>
                <w:sz w:val="28"/>
                <w:szCs w:val="28"/>
                <w:highlight w:val="none"/>
                <w:lang w:bidi="zh-TW"/>
              </w:rPr>
              <w:t>1.加快高技能人才培育基地建设。</w:t>
            </w:r>
            <w:r>
              <w:rPr>
                <w:rFonts w:hint="eastAsia" w:ascii="楷体_GB2312" w:hAnsi="楷体_GB2312" w:eastAsia="楷体_GB2312" w:cs="楷体_GB2312"/>
                <w:color w:val="auto"/>
                <w:sz w:val="28"/>
                <w:szCs w:val="28"/>
                <w:highlight w:val="none"/>
                <w:lang w:bidi="zh-TW"/>
              </w:rPr>
              <w:t>加大城区和海丰高技能人才公共实训基地建设力度，重点扶持建设汕尾</w:t>
            </w:r>
            <w:r>
              <w:rPr>
                <w:rFonts w:hint="eastAsia" w:ascii="楷体_GB2312" w:hAnsi="楷体_GB2312" w:eastAsia="楷体_GB2312" w:cs="楷体_GB2312"/>
                <w:color w:val="auto"/>
                <w:sz w:val="28"/>
                <w:szCs w:val="28"/>
                <w:highlight w:val="none"/>
                <w:lang w:val="en-US" w:eastAsia="zh-CN" w:bidi="zh-TW"/>
              </w:rPr>
              <w:t>技师学院</w:t>
            </w:r>
            <w:r>
              <w:rPr>
                <w:rFonts w:hint="eastAsia" w:ascii="楷体_GB2312" w:hAnsi="楷体_GB2312" w:eastAsia="楷体_GB2312" w:cs="楷体_GB2312"/>
                <w:color w:val="auto"/>
                <w:sz w:val="28"/>
                <w:szCs w:val="28"/>
                <w:highlight w:val="none"/>
                <w:lang w:bidi="zh-TW"/>
              </w:rPr>
              <w:t>国家级高技能人才培训基地，加快建设我市国家级技能大师</w:t>
            </w:r>
            <w:bookmarkStart w:id="80" w:name="bkReivew1083242"/>
            <w:r>
              <w:rPr>
                <w:rFonts w:hint="eastAsia" w:ascii="楷体_GB2312" w:hAnsi="楷体_GB2312" w:eastAsia="楷体_GB2312" w:cs="楷体_GB2312"/>
                <w:color w:val="auto"/>
                <w:sz w:val="28"/>
                <w:szCs w:val="28"/>
                <w:highlight w:val="none"/>
                <w:lang w:bidi="zh-TW"/>
              </w:rPr>
              <w:t>工作</w:t>
            </w:r>
            <w:bookmarkEnd w:id="80"/>
            <w:r>
              <w:rPr>
                <w:rFonts w:hint="eastAsia" w:ascii="楷体_GB2312" w:hAnsi="楷体_GB2312" w:eastAsia="楷体_GB2312" w:cs="楷体_GB2312"/>
                <w:color w:val="auto"/>
                <w:sz w:val="28"/>
                <w:szCs w:val="28"/>
                <w:highlight w:val="none"/>
                <w:lang w:bidi="zh-TW"/>
              </w:rPr>
              <w:t>室。</w:t>
            </w:r>
          </w:p>
          <w:p>
            <w:pPr>
              <w:adjustRightInd w:val="0"/>
              <w:snapToGrid w:val="0"/>
              <w:spacing w:line="312" w:lineRule="auto"/>
              <w:ind w:firstLine="562" w:firstLineChars="200"/>
              <w:rPr>
                <w:rFonts w:hint="eastAsia" w:ascii="楷体_GB2312" w:hAnsi="楷体_GB2312" w:eastAsia="楷体_GB2312" w:cs="楷体_GB2312"/>
                <w:color w:val="auto"/>
                <w:sz w:val="28"/>
                <w:szCs w:val="28"/>
                <w:highlight w:val="none"/>
                <w:lang w:bidi="zh-TW"/>
              </w:rPr>
            </w:pPr>
            <w:r>
              <w:rPr>
                <w:rFonts w:hint="eastAsia" w:ascii="楷体_GB2312" w:hAnsi="楷体_GB2312" w:eastAsia="楷体_GB2312" w:cs="楷体_GB2312"/>
                <w:b/>
                <w:bCs/>
                <w:color w:val="auto"/>
                <w:sz w:val="28"/>
                <w:szCs w:val="28"/>
                <w:highlight w:val="none"/>
                <w:lang w:bidi="zh-TW"/>
              </w:rPr>
              <w:t>2.持续开展职业技能提升行动。</w:t>
            </w:r>
            <w:r>
              <w:rPr>
                <w:rFonts w:hint="eastAsia" w:ascii="楷体_GB2312" w:hAnsi="楷体_GB2312" w:eastAsia="楷体_GB2312" w:cs="楷体_GB2312"/>
                <w:color w:val="auto"/>
                <w:sz w:val="28"/>
                <w:szCs w:val="28"/>
                <w:highlight w:val="none"/>
                <w:lang w:bidi="zh-TW"/>
              </w:rPr>
              <w:t>充分发挥院校和企业培训主体作用，依托市场化力量，全面实施职业技能提升行动，推行终身职业技能培训制度，全面提升劳动者技能素质。</w:t>
            </w:r>
          </w:p>
          <w:p>
            <w:pPr>
              <w:adjustRightInd w:val="0"/>
              <w:snapToGrid w:val="0"/>
              <w:spacing w:line="312" w:lineRule="auto"/>
              <w:ind w:firstLine="562" w:firstLineChars="200"/>
              <w:rPr>
                <w:rFonts w:ascii="楷体_GB2312" w:hAnsi="宋体" w:eastAsia="楷体_GB2312" w:cs="宋体"/>
                <w:color w:val="auto"/>
                <w:sz w:val="28"/>
                <w:szCs w:val="28"/>
                <w:highlight w:val="none"/>
                <w:lang w:bidi="zh-TW"/>
              </w:rPr>
            </w:pPr>
            <w:r>
              <w:rPr>
                <w:rFonts w:hint="eastAsia" w:ascii="楷体_GB2312" w:hAnsi="楷体_GB2312" w:eastAsia="楷体_GB2312" w:cs="楷体_GB2312"/>
                <w:b/>
                <w:bCs/>
                <w:color w:val="auto"/>
                <w:sz w:val="28"/>
                <w:szCs w:val="28"/>
                <w:highlight w:val="none"/>
                <w:lang w:bidi="zh-TW"/>
              </w:rPr>
              <w:t>3.推行职业技能等级制度。</w:t>
            </w:r>
            <w:r>
              <w:rPr>
                <w:rFonts w:hint="eastAsia" w:ascii="楷体_GB2312" w:hAnsi="楷体_GB2312" w:eastAsia="楷体_GB2312" w:cs="楷体_GB2312"/>
                <w:color w:val="auto"/>
                <w:sz w:val="28"/>
                <w:szCs w:val="28"/>
                <w:highlight w:val="none"/>
                <w:lang w:bidi="zh-TW"/>
              </w:rPr>
              <w:t>推进我市技工院校全面建立职业技能等级认定制度。支持信利、比亚迪等大型企业作为职业技能等级认定工作载体，资助制定技能人才评价方案，开展技能人才培训和评价认定。力争4万人次以上取得高级工以上职业资格证书或职业技能等级证书</w:t>
            </w:r>
            <w:r>
              <w:rPr>
                <w:rFonts w:hint="eastAsia" w:ascii="楷体_GB2312" w:hAnsi="宋体" w:eastAsia="楷体_GB2312" w:cs="宋体"/>
                <w:color w:val="auto"/>
                <w:sz w:val="28"/>
                <w:szCs w:val="28"/>
                <w:highlight w:val="none"/>
                <w:lang w:bidi="zh-TW"/>
              </w:rPr>
              <w:t>。</w:t>
            </w:r>
          </w:p>
        </w:tc>
      </w:tr>
    </w:tbl>
    <w:p>
      <w:pPr>
        <w:pStyle w:val="3"/>
        <w:adjustRightInd w:val="0"/>
        <w:snapToGrid w:val="0"/>
        <w:spacing w:before="120" w:beforeLines="50" w:after="120" w:afterLines="50" w:line="360" w:lineRule="auto"/>
        <w:jc w:val="center"/>
        <w:rPr>
          <w:rFonts w:ascii="Calibri" w:hAnsi="Calibri" w:eastAsia="黑体"/>
          <w:b w:val="0"/>
          <w:bCs/>
          <w:color w:val="auto"/>
          <w:sz w:val="36"/>
          <w:szCs w:val="36"/>
          <w:highlight w:val="none"/>
          <w:lang w:val="en-US"/>
        </w:rPr>
      </w:pPr>
      <w:bookmarkStart w:id="81" w:name="_Toc20696"/>
      <w:bookmarkStart w:id="82" w:name="_Toc7824"/>
      <w:r>
        <w:rPr>
          <w:rFonts w:hint="eastAsia" w:ascii="Calibri" w:hAnsi="Calibri" w:eastAsia="黑体"/>
          <w:b w:val="0"/>
          <w:bCs/>
          <w:color w:val="auto"/>
          <w:sz w:val="36"/>
          <w:szCs w:val="36"/>
          <w:highlight w:val="none"/>
          <w:lang w:val="en-US"/>
        </w:rPr>
        <w:t>第八章  提高</w:t>
      </w:r>
      <w:r>
        <w:rPr>
          <w:rFonts w:ascii="Calibri" w:hAnsi="Calibri" w:eastAsia="黑体"/>
          <w:b w:val="0"/>
          <w:bCs/>
          <w:color w:val="auto"/>
          <w:sz w:val="36"/>
          <w:szCs w:val="36"/>
          <w:highlight w:val="none"/>
          <w:lang w:val="en-US"/>
        </w:rPr>
        <w:t>事业单</w:t>
      </w:r>
      <w:bookmarkEnd w:id="73"/>
      <w:r>
        <w:rPr>
          <w:rFonts w:ascii="Calibri" w:hAnsi="Calibri" w:eastAsia="黑体"/>
          <w:b w:val="0"/>
          <w:bCs/>
          <w:color w:val="auto"/>
          <w:sz w:val="36"/>
          <w:szCs w:val="36"/>
          <w:highlight w:val="none"/>
          <w:lang w:val="en-US"/>
        </w:rPr>
        <w:t>位</w:t>
      </w:r>
      <w:r>
        <w:rPr>
          <w:rFonts w:hint="eastAsia" w:ascii="Calibri" w:hAnsi="Calibri" w:eastAsia="黑体"/>
          <w:b w:val="0"/>
          <w:bCs/>
          <w:color w:val="auto"/>
          <w:sz w:val="36"/>
          <w:szCs w:val="36"/>
          <w:highlight w:val="none"/>
          <w:lang w:val="en-US"/>
        </w:rPr>
        <w:t>人事管理科学化水平</w:t>
      </w:r>
      <w:bookmarkEnd w:id="81"/>
      <w:bookmarkEnd w:id="82"/>
      <w:bookmarkStart w:id="83" w:name="_Toc16094"/>
    </w:p>
    <w:p>
      <w:pPr>
        <w:adjustRightInd w:val="0"/>
        <w:snapToGrid w:val="0"/>
        <w:spacing w:line="360" w:lineRule="auto"/>
        <w:ind w:firstLine="640"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color w:val="auto"/>
          <w:sz w:val="32"/>
          <w:szCs w:val="32"/>
          <w:highlight w:val="none"/>
          <w:lang w:bidi="zh-TW"/>
        </w:rPr>
        <w:t>以加快建立政事分开、事企分开、管办分离的事业单位人事管理体制机制为目标，坚持放管结合并重，完善制度规范，健全约束机制，强化正向激励。提高治理效能，建立充满生机与活力的新时代事业单位选人用人机制，提高事业单位人事管理的</w:t>
      </w:r>
      <w:bookmarkStart w:id="84" w:name="bkPolitics3120513"/>
      <w:r>
        <w:rPr>
          <w:rFonts w:hint="eastAsia" w:ascii="仿宋_GB2312" w:hAnsi="仿宋_GB2312" w:eastAsia="仿宋_GB2312" w:cs="仿宋_GB2312"/>
          <w:color w:val="auto"/>
          <w:sz w:val="32"/>
          <w:szCs w:val="32"/>
          <w:highlight w:val="none"/>
          <w:lang w:bidi="zh-TW"/>
        </w:rPr>
        <w:t>法治化、科学化</w:t>
      </w:r>
      <w:bookmarkEnd w:id="84"/>
      <w:r>
        <w:rPr>
          <w:rFonts w:hint="eastAsia" w:ascii="仿宋_GB2312" w:hAnsi="仿宋_GB2312" w:eastAsia="仿宋_GB2312" w:cs="仿宋_GB2312"/>
          <w:color w:val="auto"/>
          <w:sz w:val="32"/>
          <w:szCs w:val="32"/>
          <w:highlight w:val="none"/>
          <w:lang w:bidi="zh-TW"/>
        </w:rPr>
        <w:t>水平。</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85" w:name="_Toc12350"/>
      <w:bookmarkStart w:id="86" w:name="_Toc13944"/>
      <w:r>
        <w:rPr>
          <w:rFonts w:ascii="Cambria" w:hAnsi="Cambria" w:eastAsia="楷体_GB2312"/>
          <w:color w:val="auto"/>
          <w:sz w:val="34"/>
          <w:highlight w:val="none"/>
        </w:rPr>
        <w:t>第一节</w:t>
      </w:r>
      <w:r>
        <w:rPr>
          <w:rFonts w:hint="eastAsia" w:ascii="Cambria" w:hAnsi="Cambria" w:eastAsia="楷体_GB2312"/>
          <w:color w:val="auto"/>
          <w:sz w:val="34"/>
          <w:highlight w:val="none"/>
        </w:rPr>
        <w:t xml:space="preserve">  深化事业单位人事制度改革</w:t>
      </w:r>
      <w:bookmarkEnd w:id="85"/>
      <w:bookmarkEnd w:id="86"/>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健全岗位设置管理制度。</w:t>
      </w:r>
      <w:r>
        <w:rPr>
          <w:rFonts w:hint="eastAsia" w:ascii="仿宋_GB2312" w:hAnsi="仿宋_GB2312" w:eastAsia="仿宋_GB2312" w:cs="仿宋_GB2312"/>
          <w:color w:val="auto"/>
          <w:sz w:val="32"/>
          <w:szCs w:val="32"/>
          <w:highlight w:val="none"/>
          <w:lang w:bidi="zh-TW"/>
        </w:rPr>
        <w:t>推动高校、科研院所等事业单位科研人员创新创业，拓展高校、科研院所和企业科研人员双向流动渠道。加快修订文化、教育、卫生等各行业事业单位岗位设置管理实施意见，建立分类、分层、分规模的事业单位专业技术岗位结构比例范围及动态调整机制。逐步取消学校、科研院所、医院等单位行政级别，进一步规范设置学校、科研院所、医院等事业单位岗位设置。</w:t>
      </w: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完善事业单位公开招聘和聘用制度。</w:t>
      </w:r>
      <w:r>
        <w:rPr>
          <w:rFonts w:hint="eastAsia" w:ascii="仿宋_GB2312" w:hAnsi="仿宋_GB2312" w:eastAsia="仿宋_GB2312" w:cs="仿宋_GB2312"/>
          <w:color w:val="auto"/>
          <w:sz w:val="32"/>
          <w:szCs w:val="32"/>
          <w:highlight w:val="none"/>
          <w:lang w:bidi="zh-TW"/>
        </w:rPr>
        <w:t>积极配合省修订事业单位公开招聘办法，建立健全岗位动态调整机制和考核奖励机制。深化县管校聘、县管乡用改革，持续优化专项招聘机制，推进事业单位人才资源均衡配置。进一步完善聘用合同制度，发挥聘用合同在人员聘用、待遇、考核、奖惩方面基础性作用。</w:t>
      </w: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深化科研人员创新创业机制改革。</w:t>
      </w:r>
      <w:r>
        <w:rPr>
          <w:rFonts w:hint="eastAsia" w:ascii="仿宋_GB2312" w:hAnsi="仿宋_GB2312" w:eastAsia="仿宋_GB2312" w:cs="仿宋_GB2312"/>
          <w:color w:val="auto"/>
          <w:sz w:val="32"/>
          <w:szCs w:val="32"/>
          <w:highlight w:val="none"/>
          <w:lang w:bidi="zh-TW"/>
        </w:rPr>
        <w:t>充分激发高校、科研院所等事业单位科研人员科技创新活力和科技成果转化创业热情，全面破解事业单位在编在岗科研人员申请离岗创办企业、在职创办企业和兼职创新过程中的制度束缚与政策障碍，全面取消职称、年龄、资历、科技成果形式、获奖层次、获得专利与否等限制事业单位科研人员投身“双创”的前置性限制。建立健全创新岗位科研人员合法权利及合理利益保障机制，完善绩效工资分配向创新岗位科研人员倾斜机制，实现事业单位科研人员创新创业从局部到整体、从现象到机制的跨越。</w:t>
      </w: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落实事业单位用人自主权。</w:t>
      </w:r>
      <w:r>
        <w:rPr>
          <w:rFonts w:hint="eastAsia" w:ascii="仿宋_GB2312" w:hAnsi="仿宋_GB2312" w:eastAsia="仿宋_GB2312" w:cs="仿宋_GB2312"/>
          <w:color w:val="auto"/>
          <w:sz w:val="32"/>
          <w:szCs w:val="32"/>
          <w:highlight w:val="none"/>
          <w:lang w:bidi="zh-TW"/>
        </w:rPr>
        <w:t>建立以章程管理为依托，推进自主设岗、自主招聘、自主考核、自主评审、自主聘用、自主分配等人事管理改革，赋予面向社会提供公益服务的事业单位更大自主权。</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87" w:name="_Toc14437"/>
      <w:bookmarkStart w:id="88" w:name="_Toc4425"/>
      <w:r>
        <w:rPr>
          <w:rFonts w:hint="eastAsia" w:ascii="Cambria" w:hAnsi="Cambria" w:eastAsia="楷体_GB2312"/>
          <w:color w:val="auto"/>
          <w:sz w:val="34"/>
          <w:highlight w:val="none"/>
        </w:rPr>
        <w:t>第二节  改革完善事业单位薪酬分配制度</w:t>
      </w:r>
      <w:bookmarkEnd w:id="87"/>
      <w:bookmarkEnd w:id="88"/>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完善事业单位工资制度。</w:t>
      </w:r>
      <w:r>
        <w:rPr>
          <w:rFonts w:hint="eastAsia" w:ascii="仿宋_GB2312" w:hAnsi="仿宋_GB2312" w:eastAsia="仿宋_GB2312" w:cs="仿宋_GB2312"/>
          <w:color w:val="auto"/>
          <w:sz w:val="32"/>
          <w:szCs w:val="32"/>
          <w:highlight w:val="none"/>
          <w:lang w:bidi="zh-TW"/>
        </w:rPr>
        <w:t>按照国家和省统一部署，及时调整事业单位工作人员基本工资标准。逐步建立完善事业单位工作人员福利制度。完善市直事业单位薪酬分配制度，确保工资收入分配合理有序。落实基本工资正常调整机制，合理确定绩效工资水平。分级分类优化事业单位绩效工资管理办法，探索建立符合事业单位行业特点的收入分配制度。建立联动增长机制，稳步提高事业单位工作人员工资收入水平。</w:t>
      </w: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探索灵活多样薪酬分配机制。</w:t>
      </w:r>
      <w:r>
        <w:rPr>
          <w:rFonts w:hint="eastAsia" w:ascii="仿宋_GB2312" w:hAnsi="仿宋_GB2312" w:eastAsia="仿宋_GB2312" w:cs="仿宋_GB2312"/>
          <w:color w:val="auto"/>
          <w:sz w:val="32"/>
          <w:szCs w:val="32"/>
          <w:highlight w:val="none"/>
          <w:lang w:bidi="zh-TW"/>
        </w:rPr>
        <w:t>全面落实以增加知识价值为导向的收入分配政策，充分尊重科研、技术、管理人才，充分体现不同人力资本含量的价值。加大对相关重点单位的分配倾斜力度，进一步完善高层次人才、急需紧缺人才分配激励机制，在国家政策允许的范围内，通过发挥自身优势，开展科技开发经营、技术服务等方式取得的合法收入，允许相关单位经批准按规定提取有关业务收入适当补充绩效工资，探索灵活多样薪酬分配机制，鼓励人才创新创造。</w:t>
      </w: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推进重点领域薪酬制度改革。</w:t>
      </w:r>
      <w:r>
        <w:rPr>
          <w:rFonts w:hint="eastAsia" w:ascii="仿宋_GB2312" w:hAnsi="仿宋_GB2312" w:eastAsia="仿宋_GB2312" w:cs="仿宋_GB2312"/>
          <w:color w:val="auto"/>
          <w:sz w:val="32"/>
          <w:szCs w:val="32"/>
          <w:highlight w:val="none"/>
          <w:lang w:bidi="zh-TW"/>
        </w:rPr>
        <w:t>按照“保基本、强激励”原则，探索推进高校、公立医院、科研机构等重点领域薪酬制度改革，支持加大自主分配力度。支持对符合规定条件的高层次人才或急需紧缺人才实行协议工资、年薪工资、项目工资等灵活多样分配方式。支持高校从承担社会培训业务收入中按规定提取补充绩效工资。全面推进公立医院薪酬制度改革，落实“两个允许”原则，完善公立医院绩效工资总量核定办法。鼓励科研机构按照市场化原则、增强知识价值，加大绩效工资与科研成果成效挂钩力度，完善科研人员职务科技成果转化等奖励规定及分配倾斜政策。</w:t>
      </w:r>
    </w:p>
    <w:p>
      <w:pPr>
        <w:keepNext w:val="0"/>
        <w:keepLines w:val="0"/>
        <w:pageBreakBefore w:val="0"/>
        <w:widowControl w:val="0"/>
        <w:kinsoku/>
        <w:wordWrap/>
        <w:overflowPunct/>
        <w:topLinePunct w:val="0"/>
        <w:autoSpaceDE/>
        <w:autoSpaceDN/>
        <w:bidi w:val="0"/>
        <w:adjustRightInd w:val="0"/>
        <w:snapToGrid w:val="0"/>
        <w:spacing w:line="680" w:lineRule="exact"/>
        <w:ind w:firstLine="643" w:firstLineChars="200"/>
        <w:textAlignment w:val="auto"/>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完善义务教育工资待遇政策。</w:t>
      </w:r>
      <w:r>
        <w:rPr>
          <w:rFonts w:hint="eastAsia" w:ascii="仿宋_GB2312" w:hAnsi="仿宋_GB2312" w:eastAsia="仿宋_GB2312" w:cs="仿宋_GB2312"/>
          <w:color w:val="auto"/>
          <w:sz w:val="32"/>
          <w:szCs w:val="32"/>
          <w:highlight w:val="none"/>
          <w:lang w:bidi="zh-TW"/>
        </w:rPr>
        <w:t>健全中小学教师待遇保障制度，依法保障教师权益和待遇，确保县域内中小学教师平均工资收入水平不低于或高于当地公务员平均工资收入水平。建立联动增长机制，及时调整中小学教师的绩效工资水平，确保国家及省关于中小学工资待遇政策要求落实到位。探索对重点建设、获得政府表彰奖励、绩效考核优秀、办学成效显著等学校的绩效奖励性工资核增机制，保障支撑推动基础教育高质量发展。完善绩效工资内部自主分配激励机制，健全绩效工资激励导向功能，推动完善学校绩效工资内部分配办法，激发教师队伍活力。探索建立学校领导班子绩效工资奖励办法。</w:t>
      </w:r>
    </w:p>
    <w:p>
      <w:pPr>
        <w:pStyle w:val="4"/>
        <w:keepNext w:val="0"/>
        <w:keepLines w:val="0"/>
        <w:pageBreakBefore w:val="0"/>
        <w:widowControl w:val="0"/>
        <w:kinsoku/>
        <w:wordWrap/>
        <w:overflowPunct/>
        <w:topLinePunct w:val="0"/>
        <w:autoSpaceDE/>
        <w:autoSpaceDN/>
        <w:bidi w:val="0"/>
        <w:adjustRightInd w:val="0"/>
        <w:snapToGrid w:val="0"/>
        <w:spacing w:before="120" w:beforeLines="50" w:after="120" w:afterLines="50" w:line="680" w:lineRule="exact"/>
        <w:ind w:left="200"/>
        <w:jc w:val="center"/>
        <w:textAlignment w:val="auto"/>
        <w:rPr>
          <w:rFonts w:ascii="Cambria" w:hAnsi="Cambria" w:eastAsia="楷体_GB2312"/>
          <w:color w:val="auto"/>
          <w:sz w:val="34"/>
          <w:highlight w:val="none"/>
        </w:rPr>
      </w:pPr>
      <w:bookmarkStart w:id="89" w:name="_Toc29406"/>
      <w:bookmarkStart w:id="90" w:name="_Toc28009"/>
      <w:r>
        <w:rPr>
          <w:rFonts w:hint="eastAsia" w:ascii="Cambria" w:hAnsi="Cambria" w:eastAsia="楷体_GB2312"/>
          <w:color w:val="auto"/>
          <w:sz w:val="34"/>
          <w:highlight w:val="none"/>
        </w:rPr>
        <w:t>第三节  完善事业单位人事管理服务</w:t>
      </w:r>
      <w:bookmarkEnd w:id="89"/>
      <w:bookmarkEnd w:id="90"/>
    </w:p>
    <w:p>
      <w:pPr>
        <w:keepNext w:val="0"/>
        <w:keepLines w:val="0"/>
        <w:pageBreakBefore w:val="0"/>
        <w:widowControl w:val="0"/>
        <w:kinsoku/>
        <w:wordWrap/>
        <w:overflowPunct/>
        <w:topLinePunct w:val="0"/>
        <w:autoSpaceDE/>
        <w:autoSpaceDN/>
        <w:bidi w:val="0"/>
        <w:adjustRightInd w:val="0"/>
        <w:snapToGrid w:val="0"/>
        <w:spacing w:line="680" w:lineRule="exact"/>
        <w:ind w:firstLine="643" w:firstLineChars="200"/>
        <w:textAlignment w:val="auto"/>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加强人事管理服务监督。</w:t>
      </w:r>
      <w:r>
        <w:rPr>
          <w:rFonts w:hint="eastAsia" w:ascii="仿宋_GB2312" w:hAnsi="仿宋_GB2312" w:eastAsia="仿宋_GB2312" w:cs="仿宋_GB2312"/>
          <w:color w:val="auto"/>
          <w:sz w:val="32"/>
          <w:szCs w:val="32"/>
          <w:highlight w:val="none"/>
          <w:lang w:bidi="zh-TW"/>
        </w:rPr>
        <w:t>明确事业单位人事管理监管主体责任，提升人事争议案件仲裁效能，健全调查处理机制。完善事业单位人事备案管理，开展事业单位人事执法检查，及时发现和纠正问题。推动事业单位建立人事监督员制度，定期开展人事法规政策执行民主评议。强化新闻媒介和社会舆论监督。强化事业单位人事管理信息数据预警功能建设，实现全方位、高效动态监管。</w:t>
      </w:r>
    </w:p>
    <w:p>
      <w:pPr>
        <w:keepNext w:val="0"/>
        <w:keepLines w:val="0"/>
        <w:pageBreakBefore w:val="0"/>
        <w:widowControl w:val="0"/>
        <w:kinsoku/>
        <w:wordWrap/>
        <w:overflowPunct/>
        <w:topLinePunct w:val="0"/>
        <w:autoSpaceDE/>
        <w:autoSpaceDN/>
        <w:bidi w:val="0"/>
        <w:adjustRightInd w:val="0"/>
        <w:snapToGrid w:val="0"/>
        <w:spacing w:line="680" w:lineRule="exact"/>
        <w:ind w:firstLine="643" w:firstLineChars="200"/>
        <w:textAlignment w:val="auto"/>
        <w:rPr>
          <w:rFonts w:hint="eastAsia"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提高人事管理服务信息化水平。</w:t>
      </w:r>
      <w:r>
        <w:rPr>
          <w:rFonts w:hint="eastAsia" w:ascii="仿宋_GB2312" w:hAnsi="仿宋_GB2312" w:eastAsia="仿宋_GB2312" w:cs="仿宋_GB2312"/>
          <w:color w:val="auto"/>
          <w:sz w:val="32"/>
          <w:szCs w:val="32"/>
          <w:highlight w:val="none"/>
          <w:lang w:bidi="zh-TW"/>
        </w:rPr>
        <w:t>配合省开发建设全省事业单位人事管理系统，强化岗位管理、岗位聘用、公开招聘、增减员、聘用合同管理、奖励处分、人员信息管理等功能应用。积极推进事业单位工资管理信息化建设。</w:t>
      </w:r>
    </w:p>
    <w:p>
      <w:pPr>
        <w:pStyle w:val="8"/>
        <w:rPr>
          <w:color w:val="auto"/>
          <w:highlight w:val="none"/>
        </w:rPr>
      </w:pPr>
    </w:p>
    <w:p>
      <w:pPr>
        <w:pStyle w:val="9"/>
        <w:rPr>
          <w:color w:val="auto"/>
          <w:highlight w:val="none"/>
        </w:rPr>
      </w:pPr>
    </w:p>
    <w:p>
      <w:pPr>
        <w:pStyle w:val="6"/>
        <w:rPr>
          <w:color w:val="auto"/>
          <w:highlight w:val="none"/>
        </w:rPr>
      </w:pPr>
    </w:p>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专栏1</w:t>
            </w:r>
            <w:r>
              <w:rPr>
                <w:rFonts w:hint="eastAsia" w:ascii="楷体_GB2312" w:hAnsi="宋体" w:eastAsia="楷体_GB2312" w:cs="宋体"/>
                <w:b/>
                <w:color w:val="auto"/>
                <w:sz w:val="32"/>
                <w:szCs w:val="32"/>
                <w:highlight w:val="none"/>
                <w:lang w:val="en-US" w:eastAsia="zh-CN" w:bidi="zh-TW"/>
              </w:rPr>
              <w:t>4</w:t>
            </w:r>
            <w:r>
              <w:rPr>
                <w:rFonts w:hint="eastAsia" w:ascii="楷体_GB2312" w:hAnsi="宋体" w:eastAsia="楷体_GB2312" w:cs="宋体"/>
                <w:b/>
                <w:color w:val="auto"/>
                <w:sz w:val="32"/>
                <w:szCs w:val="32"/>
                <w:highlight w:val="none"/>
                <w:lang w:bidi="zh-TW"/>
              </w:rPr>
              <w:t xml:space="preserve">  实施事业单位人事管理“一件事”工程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widowControl/>
              <w:adjustRightInd w:val="0"/>
              <w:snapToGrid w:val="0"/>
              <w:spacing w:line="360" w:lineRule="auto"/>
              <w:ind w:firstLine="560" w:firstLineChars="200"/>
              <w:jc w:val="left"/>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梳理整合公开招聘、人员调入、人员调出、解除聘用合同、开除、退休等7项业务所关联的编制实名、养老保险、医疗保险、工伤保险、公积金和失业保险等办理事项，制定统一的“一件事”服务标准；</w:t>
            </w:r>
            <w:r>
              <w:rPr>
                <w:rFonts w:hint="eastAsia" w:ascii="楷体_GB2312" w:hAnsi="宋体" w:eastAsia="楷体_GB2312" w:cs="宋体"/>
                <w:color w:val="auto"/>
                <w:sz w:val="28"/>
                <w:szCs w:val="28"/>
                <w:highlight w:val="none"/>
                <w:lang w:val="en-US" w:eastAsia="zh-CN" w:bidi="zh-TW"/>
              </w:rPr>
              <w:t>配合并应用省</w:t>
            </w:r>
            <w:r>
              <w:rPr>
                <w:rFonts w:hint="eastAsia" w:ascii="楷体_GB2312" w:hAnsi="宋体" w:eastAsia="楷体_GB2312" w:cs="宋体"/>
                <w:color w:val="auto"/>
                <w:sz w:val="28"/>
                <w:szCs w:val="28"/>
                <w:highlight w:val="none"/>
                <w:lang w:bidi="zh-TW"/>
              </w:rPr>
              <w:t>统一开发的“广东省事业单位人事管理‘一件事’服务平台”，实现一次申报、并联办理、分类反馈，塑造人事管理业务全周期、一体化经办新模式。</w:t>
            </w:r>
          </w:p>
        </w:tc>
      </w:tr>
    </w:tbl>
    <w:p>
      <w:pPr>
        <w:adjustRightInd w:val="0"/>
        <w:snapToGrid w:val="0"/>
        <w:spacing w:line="360" w:lineRule="auto"/>
        <w:rPr>
          <w:rFonts w:ascii="仿宋_GB2312" w:hAnsi="仿宋_GB2312" w:eastAsia="仿宋_GB2312" w:cs="仿宋_GB2312"/>
          <w:color w:val="auto"/>
          <w:sz w:val="32"/>
          <w:szCs w:val="32"/>
          <w:highlight w:val="none"/>
          <w:lang w:bidi="zh-TW"/>
        </w:rPr>
      </w:pP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加强人事考试基础建设。</w:t>
      </w:r>
      <w:r>
        <w:rPr>
          <w:rFonts w:hint="eastAsia" w:ascii="仿宋_GB2312" w:hAnsi="仿宋_GB2312" w:eastAsia="仿宋_GB2312" w:cs="仿宋_GB2312"/>
          <w:color w:val="auto"/>
          <w:sz w:val="32"/>
          <w:szCs w:val="32"/>
          <w:highlight w:val="none"/>
          <w:lang w:bidi="zh-TW"/>
        </w:rPr>
        <w:t>推进可视化监控指挥系统建设，推广计算机无纸化考试，探索远程在线考试。完善市级人事考试基地建设，强化标准化考场和考试机房建设。完善人事考试风险防控网络体系，加强内部管控和外部联防，不断夯实人事考试安全基础。</w:t>
      </w: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专栏1</w:t>
            </w:r>
            <w:r>
              <w:rPr>
                <w:rFonts w:hint="eastAsia" w:ascii="楷体_GB2312" w:hAnsi="宋体" w:eastAsia="楷体_GB2312" w:cs="宋体"/>
                <w:b/>
                <w:color w:val="auto"/>
                <w:sz w:val="32"/>
                <w:szCs w:val="32"/>
                <w:highlight w:val="none"/>
                <w:lang w:val="en-US" w:eastAsia="zh-CN" w:bidi="zh-TW"/>
              </w:rPr>
              <w:t>5</w:t>
            </w:r>
            <w:r>
              <w:rPr>
                <w:rFonts w:hint="eastAsia" w:ascii="楷体_GB2312" w:hAnsi="宋体" w:eastAsia="楷体_GB2312" w:cs="宋体"/>
                <w:b/>
                <w:color w:val="auto"/>
                <w:sz w:val="32"/>
                <w:szCs w:val="32"/>
                <w:highlight w:val="none"/>
                <w:lang w:bidi="zh-TW"/>
              </w:rPr>
              <w:t xml:space="preserve">  组织开展人事考试</w:t>
            </w:r>
            <w:r>
              <w:rPr>
                <w:rFonts w:hint="eastAsia" w:ascii="楷体_GB2312" w:hAnsi="仿宋_GB2312" w:eastAsia="楷体_GB2312" w:cs="仿宋_GB2312"/>
                <w:b/>
                <w:color w:val="auto"/>
                <w:sz w:val="32"/>
                <w:szCs w:val="32"/>
                <w:highlight w:val="none"/>
                <w:lang w:bidi="zh-TW"/>
              </w:rPr>
              <w:t>无纸化机考模式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widowControl/>
              <w:adjustRightInd w:val="0"/>
              <w:snapToGrid w:val="0"/>
              <w:spacing w:line="360" w:lineRule="auto"/>
              <w:ind w:firstLine="560" w:firstLineChars="200"/>
              <w:jc w:val="left"/>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按全省要求，在二级造价工程师职业资格试点考试中采用常态化机考模式，以计算机作答的方式组织考试。在我省自行组织实施的各类人事考试中，积极承办和探索实行机考模式，进一步扩大机考应用范围。积极推进标准化考场和机考考场建设，进一步加大投入，强化软硬件保障，扩大应用领域。</w:t>
            </w:r>
          </w:p>
        </w:tc>
      </w:tr>
    </w:tbl>
    <w:p>
      <w:pPr>
        <w:pStyle w:val="3"/>
        <w:adjustRightInd w:val="0"/>
        <w:snapToGrid w:val="0"/>
        <w:spacing w:before="120" w:beforeLines="50" w:after="120" w:afterLines="50" w:line="360" w:lineRule="auto"/>
        <w:jc w:val="center"/>
        <w:rPr>
          <w:rFonts w:hint="eastAsia" w:ascii="Calibri" w:hAnsi="Calibri" w:eastAsia="黑体"/>
          <w:color w:val="auto"/>
          <w:sz w:val="44"/>
          <w:szCs w:val="44"/>
          <w:highlight w:val="none"/>
          <w:lang w:val="en-US"/>
        </w:rPr>
      </w:pPr>
    </w:p>
    <w:p>
      <w:pPr>
        <w:rPr>
          <w:rFonts w:hint="eastAsia" w:ascii="Calibri" w:hAnsi="Calibri" w:eastAsia="黑体"/>
          <w:color w:val="auto"/>
          <w:sz w:val="44"/>
          <w:szCs w:val="44"/>
          <w:highlight w:val="none"/>
          <w:lang w:val="en-US"/>
        </w:rPr>
      </w:pPr>
    </w:p>
    <w:p>
      <w:pPr>
        <w:pStyle w:val="8"/>
        <w:rPr>
          <w:rFonts w:hint="eastAsia"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b w:val="0"/>
          <w:bCs/>
          <w:color w:val="auto"/>
          <w:sz w:val="36"/>
          <w:szCs w:val="36"/>
          <w:highlight w:val="none"/>
          <w:lang w:val="en-US"/>
        </w:rPr>
      </w:pPr>
      <w:bookmarkStart w:id="91" w:name="_Toc9335"/>
      <w:bookmarkStart w:id="92" w:name="_Toc27430"/>
      <w:r>
        <w:rPr>
          <w:rFonts w:hint="eastAsia" w:ascii="Calibri" w:hAnsi="Calibri" w:eastAsia="黑体"/>
          <w:b w:val="0"/>
          <w:bCs/>
          <w:color w:val="auto"/>
          <w:sz w:val="36"/>
          <w:szCs w:val="36"/>
          <w:highlight w:val="none"/>
          <w:lang w:val="en-US"/>
        </w:rPr>
        <w:t>第九章  构建新型和谐劳动关</w:t>
      </w:r>
      <w:bookmarkEnd w:id="83"/>
      <w:r>
        <w:rPr>
          <w:rFonts w:hint="eastAsia" w:ascii="Calibri" w:hAnsi="Calibri" w:eastAsia="黑体"/>
          <w:b w:val="0"/>
          <w:bCs/>
          <w:color w:val="auto"/>
          <w:sz w:val="36"/>
          <w:szCs w:val="36"/>
          <w:highlight w:val="none"/>
          <w:lang w:val="en-US"/>
        </w:rPr>
        <w:t>系</w:t>
      </w:r>
      <w:bookmarkEnd w:id="91"/>
      <w:bookmarkEnd w:id="92"/>
    </w:p>
    <w:p>
      <w:pPr>
        <w:adjustRightInd w:val="0"/>
        <w:spacing w:line="360" w:lineRule="auto"/>
        <w:ind w:firstLine="640" w:firstLineChars="200"/>
        <w:rPr>
          <w:rFonts w:ascii="仿宋_GB2312" w:eastAsia="仿宋_GB2312"/>
          <w:color w:val="auto"/>
          <w:sz w:val="32"/>
          <w:szCs w:val="32"/>
          <w:highlight w:val="none"/>
        </w:rPr>
      </w:pPr>
      <w:bookmarkStart w:id="93" w:name="_Toc23013"/>
      <w:r>
        <w:rPr>
          <w:rFonts w:hint="eastAsia" w:ascii="仿宋_GB2312" w:eastAsia="仿宋_GB2312"/>
          <w:color w:val="auto"/>
          <w:sz w:val="32"/>
          <w:szCs w:val="32"/>
          <w:highlight w:val="none"/>
        </w:rPr>
        <w:t>坚持促进企业发展、维护职工权益，进一步完善党委领导、政府负责、社会协同、企业和职工参与、法治保障的工作体制和源头治理、动态处理、应急处置相结合的工作机制，大力提升劳动关系治理能力和治理水平，建立规范有序、公正合理、互利共赢、和谐稳定的新型劳动关系。</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94" w:name="_Toc368"/>
      <w:bookmarkStart w:id="95" w:name="_Toc4583"/>
      <w:bookmarkStart w:id="96" w:name="_Toc2090"/>
      <w:bookmarkStart w:id="97" w:name="_Toc2006"/>
      <w:bookmarkStart w:id="98" w:name="_Toc17740"/>
      <w:bookmarkStart w:id="99" w:name="_Toc3387"/>
      <w:r>
        <w:rPr>
          <w:rFonts w:hint="eastAsia" w:ascii="Cambria" w:hAnsi="Cambria" w:eastAsia="楷体_GB2312"/>
          <w:color w:val="auto"/>
          <w:sz w:val="34"/>
          <w:highlight w:val="none"/>
        </w:rPr>
        <w:t>第一节  健全劳动关系协调机制</w:t>
      </w:r>
      <w:bookmarkEnd w:id="94"/>
      <w:bookmarkEnd w:id="95"/>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加强劳动合同管理。</w:t>
      </w:r>
      <w:r>
        <w:rPr>
          <w:rFonts w:hint="eastAsia" w:ascii="仿宋_GB2312" w:eastAsia="仿宋_GB2312"/>
          <w:color w:val="auto"/>
          <w:sz w:val="32"/>
          <w:szCs w:val="32"/>
          <w:highlight w:val="none"/>
        </w:rPr>
        <w:t>全面深入推行劳动合同制度，完善劳动用工备案制度，巩固大中型企业劳动合同签订率，提高小微企业和农民工劳动合同签订率，改善劳动合同履行质量。开发劳动合同实名制管理信息系统，建立劳动合同实名制管理制度，实现劳动合同签订全员覆盖。进一步规范劳务派遣经营行政许可，优化完善劳务派遣管理系统，实现全程网上办理行政许可和劳务派遣用工动态监管。</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加强劳动关系形势分析和风险监测预警。</w:t>
      </w:r>
      <w:r>
        <w:rPr>
          <w:rFonts w:hint="eastAsia" w:ascii="仿宋_GB2312" w:eastAsia="仿宋_GB2312"/>
          <w:color w:val="auto"/>
          <w:sz w:val="32"/>
          <w:szCs w:val="32"/>
          <w:highlight w:val="none"/>
        </w:rPr>
        <w:t>分析研判劳动关系形势和发展趋势，特别是对劳资矛盾高发的区域、行业予以超前预测发现，由事后处置前移到事先防控，及时解决苗头性、倾向性问题。做好经济结构调整过程中劳动关系处理工作，完善企业经济性裁员监测制度，定期监测企业裁员情况，指导企业依法制定和实施裁员方案，依法支付被裁减人员工资、经济补偿等，妥善处置劳资纠纷,完善劳动关系情况月报告及形势分析制度，推动建立劳动关系风险监测预警制度，加大劳动关系领域重大舆情监测和应对。</w:t>
      </w:r>
    </w:p>
    <w:p>
      <w:pPr>
        <w:adjustRightInd w:val="0"/>
        <w:snapToGri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健全新型劳动关系协调机制。</w:t>
      </w:r>
      <w:r>
        <w:rPr>
          <w:rFonts w:hint="eastAsia" w:ascii="仿宋_GB2312" w:eastAsia="仿宋_GB2312"/>
          <w:color w:val="auto"/>
          <w:sz w:val="32"/>
          <w:szCs w:val="32"/>
          <w:highlight w:val="none"/>
        </w:rPr>
        <w:t>推行行业性、区域性集体协商签订集体合同，推动企业建立健全民主管理制度，提高企业和职工协商能力和质量，增强集体合同的实效性和履约率。完善协调劳动关系三方机制，加强和创新三方机制组织建设，积极推动工业园区、镇（街道）和产业系统建立三方机制。改善用工环境，加强人文关怀，构建具有汕尾特色的用工文化。</w:t>
      </w:r>
    </w:p>
    <w:p>
      <w:pPr>
        <w:adjustRightInd w:val="0"/>
        <w:snapToGrid w:val="0"/>
        <w:spacing w:line="360" w:lineRule="auto"/>
        <w:ind w:firstLine="640" w:firstLineChars="200"/>
        <w:rPr>
          <w:rFonts w:ascii="仿宋_GB2312" w:eastAsia="仿宋_GB2312"/>
          <w:color w:val="auto"/>
          <w:sz w:val="32"/>
          <w:szCs w:val="32"/>
          <w:highlight w:val="none"/>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专栏1</w:t>
            </w:r>
            <w:r>
              <w:rPr>
                <w:rFonts w:hint="eastAsia" w:ascii="楷体_GB2312" w:hAnsi="宋体" w:eastAsia="楷体_GB2312" w:cs="宋体"/>
                <w:b/>
                <w:color w:val="auto"/>
                <w:sz w:val="32"/>
                <w:szCs w:val="32"/>
                <w:highlight w:val="none"/>
                <w:lang w:val="en-US" w:eastAsia="zh-CN" w:bidi="zh-TW"/>
              </w:rPr>
              <w:t>6</w:t>
            </w:r>
            <w:r>
              <w:rPr>
                <w:rFonts w:hint="eastAsia" w:ascii="楷体_GB2312" w:hAnsi="宋体" w:eastAsia="楷体_GB2312" w:cs="宋体"/>
                <w:b/>
                <w:color w:val="auto"/>
                <w:sz w:val="32"/>
                <w:szCs w:val="32"/>
                <w:highlight w:val="none"/>
                <w:lang w:bidi="zh-TW"/>
              </w:rPr>
              <w:t xml:space="preserve">  </w:t>
            </w:r>
            <w:r>
              <w:rPr>
                <w:rFonts w:hint="eastAsia" w:ascii="楷体_GB2312" w:hAnsi="楷体_GB2312" w:eastAsia="楷体_GB2312" w:cs="楷体_GB2312"/>
                <w:b/>
                <w:bCs/>
                <w:color w:val="auto"/>
                <w:sz w:val="32"/>
                <w:szCs w:val="32"/>
                <w:highlight w:val="none"/>
              </w:rPr>
              <w:t>劳动关系“和谐同行”能力提升行动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adjustRightInd w:val="0"/>
              <w:snapToGrid w:val="0"/>
              <w:spacing w:line="360" w:lineRule="auto"/>
              <w:ind w:firstLine="562" w:firstLineChars="200"/>
              <w:jc w:val="left"/>
              <w:rPr>
                <w:rFonts w:ascii="楷体_GB2312" w:hAnsi="宋体" w:eastAsia="楷体_GB2312" w:cs="宋体"/>
                <w:color w:val="auto"/>
                <w:sz w:val="28"/>
                <w:szCs w:val="28"/>
                <w:highlight w:val="none"/>
                <w:lang w:bidi="zh-TW"/>
              </w:rPr>
            </w:pPr>
            <w:r>
              <w:rPr>
                <w:rFonts w:ascii="楷体_GB2312" w:hAnsi="宋体" w:eastAsia="楷体_GB2312" w:cs="宋体"/>
                <w:b/>
                <w:bCs/>
                <w:color w:val="auto"/>
                <w:sz w:val="28"/>
                <w:szCs w:val="28"/>
                <w:highlight w:val="none"/>
                <w:lang w:bidi="zh-TW"/>
              </w:rPr>
              <w:t>1.</w:t>
            </w:r>
            <w:r>
              <w:rPr>
                <w:rFonts w:hint="eastAsia" w:ascii="楷体_GB2312" w:hAnsi="宋体" w:eastAsia="楷体_GB2312" w:cs="宋体"/>
                <w:b/>
                <w:bCs/>
                <w:color w:val="auto"/>
                <w:sz w:val="28"/>
                <w:szCs w:val="28"/>
                <w:highlight w:val="none"/>
                <w:lang w:bidi="zh-TW"/>
              </w:rPr>
              <w:t>和谐劳动关系百千万计划</w:t>
            </w:r>
            <w:r>
              <w:rPr>
                <w:rFonts w:ascii="楷体_GB2312" w:hAnsi="宋体" w:eastAsia="楷体_GB2312" w:cs="宋体"/>
                <w:b/>
                <w:bCs/>
                <w:color w:val="auto"/>
                <w:sz w:val="28"/>
                <w:szCs w:val="28"/>
                <w:highlight w:val="none"/>
                <w:lang w:bidi="zh-TW"/>
              </w:rPr>
              <w:t>。</w:t>
            </w:r>
            <w:r>
              <w:rPr>
                <w:rFonts w:hint="eastAsia" w:ascii="楷体_GB2312" w:hAnsi="宋体" w:eastAsia="楷体_GB2312" w:cs="宋体"/>
                <w:color w:val="auto"/>
                <w:sz w:val="28"/>
                <w:szCs w:val="28"/>
                <w:highlight w:val="none"/>
                <w:lang w:bidi="zh-TW"/>
              </w:rPr>
              <w:t>配合省厅打造百名金牌劳动关系协调员、百家金牌协调劳动关系社会组织、百家金牌劳动人事争议调解组织，培育千户和谐企业，服务万户新企业用工。</w:t>
            </w:r>
          </w:p>
          <w:p>
            <w:pPr>
              <w:adjustRightInd w:val="0"/>
              <w:snapToGrid w:val="0"/>
              <w:spacing w:line="360" w:lineRule="auto"/>
              <w:ind w:firstLine="562" w:firstLineChars="200"/>
              <w:jc w:val="left"/>
              <w:rPr>
                <w:rFonts w:ascii="楷体_GB2312" w:hAnsi="宋体" w:eastAsia="楷体_GB2312" w:cs="宋体"/>
                <w:color w:val="auto"/>
                <w:sz w:val="28"/>
                <w:szCs w:val="28"/>
                <w:highlight w:val="none"/>
                <w:lang w:bidi="zh-TW"/>
              </w:rPr>
            </w:pPr>
            <w:r>
              <w:rPr>
                <w:rFonts w:hint="eastAsia" w:ascii="楷体_GB2312" w:hAnsi="宋体" w:eastAsia="楷体_GB2312" w:cs="宋体"/>
                <w:b/>
                <w:bCs/>
                <w:color w:val="auto"/>
                <w:sz w:val="28"/>
                <w:szCs w:val="28"/>
                <w:highlight w:val="none"/>
                <w:lang w:bidi="zh-TW"/>
              </w:rPr>
              <w:t>2</w:t>
            </w:r>
            <w:r>
              <w:rPr>
                <w:rFonts w:ascii="楷体_GB2312" w:hAnsi="宋体" w:eastAsia="楷体_GB2312" w:cs="宋体"/>
                <w:b/>
                <w:bCs/>
                <w:color w:val="auto"/>
                <w:sz w:val="28"/>
                <w:szCs w:val="28"/>
                <w:highlight w:val="none"/>
                <w:lang w:bidi="zh-TW"/>
              </w:rPr>
              <w:t>.重点企业用工指导计划。</w:t>
            </w:r>
            <w:r>
              <w:rPr>
                <w:rFonts w:ascii="楷体_GB2312" w:hAnsi="宋体" w:eastAsia="楷体_GB2312" w:cs="宋体"/>
                <w:color w:val="auto"/>
                <w:sz w:val="28"/>
                <w:szCs w:val="28"/>
                <w:highlight w:val="none"/>
                <w:lang w:bidi="zh-TW"/>
              </w:rPr>
              <w:t>以用工规模较大、生产经营存在较大困难的企业为重点，指导企业采取多种措施稳定工作岗位，发挥集体协商协调劳动关系重要作用，引导企业与职工共渡难关，尽量不裁员、少裁员，稳定劳动关系。</w:t>
            </w:r>
          </w:p>
          <w:p>
            <w:pPr>
              <w:adjustRightInd w:val="0"/>
              <w:snapToGrid w:val="0"/>
              <w:spacing w:line="360" w:lineRule="auto"/>
              <w:ind w:firstLine="562" w:firstLineChars="200"/>
              <w:jc w:val="left"/>
              <w:rPr>
                <w:rFonts w:ascii="楷体_GB2312" w:hAnsi="宋体" w:eastAsia="楷体_GB2312" w:cs="宋体"/>
                <w:color w:val="auto"/>
                <w:sz w:val="28"/>
                <w:szCs w:val="28"/>
                <w:highlight w:val="none"/>
                <w:lang w:bidi="zh-TW"/>
              </w:rPr>
            </w:pPr>
            <w:r>
              <w:rPr>
                <w:rFonts w:hint="eastAsia" w:ascii="楷体_GB2312" w:hAnsi="宋体" w:eastAsia="楷体_GB2312" w:cs="宋体"/>
                <w:b/>
                <w:bCs/>
                <w:color w:val="auto"/>
                <w:sz w:val="28"/>
                <w:szCs w:val="28"/>
                <w:highlight w:val="none"/>
                <w:lang w:bidi="zh-TW"/>
              </w:rPr>
              <w:t>3.实施电子劳动合同标准工程。</w:t>
            </w:r>
            <w:r>
              <w:rPr>
                <w:rFonts w:hint="eastAsia" w:ascii="楷体_GB2312" w:hAnsi="宋体" w:eastAsia="楷体_GB2312" w:cs="宋体"/>
                <w:color w:val="auto"/>
                <w:sz w:val="28"/>
                <w:szCs w:val="28"/>
                <w:highlight w:val="none"/>
                <w:lang w:bidi="zh-TW"/>
              </w:rPr>
              <w:t>根据省电子劳动合同指引，选取部分企业探索开展电子劳动合同试点，配合建立全省电子劳动合同信息系统，推动劳动合同签订全覆盖，强化劳动关系源头治理，提升劳动关系治理效能和智慧化、信息化水平。</w:t>
            </w:r>
          </w:p>
        </w:tc>
      </w:tr>
    </w:tbl>
    <w:p>
      <w:pPr>
        <w:adjustRightInd w:val="0"/>
        <w:snapToGri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打造和谐劳动关系试验区。</w:t>
      </w:r>
      <w:r>
        <w:rPr>
          <w:rFonts w:hint="eastAsia" w:ascii="仿宋_GB2312" w:eastAsia="仿宋_GB2312"/>
          <w:color w:val="auto"/>
          <w:sz w:val="32"/>
          <w:szCs w:val="32"/>
          <w:highlight w:val="none"/>
        </w:rPr>
        <w:t>紧紧抓住粤港澳大湾区建设和支持深圳建设中国特色社会主义先行示范区“双区驱动”，推进劳动关系治理体制机制和模式创新，打造立得住、叫得响的劳动关系品牌，示范带动全市和谐劳动关系示范区建设。</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100" w:name="_Toc6853"/>
      <w:bookmarkStart w:id="101" w:name="_Toc30406"/>
      <w:r>
        <w:rPr>
          <w:rFonts w:hint="eastAsia" w:ascii="Cambria" w:hAnsi="Cambria" w:eastAsia="楷体_GB2312"/>
          <w:color w:val="auto"/>
          <w:sz w:val="34"/>
          <w:highlight w:val="none"/>
        </w:rPr>
        <w:t>第二节  深化企业工资收入分配制度改革</w:t>
      </w:r>
      <w:bookmarkEnd w:id="100"/>
      <w:bookmarkEnd w:id="101"/>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完善工资决定和正常增长机制。</w:t>
      </w:r>
      <w:r>
        <w:rPr>
          <w:rFonts w:hint="eastAsia" w:ascii="仿宋_GB2312" w:eastAsia="仿宋_GB2312"/>
          <w:color w:val="auto"/>
          <w:sz w:val="32"/>
          <w:szCs w:val="32"/>
          <w:highlight w:val="none"/>
        </w:rPr>
        <w:t>健全劳动、知识、技术、管理等要素按贡献决定报酬的机制，提高劳动报酬在初次分配中的比重，着力增加一线劳动者劳动报酬，推动更多低收入者进入中等收入行列，合理调节收入分配差距。完善最低工资保障制度，实施最低工资标准动态评估，健全与经济发展相适应的最低工资标准动态调整机制。</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完善工资集体协商制度。</w:t>
      </w:r>
      <w:r>
        <w:rPr>
          <w:rFonts w:hint="eastAsia" w:ascii="仿宋_GB2312" w:eastAsia="仿宋_GB2312"/>
          <w:color w:val="auto"/>
          <w:sz w:val="32"/>
          <w:szCs w:val="32"/>
          <w:highlight w:val="none"/>
        </w:rPr>
        <w:t>以非公有制企业为重点，完善工资集体协商制度。全面贯彻落实以增加知识价值为导向的收入分配政策，推动企业在分配中体现技术、知识、管理、数据等要素的价值，鼓励企业在创新创业中创造高收入岗位。</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完善工资宏观调控指导机制。</w:t>
      </w:r>
      <w:r>
        <w:rPr>
          <w:rFonts w:hint="eastAsia" w:ascii="仿宋_GB2312" w:eastAsia="仿宋_GB2312"/>
          <w:color w:val="auto"/>
          <w:sz w:val="32"/>
          <w:szCs w:val="32"/>
          <w:highlight w:val="none"/>
        </w:rPr>
        <w:t>健全工资指导线、企业薪酬调查和信息发布制度，适时发布企业工资指导线、职业薪酬信息和行业人工成本信息。探索建立工资收入分配大数据库，为企业合理确定工资水平提供更具针对性引导。开展企业人工成本监测，及时跟踪评估对企业生产经营的影响。积极开展以先进制造业、战略性新兴产业、现代服务业为重点的薪酬调查，为汕尾经济发展、人才流动提供支持。</w:t>
      </w:r>
    </w:p>
    <w:tbl>
      <w:tblPr>
        <w:tblStyle w:val="15"/>
        <w:tblpPr w:leftFromText="180" w:rightFromText="180" w:vertAnchor="text" w:horzAnchor="page" w:tblpX="1682" w:tblpY="614"/>
        <w:tblOverlap w:val="never"/>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专栏1</w:t>
            </w:r>
            <w:r>
              <w:rPr>
                <w:rFonts w:hint="eastAsia" w:ascii="楷体_GB2312" w:hAnsi="宋体" w:eastAsia="楷体_GB2312" w:cs="宋体"/>
                <w:b/>
                <w:color w:val="auto"/>
                <w:sz w:val="32"/>
                <w:szCs w:val="32"/>
                <w:highlight w:val="none"/>
                <w:lang w:val="en-US" w:eastAsia="zh-CN" w:bidi="zh-TW"/>
              </w:rPr>
              <w:t>7</w:t>
            </w:r>
            <w:r>
              <w:rPr>
                <w:rFonts w:hint="eastAsia" w:ascii="楷体_GB2312" w:hAnsi="宋体" w:eastAsia="楷体_GB2312" w:cs="宋体"/>
                <w:b/>
                <w:color w:val="auto"/>
                <w:sz w:val="32"/>
                <w:szCs w:val="32"/>
                <w:highlight w:val="none"/>
                <w:lang w:bidi="zh-TW"/>
              </w:rPr>
              <w:t xml:space="preserve">  企业薪酬指引计划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adjustRightInd w:val="0"/>
              <w:snapToGrid w:val="0"/>
              <w:spacing w:line="360" w:lineRule="auto"/>
              <w:ind w:firstLine="560" w:firstLineChars="200"/>
              <w:jc w:val="left"/>
              <w:rPr>
                <w:rFonts w:ascii="楷体_GB2312" w:hAnsi="宋体" w:eastAsia="楷体_GB2312" w:cs="宋体"/>
                <w:color w:val="auto"/>
                <w:sz w:val="28"/>
                <w:szCs w:val="28"/>
                <w:highlight w:val="none"/>
                <w:lang w:bidi="zh-TW"/>
              </w:rPr>
            </w:pPr>
            <w:r>
              <w:rPr>
                <w:rFonts w:ascii="楷体_GB2312" w:hAnsi="宋体" w:eastAsia="楷体_GB2312" w:cs="宋体"/>
                <w:color w:val="auto"/>
                <w:sz w:val="28"/>
                <w:szCs w:val="28"/>
                <w:highlight w:val="none"/>
                <w:lang w:bidi="zh-TW"/>
              </w:rPr>
              <w:t>健全</w:t>
            </w:r>
            <w:r>
              <w:rPr>
                <w:rFonts w:hint="eastAsia" w:ascii="楷体_GB2312" w:hAnsi="宋体" w:eastAsia="楷体_GB2312" w:cs="宋体"/>
                <w:color w:val="auto"/>
                <w:sz w:val="28"/>
                <w:szCs w:val="28"/>
                <w:highlight w:val="none"/>
                <w:lang w:bidi="zh-TW"/>
              </w:rPr>
              <w:t>人力资源市场工资价位信息体系，开展以“粤菜师傅”“广东技工”“南粤家政”为主体的重点行业、重点工程专项薪酬水平调查，加强技能人才薪酬分配指引，形成公开发布、定向反馈与针对性指导相结合的信息服务体系，优化企业工资收入分配指导服务。完善国有企业市场化薪酬分配机制，建立健全按业绩贡献决定薪酬的有效激励约束机制。</w:t>
            </w:r>
          </w:p>
        </w:tc>
      </w:tr>
    </w:tbl>
    <w:p>
      <w:pPr>
        <w:adjustRightInd w:val="0"/>
        <w:spacing w:line="360" w:lineRule="auto"/>
        <w:ind w:firstLine="640" w:firstLineChars="200"/>
        <w:rPr>
          <w:rFonts w:ascii="仿宋_GB2312" w:eastAsia="仿宋_GB2312"/>
          <w:color w:val="auto"/>
          <w:sz w:val="32"/>
          <w:szCs w:val="32"/>
          <w:highlight w:val="none"/>
        </w:rPr>
      </w:pPr>
    </w:p>
    <w:p>
      <w:pPr>
        <w:pStyle w:val="4"/>
        <w:bidi w:val="0"/>
        <w:jc w:val="center"/>
        <w:rPr>
          <w:rFonts w:hint="eastAsia" w:ascii="楷体_GB2312" w:hAnsi="楷体_GB2312" w:eastAsia="楷体_GB2312" w:cs="楷体_GB2312"/>
        </w:rPr>
      </w:pPr>
      <w:bookmarkStart w:id="102" w:name="_Toc17657"/>
      <w:bookmarkStart w:id="103" w:name="_Toc31218"/>
      <w:r>
        <w:rPr>
          <w:rFonts w:hint="eastAsia" w:ascii="楷体_GB2312" w:hAnsi="楷体_GB2312" w:eastAsia="楷体_GB2312" w:cs="楷体_GB2312"/>
        </w:rPr>
        <w:t>第三节  完善劳动人事争议调解</w:t>
      </w:r>
      <w:bookmarkStart w:id="104" w:name="bkReivew3062243"/>
      <w:r>
        <w:rPr>
          <w:rFonts w:hint="eastAsia" w:ascii="楷体_GB2312" w:hAnsi="楷体_GB2312" w:eastAsia="楷体_GB2312" w:cs="楷体_GB2312"/>
        </w:rPr>
        <w:t>仲裁</w:t>
      </w:r>
      <w:bookmarkEnd w:id="104"/>
      <w:r>
        <w:rPr>
          <w:rFonts w:hint="eastAsia" w:ascii="楷体_GB2312" w:hAnsi="楷体_GB2312" w:eastAsia="楷体_GB2312" w:cs="楷体_GB2312"/>
        </w:rPr>
        <w:t>体制机制</w:t>
      </w:r>
      <w:bookmarkEnd w:id="102"/>
      <w:bookmarkEnd w:id="103"/>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完善争议多元化解机制。</w:t>
      </w:r>
      <w:r>
        <w:rPr>
          <w:rFonts w:hint="eastAsia" w:ascii="仿宋_GB2312" w:eastAsia="仿宋_GB2312"/>
          <w:color w:val="auto"/>
          <w:sz w:val="32"/>
          <w:szCs w:val="32"/>
          <w:highlight w:val="none"/>
        </w:rPr>
        <w:t>坚持预防为主、基层为主、调解为主的工作方针，指导推进“企业-行政村(社区)-镇(街道)”基层劳动人事争议调解工作体系建设，充分发挥人社部门处理劳动争议的职能作用，落实诉前调解及引导机制。创新劳动人事争议调解基本公共服务供给方式，搭建区域性调解服务平台，制定颁布调解服务地方标准，建立调解服务考评激励机制，以政府购买服务方式，鼓励支持社会力量规范有序提供劳动人事争议专业性调解服务，推动调解基本公共服务社会化、标准化、均等化发展。推进“调调衔接”，完善人民调解、行政调解、仲裁调解、司法调解联动机制。推进“调裁衔接”，完善仲裁立案前调解、委托调解和调解协议仲裁审查确认制度。推进“调诉”衔接，统一裁审理念和标准，提高办案效能，维护劳动者合法权益。</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提升仲裁队伍能力水平。</w:t>
      </w:r>
      <w:r>
        <w:rPr>
          <w:rFonts w:hint="eastAsia" w:ascii="仿宋_GB2312" w:eastAsia="仿宋_GB2312"/>
          <w:color w:val="auto"/>
          <w:sz w:val="32"/>
          <w:szCs w:val="32"/>
          <w:highlight w:val="none"/>
        </w:rPr>
        <w:t>完善聘前培训、注册培训、岗前培训、研修培训等专业培训机制，探索建立网络培训和现场培训相结合的灵活培训形式，不断提升市、</w:t>
      </w:r>
      <w:r>
        <w:rPr>
          <w:rFonts w:hint="eastAsia" w:ascii="仿宋_GB2312" w:eastAsia="仿宋_GB2312"/>
          <w:color w:val="auto"/>
          <w:sz w:val="32"/>
          <w:szCs w:val="32"/>
          <w:highlight w:val="none"/>
          <w:lang w:val="en-US" w:eastAsia="zh-CN"/>
        </w:rPr>
        <w:t>县</w:t>
      </w:r>
      <w:r>
        <w:rPr>
          <w:rFonts w:hint="eastAsia" w:ascii="仿宋_GB2312" w:eastAsia="仿宋_GB2312"/>
          <w:color w:val="auto"/>
          <w:sz w:val="32"/>
          <w:szCs w:val="32"/>
          <w:highlight w:val="none"/>
        </w:rPr>
        <w:t>两级劳动争议仲裁员的专业水平和实际办案能力，提高办案效率。多渠道充实仲裁办案人员队伍，保障仲裁庭组庭人员的基本要求。</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加强仲裁庭的信息化建设。</w:t>
      </w:r>
      <w:r>
        <w:rPr>
          <w:rFonts w:hint="eastAsia" w:ascii="仿宋_GB2312" w:eastAsia="仿宋_GB2312"/>
          <w:color w:val="auto"/>
          <w:sz w:val="32"/>
          <w:szCs w:val="32"/>
          <w:highlight w:val="none"/>
        </w:rPr>
        <w:t>加大资金投入，建设“多媒体化仲裁庭”，推进仲裁庭智能化升级改造，实现证据和庭审笔录同步显示在各个显示屏、远程同步视频审理案件，提升处理劳动争议工作效能。</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推进仲裁办案方式改革。</w:t>
      </w:r>
      <w:r>
        <w:rPr>
          <w:rFonts w:hint="eastAsia" w:ascii="仿宋_GB2312" w:eastAsia="仿宋_GB2312"/>
          <w:color w:val="auto"/>
          <w:sz w:val="32"/>
          <w:szCs w:val="32"/>
          <w:highlight w:val="none"/>
        </w:rPr>
        <w:t>完善仲裁准司法制度体系，创新办案机制，加强办案指导监督，提升仲裁终结率。实施案件分类处理，简化优化立案、庭审、送达等具体程序，推广要素式办案，完善仲裁专递机制。规范简易仲裁程序，灵活便捷处理小额简单争议案件，建立健全集体劳动争议快速仲裁特别程序。推进派驻仲裁庭、巡回仲裁庭、流动仲裁庭建设，为当事人提供便捷服务。加强仲裁机构队伍建设，充实一线专职调解员、仲裁员力量，创新培训方式，完善职业保障机制。</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加强对用人单位的指导。</w:t>
      </w:r>
      <w:r>
        <w:rPr>
          <w:rFonts w:hint="eastAsia" w:ascii="仿宋_GB2312" w:eastAsia="仿宋_GB2312"/>
          <w:color w:val="auto"/>
          <w:sz w:val="32"/>
          <w:szCs w:val="32"/>
          <w:highlight w:val="none"/>
        </w:rPr>
        <w:t>指导用人单位完善申诉协商机制，因地因企分类推动企业、商（协）会劳动争议协商调解机制建设，做到纠纷不出企。加强基层劳动争议预防调解，推进乡镇（街道）劳动纠纷多元化解机制全覆盖，做到大多数劳动纠纷就近就地首先在一线化解。</w:t>
      </w:r>
    </w:p>
    <w:bookmarkEnd w:id="96"/>
    <w:bookmarkEnd w:id="97"/>
    <w:bookmarkEnd w:id="98"/>
    <w:bookmarkEnd w:id="99"/>
    <w:p>
      <w:pPr>
        <w:adjustRightInd w:val="0"/>
        <w:spacing w:line="360" w:lineRule="auto"/>
        <w:ind w:firstLine="643" w:firstLineChars="200"/>
        <w:rPr>
          <w:rFonts w:ascii="仿宋_GB2312" w:eastAsia="仿宋_GB2312"/>
          <w:color w:val="auto"/>
          <w:sz w:val="32"/>
          <w:szCs w:val="32"/>
          <w:highlight w:val="none"/>
        </w:rPr>
      </w:pPr>
      <w:bookmarkStart w:id="105" w:name="_Toc24318"/>
      <w:bookmarkStart w:id="106" w:name="_Toc10861"/>
      <w:bookmarkStart w:id="107" w:name="_Toc31058"/>
      <w:bookmarkStart w:id="108" w:name="_Toc4140"/>
      <w:r>
        <w:rPr>
          <w:rFonts w:hint="eastAsia" w:ascii="仿宋_GB2312" w:eastAsia="仿宋_GB2312"/>
          <w:b/>
          <w:bCs/>
          <w:color w:val="auto"/>
          <w:sz w:val="32"/>
          <w:szCs w:val="32"/>
          <w:highlight w:val="none"/>
        </w:rPr>
        <w:t>畅通仲裁“绿色通道”。</w:t>
      </w:r>
      <w:r>
        <w:rPr>
          <w:rFonts w:hint="eastAsia" w:ascii="仿宋_GB2312" w:eastAsia="仿宋_GB2312"/>
          <w:color w:val="auto"/>
          <w:sz w:val="32"/>
          <w:szCs w:val="32"/>
          <w:highlight w:val="none"/>
        </w:rPr>
        <w:t>依法快速处理因拖欠农民工工资等引发的劳动争议，提高仲裁终局比例，实现快立、快审、快结。充分发挥基层劳动争议调解等组织的作用，引导农民工就地就近解决工资争议。劳动人事争议仲裁机构对农民工因拖欠工资申请仲裁的争议案件优先受理、优先开庭、及时裁决、快速结案。对集体欠薪争议或涉及金额较大的欠薪争议案件要挂牌督办。实行阳光仲裁，逐步实行仲裁裁决书网上公开，接受社会监督。</w:t>
      </w:r>
    </w:p>
    <w:bookmarkEnd w:id="105"/>
    <w:bookmarkEnd w:id="106"/>
    <w:bookmarkEnd w:id="107"/>
    <w:bookmarkEnd w:id="108"/>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109" w:name="_Toc871"/>
      <w:bookmarkStart w:id="110" w:name="_Toc28441"/>
      <w:bookmarkStart w:id="111" w:name="_Toc8275"/>
      <w:r>
        <w:rPr>
          <w:rFonts w:hint="eastAsia" w:ascii="Cambria" w:hAnsi="Cambria" w:eastAsia="楷体_GB2312"/>
          <w:color w:val="auto"/>
          <w:sz w:val="34"/>
          <w:highlight w:val="none"/>
        </w:rPr>
        <w:t>第四节  提高劳动保障监察治理效能</w:t>
      </w:r>
      <w:bookmarkEnd w:id="109"/>
      <w:bookmarkEnd w:id="110"/>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color w:val="auto"/>
          <w:sz w:val="32"/>
          <w:szCs w:val="32"/>
          <w:highlight w:val="none"/>
        </w:rPr>
        <w:t>加大根治欠薪工作力度。</w:t>
      </w:r>
      <w:r>
        <w:rPr>
          <w:rFonts w:hint="eastAsia" w:ascii="仿宋_GB2312" w:eastAsia="仿宋_GB2312"/>
          <w:color w:val="auto"/>
          <w:sz w:val="32"/>
          <w:szCs w:val="32"/>
          <w:highlight w:val="none"/>
        </w:rPr>
        <w:t>严格按照上级部门对“根治欠薪”的统一部署，坚持党委政府抓总、各部门齐抓共管工作格局，健全市根治拖欠农民工工资工作领导小组工作机制。以工程建设领域和劳动密集型制造业等行业领域为重点，推动建筑领域实名制管理办法、工资专户管理和保证金制度在企业落实落地。继续加大重大劳动保障违法行为企业社会公布和纳入“黑名单”力度，会同行业主管部门联合惩戒。密切协同公安机关、检察院、法院等强化“两法衔接”打击恶意欠薪，推动完善快立、快捕、快诉、快审、快判机制。创新优化保障工资支付考核方式，逐步实现考核制度化、常态化，压紧压实基层政府属地主体责任和行业部门监管责任。健全源头保障工资支付制度，在工程款拨付、工资专户管理、工资支付动态监控、欠薪应急救济保障等各个环节形成制度闭环，打造根治欠薪“汕尾特色”和“汕尾经验”。</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color w:val="auto"/>
          <w:sz w:val="32"/>
          <w:szCs w:val="32"/>
          <w:highlight w:val="none"/>
        </w:rPr>
        <w:t>加强和创新劳资纠纷治理。</w:t>
      </w:r>
      <w:r>
        <w:rPr>
          <w:rFonts w:hint="eastAsia" w:ascii="仿宋_GB2312" w:eastAsia="仿宋_GB2312"/>
          <w:color w:val="auto"/>
          <w:sz w:val="32"/>
          <w:szCs w:val="32"/>
          <w:highlight w:val="none"/>
        </w:rPr>
        <w:t>完善党委领导、政府负责、民主协商、社会协同、公众参与、法治保障、科技支撑的劳资纠纷治理体系。构建基层劳资纠纷治理新格局，完善群众参与基层劳资纠纷治理的制度化渠道，推行网格化管理和服务，发挥群团组织、社会组织作用，发挥行业协会商会自律功能，实现政府治理和社会调节、居民自治良性互动。完善以职工代表大会为基本形式的企业民主管理制度，丰富职工民主参与形式，畅通职工民主参与渠道。强化劳资纠纷隐患排查风险预警，将矛盾隐患化解在苗头和萌芽。深入贯彻落实广东省劳资纠纷风险预警防范办法，联动研判企业经营异动信息，分级预警、跟踪化解。健全劳资纠纷群体性事件预防和应急处置机制，明确分级响应、处置程序和处置措施。健全群体性事件应急联动处置机制，及时妥善处置群体性事件。</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color w:val="auto"/>
          <w:sz w:val="32"/>
          <w:szCs w:val="32"/>
          <w:highlight w:val="none"/>
        </w:rPr>
        <w:t>依法严厉打击劳动保障违法行为。</w:t>
      </w:r>
      <w:r>
        <w:rPr>
          <w:rFonts w:hint="eastAsia" w:ascii="仿宋_GB2312" w:eastAsia="仿宋_GB2312"/>
          <w:color w:val="auto"/>
          <w:sz w:val="32"/>
          <w:szCs w:val="32"/>
          <w:highlight w:val="none"/>
        </w:rPr>
        <w:t>创新劳动监察执法方式，实现监察执法向主动预防和统筹城乡转变。畅通劳动者多元维权渠道，进一步加强劳动监察电话、网络投诉平台</w:t>
      </w:r>
      <w:r>
        <w:rPr>
          <w:rFonts w:hint="eastAsia" w:ascii="仿宋_GB2312" w:eastAsia="仿宋_GB2312"/>
          <w:color w:val="auto"/>
          <w:sz w:val="32"/>
          <w:szCs w:val="32"/>
          <w:highlight w:val="none"/>
          <w:lang w:val="en-US" w:eastAsia="zh-CN"/>
        </w:rPr>
        <w:t>和</w:t>
      </w:r>
      <w:r>
        <w:rPr>
          <w:rFonts w:hint="eastAsia" w:ascii="仿宋_GB2312" w:eastAsia="仿宋_GB2312"/>
          <w:color w:val="auto"/>
          <w:sz w:val="32"/>
          <w:szCs w:val="32"/>
          <w:highlight w:val="none"/>
        </w:rPr>
        <w:t>完善市、县</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市、区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、镇</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街</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劳动</w:t>
      </w:r>
      <w:r>
        <w:rPr>
          <w:rFonts w:hint="eastAsia" w:ascii="仿宋_GB2312" w:eastAsia="仿宋_GB2312"/>
          <w:color w:val="auto"/>
          <w:sz w:val="32"/>
          <w:szCs w:val="32"/>
          <w:highlight w:val="none"/>
          <w:lang w:val="en-US" w:eastAsia="zh-CN"/>
        </w:rPr>
        <w:t>保障</w:t>
      </w:r>
      <w:r>
        <w:rPr>
          <w:rFonts w:hint="eastAsia" w:ascii="仿宋_GB2312" w:eastAsia="仿宋_GB2312"/>
          <w:color w:val="auto"/>
          <w:sz w:val="32"/>
          <w:szCs w:val="32"/>
          <w:highlight w:val="none"/>
        </w:rPr>
        <w:t>监察举报投诉“绿色通道”制度建设。强化保障工资支付、清理整顿人力资源市场秩序、劳动用工和骗取社会保险等专项执法。加大对非法用工查处力度，严厉打击使用童工、强迫劳动、拒不支付劳动报酬等违法犯罪行为。加强劳动保障诚信等级评价制度建设，建立健全企业诚信档案。健全劳动监察执法监督和重大案件督查督办制度，落实劳动保障监察执法“</w:t>
      </w:r>
      <w:bookmarkStart w:id="112" w:name="bkPolitics1133200"/>
      <w:r>
        <w:rPr>
          <w:rFonts w:hint="eastAsia" w:ascii="仿宋_GB2312" w:eastAsia="仿宋_GB2312"/>
          <w:color w:val="auto"/>
          <w:sz w:val="32"/>
          <w:szCs w:val="32"/>
          <w:highlight w:val="none"/>
        </w:rPr>
        <w:t>双随机一公开</w:t>
      </w:r>
      <w:bookmarkEnd w:id="112"/>
      <w:r>
        <w:rPr>
          <w:rFonts w:hint="eastAsia" w:ascii="仿宋_GB2312" w:eastAsia="仿宋_GB2312"/>
          <w:color w:val="auto"/>
          <w:sz w:val="32"/>
          <w:szCs w:val="32"/>
          <w:highlight w:val="none"/>
        </w:rPr>
        <w:t>”制度。</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color w:val="auto"/>
          <w:sz w:val="32"/>
          <w:szCs w:val="32"/>
          <w:highlight w:val="none"/>
        </w:rPr>
        <w:t>加强劳动保障监察基础能力建设。</w:t>
      </w:r>
      <w:r>
        <w:rPr>
          <w:rFonts w:hint="eastAsia" w:ascii="仿宋_GB2312" w:eastAsia="仿宋_GB2312"/>
          <w:color w:val="auto"/>
          <w:sz w:val="32"/>
          <w:szCs w:val="32"/>
          <w:highlight w:val="none"/>
        </w:rPr>
        <w:t>完善劳动监察综合执法队伍建设，配齐、配足劳动监察执法人员，推动基层（镇街）劳动保障监察执法辅助人员建设</w:t>
      </w:r>
      <w:r>
        <w:rPr>
          <w:rFonts w:hint="eastAsia" w:ascii="仿宋_GB2312" w:hAnsi="仿宋_GB2312" w:eastAsia="仿宋_GB2312" w:cs="仿宋_GB2312"/>
          <w:color w:val="auto"/>
          <w:sz w:val="32"/>
          <w:szCs w:val="32"/>
          <w:highlight w:val="none"/>
        </w:rPr>
        <w:t>。</w:t>
      </w:r>
      <w:r>
        <w:rPr>
          <w:rFonts w:hint="eastAsia" w:ascii="仿宋_GB2312" w:eastAsia="仿宋_GB2312"/>
          <w:color w:val="auto"/>
          <w:sz w:val="32"/>
          <w:szCs w:val="32"/>
          <w:highlight w:val="none"/>
        </w:rPr>
        <w:t>推动县级以上地方政府建立农民工工资支付监控预警平台，实现人社、发改、财政、住建、交通、水利等部门的工程项目审批、资金落实、施工许可、劳动用工、工资支付等数据</w:t>
      </w:r>
      <w:r>
        <w:rPr>
          <w:rFonts w:hint="eastAsia" w:ascii="仿宋_GB2312" w:eastAsia="仿宋_GB2312"/>
          <w:color w:val="auto"/>
          <w:sz w:val="32"/>
          <w:szCs w:val="32"/>
          <w:highlight w:val="none"/>
          <w:lang w:val="en-US" w:eastAsia="zh-CN"/>
        </w:rPr>
        <w:t>共享</w:t>
      </w:r>
      <w:r>
        <w:rPr>
          <w:rFonts w:hint="eastAsia" w:ascii="仿宋_GB2312" w:eastAsia="仿宋_GB2312"/>
          <w:color w:val="auto"/>
          <w:sz w:val="32"/>
          <w:szCs w:val="32"/>
          <w:highlight w:val="none"/>
        </w:rPr>
        <w:t>，对监管信息和企业经营相关指标变化情况进行风险监测。依托欠薪联合预警平台，通过“大数据”自动分析，抓取关键信息，将欠薪隐患的企业及时预警通报给相关部门，以便相关部门及时发现问题，从源头杜绝欠薪的发生，维护社会的安全稳定。大力提升基层执法人员素质，加强基层执法人员岗位业务能力培训，提升劳动监察执法规范化、专业化水平。</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color w:val="auto"/>
          <w:sz w:val="32"/>
          <w:szCs w:val="32"/>
          <w:highlight w:val="none"/>
        </w:rPr>
        <w:t>加大劳动法律法规宣传力度，增强劳资双方守法意识。</w:t>
      </w:r>
      <w:r>
        <w:rPr>
          <w:rFonts w:hint="eastAsia" w:ascii="仿宋_GB2312" w:eastAsia="仿宋_GB2312"/>
          <w:color w:val="auto"/>
          <w:sz w:val="32"/>
          <w:szCs w:val="32"/>
          <w:highlight w:val="none"/>
        </w:rPr>
        <w:t>对辖区内的用人单位加强劳动法制教育和宣传，加大电视广播、报纸、户外LED显示屏、市人力资源和社会保障局网站、微信公众号宣传力度，大力普及用人单位尤其是企业经营者的劳动保障法律知识，不断提高用人单位的法律意识和守法的自觉性，不断提高劳动者的劳动法律知识水平和自我保护意识。引导、帮助用人单位和劳动者通过法律途径解决矛盾和纠纷，避免和减少集体</w:t>
      </w:r>
      <w:bookmarkStart w:id="113" w:name="bkPolitics2141141"/>
      <w:r>
        <w:rPr>
          <w:rFonts w:hint="eastAsia" w:ascii="仿宋_GB2312" w:eastAsia="仿宋_GB2312"/>
          <w:color w:val="auto"/>
          <w:sz w:val="32"/>
          <w:szCs w:val="32"/>
          <w:highlight w:val="none"/>
        </w:rPr>
        <w:t>上访</w:t>
      </w:r>
      <w:bookmarkEnd w:id="113"/>
      <w:r>
        <w:rPr>
          <w:rFonts w:hint="eastAsia" w:ascii="仿宋_GB2312" w:eastAsia="仿宋_GB2312"/>
          <w:color w:val="auto"/>
          <w:sz w:val="32"/>
          <w:szCs w:val="32"/>
          <w:highlight w:val="none"/>
        </w:rPr>
        <w:t>、投诉的发生。</w:t>
      </w:r>
      <w:bookmarkEnd w:id="111"/>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rPr>
          <w:rFonts w:ascii="Calibri" w:hAnsi="Calibri" w:eastAsia="黑体"/>
          <w:color w:val="auto"/>
          <w:sz w:val="44"/>
          <w:szCs w:val="44"/>
          <w:highlight w:val="none"/>
          <w:lang w:val="en-US"/>
        </w:rPr>
      </w:pPr>
    </w:p>
    <w:p>
      <w:pPr>
        <w:pStyle w:val="8"/>
        <w:rPr>
          <w:rFonts w:ascii="Calibri" w:hAnsi="Calibri" w:eastAsia="黑体"/>
          <w:color w:val="auto"/>
          <w:sz w:val="44"/>
          <w:szCs w:val="44"/>
          <w:highlight w:val="none"/>
          <w:lang w:val="en-US"/>
        </w:rPr>
      </w:pPr>
    </w:p>
    <w:p>
      <w:pPr>
        <w:pStyle w:val="9"/>
        <w:rPr>
          <w:rFonts w:ascii="Calibri" w:hAnsi="Calibri" w:eastAsia="黑体"/>
          <w:color w:val="auto"/>
          <w:sz w:val="44"/>
          <w:szCs w:val="44"/>
          <w:highlight w:val="none"/>
          <w:lang w:val="en-US"/>
        </w:rPr>
      </w:pPr>
    </w:p>
    <w:p>
      <w:pPr>
        <w:pStyle w:val="6"/>
        <w:rPr>
          <w:rFonts w:ascii="Calibri" w:hAnsi="Calibri" w:eastAsia="黑体"/>
          <w:color w:val="auto"/>
          <w:sz w:val="44"/>
          <w:szCs w:val="44"/>
          <w:highlight w:val="none"/>
          <w:lang w:val="en-US"/>
        </w:rPr>
      </w:pPr>
    </w:p>
    <w:p>
      <w:pPr>
        <w:rPr>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keepNext w:val="0"/>
        <w:keepLines w:val="0"/>
        <w:pageBreakBefore w:val="0"/>
        <w:widowControl w:val="0"/>
        <w:kinsoku/>
        <w:wordWrap/>
        <w:overflowPunct/>
        <w:topLinePunct w:val="0"/>
        <w:autoSpaceDE/>
        <w:autoSpaceDN/>
        <w:bidi w:val="0"/>
        <w:adjustRightInd w:val="0"/>
        <w:snapToGrid w:val="0"/>
        <w:spacing w:before="120" w:beforeLines="50" w:after="120" w:afterLines="50" w:line="620" w:lineRule="exact"/>
        <w:jc w:val="center"/>
        <w:textAlignment w:val="auto"/>
        <w:rPr>
          <w:rFonts w:ascii="Calibri" w:hAnsi="Calibri" w:eastAsia="黑体"/>
          <w:color w:val="auto"/>
          <w:sz w:val="44"/>
          <w:szCs w:val="44"/>
          <w:highlight w:val="none"/>
          <w:lang w:val="en-US"/>
        </w:rPr>
      </w:pPr>
      <w:bookmarkStart w:id="114" w:name="_Toc23315"/>
      <w:bookmarkStart w:id="115" w:name="_Toc11946"/>
      <w:r>
        <w:rPr>
          <w:rFonts w:hint="eastAsia" w:ascii="Calibri" w:hAnsi="Calibri" w:eastAsia="黑体"/>
          <w:b w:val="0"/>
          <w:bCs/>
          <w:color w:val="auto"/>
          <w:sz w:val="36"/>
          <w:szCs w:val="36"/>
          <w:highlight w:val="none"/>
          <w:lang w:val="en-US"/>
        </w:rPr>
        <w:t>第十章</w:t>
      </w:r>
      <w:bookmarkEnd w:id="93"/>
      <w:bookmarkStart w:id="116" w:name="_Toc7342"/>
      <w:r>
        <w:rPr>
          <w:rFonts w:hint="eastAsia" w:ascii="Calibri" w:hAnsi="Calibri" w:eastAsia="黑体"/>
          <w:b w:val="0"/>
          <w:bCs/>
          <w:color w:val="auto"/>
          <w:sz w:val="36"/>
          <w:szCs w:val="36"/>
          <w:highlight w:val="none"/>
          <w:lang w:val="en-US"/>
        </w:rPr>
        <w:t xml:space="preserve">  提升公共服务能力和水平</w:t>
      </w:r>
      <w:bookmarkEnd w:id="114"/>
      <w:bookmarkEnd w:id="115"/>
    </w:p>
    <w:bookmarkEnd w:id="116"/>
    <w:p>
      <w:pPr>
        <w:keepNext w:val="0"/>
        <w:keepLines w:val="0"/>
        <w:pageBreakBefore w:val="0"/>
        <w:widowControl w:val="0"/>
        <w:kinsoku/>
        <w:wordWrap/>
        <w:overflowPunct/>
        <w:topLinePunct w:val="0"/>
        <w:autoSpaceDE/>
        <w:autoSpaceDN/>
        <w:bidi w:val="0"/>
        <w:adjustRightInd w:val="0"/>
        <w:spacing w:line="620" w:lineRule="exact"/>
        <w:ind w:firstLine="640" w:firstLineChars="200"/>
        <w:textAlignment w:val="auto"/>
        <w:rPr>
          <w:rFonts w:ascii="仿宋_GB2312" w:eastAsia="仿宋_GB2312"/>
          <w:color w:val="auto"/>
          <w:sz w:val="32"/>
          <w:szCs w:val="32"/>
          <w:highlight w:val="none"/>
        </w:rPr>
      </w:pPr>
      <w:bookmarkStart w:id="117" w:name="_Toc31946"/>
      <w:r>
        <w:rPr>
          <w:rFonts w:hint="eastAsia" w:ascii="仿宋_GB2312" w:eastAsia="仿宋_GB2312"/>
          <w:color w:val="auto"/>
          <w:sz w:val="32"/>
          <w:szCs w:val="32"/>
          <w:highlight w:val="none"/>
        </w:rPr>
        <w:t>加强法治人社建设，</w:t>
      </w:r>
      <w:r>
        <w:rPr>
          <w:rFonts w:hint="eastAsia" w:ascii="仿宋_GB2312" w:eastAsia="仿宋_GB2312"/>
          <w:color w:val="auto"/>
          <w:sz w:val="32"/>
          <w:szCs w:val="32"/>
          <w:highlight w:val="none"/>
          <w:lang w:val="en-US" w:eastAsia="zh-CN"/>
        </w:rPr>
        <w:t>聚焦“阳光人社、和谐人社、高效人社、便民人社”，</w:t>
      </w:r>
      <w:r>
        <w:rPr>
          <w:rFonts w:hint="eastAsia" w:ascii="仿宋_GB2312" w:eastAsia="仿宋_GB2312"/>
          <w:color w:val="auto"/>
          <w:sz w:val="32"/>
          <w:szCs w:val="32"/>
          <w:highlight w:val="none"/>
        </w:rPr>
        <w:t>强化行风建设效能，坚持普惠性、保基本、均等化、可持续方向，围绕标准化、一体化、信息化，加强公共服务设施建设，强化公共服务能力，提升公共服务水平，为群众提供更加方便快捷、优质高效的人力资源社会保障基本公共服务。</w:t>
      </w:r>
    </w:p>
    <w:p>
      <w:pPr>
        <w:pStyle w:val="4"/>
        <w:keepNext w:val="0"/>
        <w:keepLines w:val="0"/>
        <w:pageBreakBefore w:val="0"/>
        <w:widowControl w:val="0"/>
        <w:kinsoku/>
        <w:wordWrap/>
        <w:overflowPunct/>
        <w:topLinePunct w:val="0"/>
        <w:autoSpaceDE/>
        <w:autoSpaceDN/>
        <w:bidi w:val="0"/>
        <w:adjustRightInd w:val="0"/>
        <w:snapToGrid w:val="0"/>
        <w:spacing w:before="120" w:beforeLines="50" w:after="120" w:afterLines="50" w:line="620" w:lineRule="exact"/>
        <w:ind w:left="200"/>
        <w:jc w:val="center"/>
        <w:textAlignment w:val="auto"/>
        <w:rPr>
          <w:rFonts w:ascii="Cambria" w:hAnsi="Cambria" w:eastAsia="楷体_GB2312"/>
          <w:color w:val="auto"/>
          <w:sz w:val="34"/>
          <w:highlight w:val="none"/>
        </w:rPr>
      </w:pPr>
      <w:bookmarkStart w:id="118" w:name="_Toc21584"/>
      <w:bookmarkStart w:id="119" w:name="_Toc29186"/>
      <w:bookmarkStart w:id="120" w:name="_Toc23069"/>
      <w:bookmarkStart w:id="121" w:name="_Toc7816"/>
      <w:bookmarkStart w:id="122" w:name="_Toc24618"/>
      <w:r>
        <w:rPr>
          <w:rFonts w:hint="eastAsia" w:ascii="Cambria" w:hAnsi="Cambria" w:eastAsia="楷体_GB2312"/>
          <w:color w:val="auto"/>
          <w:sz w:val="34"/>
          <w:highlight w:val="none"/>
        </w:rPr>
        <w:t>第一节  强化法治人社建设</w:t>
      </w:r>
      <w:bookmarkEnd w:id="118"/>
      <w:bookmarkEnd w:id="119"/>
      <w:bookmarkEnd w:id="120"/>
      <w:bookmarkEnd w:id="121"/>
      <w:bookmarkEnd w:id="122"/>
    </w:p>
    <w:p>
      <w:pPr>
        <w:keepNext w:val="0"/>
        <w:keepLines w:val="0"/>
        <w:pageBreakBefore w:val="0"/>
        <w:widowControl w:val="0"/>
        <w:kinsoku/>
        <w:wordWrap/>
        <w:overflowPunct/>
        <w:topLinePunct w:val="0"/>
        <w:autoSpaceDE/>
        <w:autoSpaceDN/>
        <w:bidi w:val="0"/>
        <w:adjustRightInd w:val="0"/>
        <w:spacing w:line="620" w:lineRule="exact"/>
        <w:ind w:firstLine="643" w:firstLineChars="200"/>
        <w:textAlignment w:val="auto"/>
        <w:rPr>
          <w:rFonts w:ascii="仿宋_GB2312" w:eastAsia="仿宋_GB2312"/>
          <w:color w:val="auto"/>
          <w:sz w:val="32"/>
          <w:szCs w:val="32"/>
          <w:highlight w:val="none"/>
        </w:rPr>
      </w:pPr>
      <w:r>
        <w:rPr>
          <w:rFonts w:hint="eastAsia" w:ascii="仿宋_GB2312" w:eastAsia="仿宋_GB2312"/>
          <w:b/>
          <w:color w:val="auto"/>
          <w:sz w:val="32"/>
          <w:szCs w:val="32"/>
          <w:highlight w:val="none"/>
        </w:rPr>
        <w:t>完善法治人社制度体系。</w:t>
      </w:r>
      <w:r>
        <w:rPr>
          <w:rFonts w:hint="eastAsia" w:ascii="仿宋_GB2312" w:eastAsia="仿宋_GB2312"/>
          <w:color w:val="auto"/>
          <w:sz w:val="32"/>
          <w:szCs w:val="32"/>
          <w:highlight w:val="none"/>
        </w:rPr>
        <w:t>推进党政主要负责人切实履行推进法治建设第一责任人责任。全面贯彻实施人力资源社会保障法律法规规章，加强规范性文件管理。健全依法行政制度体系，健全依法决策机制，完善行政复议和行政应诉工作制度，落实权力清单和责任清单制度，促进行政权力依法规范公开运行。推进行政执法责任制，强化人社重点领域执法，严格规范行政执法裁量权，加强行政执法人员监管，促进严格规范公正文明执法。</w:t>
      </w:r>
    </w:p>
    <w:p>
      <w:pPr>
        <w:keepNext w:val="0"/>
        <w:keepLines w:val="0"/>
        <w:pageBreakBefore w:val="0"/>
        <w:widowControl w:val="0"/>
        <w:kinsoku/>
        <w:wordWrap/>
        <w:overflowPunct/>
        <w:topLinePunct w:val="0"/>
        <w:autoSpaceDE/>
        <w:autoSpaceDN/>
        <w:bidi w:val="0"/>
        <w:adjustRightInd w:val="0"/>
        <w:spacing w:line="62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eastAsia="仿宋_GB2312"/>
          <w:b/>
          <w:color w:val="auto"/>
          <w:sz w:val="32"/>
          <w:szCs w:val="32"/>
          <w:highlight w:val="none"/>
        </w:rPr>
        <w:t>全面推进依法行政综合改革。</w:t>
      </w:r>
      <w:r>
        <w:rPr>
          <w:rFonts w:hint="eastAsia" w:ascii="仿宋_GB2312" w:eastAsia="仿宋_GB2312"/>
          <w:color w:val="auto"/>
          <w:sz w:val="32"/>
          <w:szCs w:val="32"/>
          <w:highlight w:val="none"/>
        </w:rPr>
        <w:t>进一步推动市级行政权力压减，对凡能下放的权限全部下放到县区，进一步方便群众就近办事。推动行政执法重心向县区下移，减少行政执法层级，提高行政执法效能。依法全面履行人社职能，推动法治建设融入</w:t>
      </w:r>
      <w:r>
        <w:rPr>
          <w:rFonts w:hint="eastAsia" w:ascii="仿宋_GB2312" w:hAnsi="仿宋_GB2312" w:eastAsia="仿宋_GB2312" w:cs="仿宋_GB2312"/>
          <w:color w:val="auto"/>
          <w:sz w:val="32"/>
          <w:szCs w:val="32"/>
          <w:highlight w:val="none"/>
        </w:rPr>
        <w:t>人社重点工作，全力服务保障人社高质量发展。</w:t>
      </w:r>
    </w:p>
    <w:p>
      <w:pPr>
        <w:keepNext w:val="0"/>
        <w:keepLines w:val="0"/>
        <w:pageBreakBefore w:val="0"/>
        <w:widowControl w:val="0"/>
        <w:kinsoku/>
        <w:wordWrap/>
        <w:overflowPunct/>
        <w:topLinePunct w:val="0"/>
        <w:autoSpaceDE/>
        <w:autoSpaceDN/>
        <w:bidi w:val="0"/>
        <w:adjustRightInd w:val="0"/>
        <w:spacing w:line="62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推动“八五”人社普法规划的实施。</w:t>
      </w:r>
      <w:r>
        <w:rPr>
          <w:rFonts w:hint="eastAsia" w:ascii="仿宋_GB2312" w:hAnsi="仿宋_GB2312" w:eastAsia="仿宋_GB2312" w:cs="仿宋_GB2312"/>
          <w:color w:val="auto"/>
          <w:sz w:val="32"/>
          <w:szCs w:val="32"/>
          <w:highlight w:val="none"/>
        </w:rPr>
        <w:t>完善普法责任清单，强化普法责任，扩大普法宣传成效。强化普法宣传典型，推动普法宣传制度化、规范化建设。</w:t>
      </w:r>
    </w:p>
    <w:p>
      <w:pPr>
        <w:keepNext w:val="0"/>
        <w:keepLines w:val="0"/>
        <w:pageBreakBefore w:val="0"/>
        <w:widowControl w:val="0"/>
        <w:kinsoku/>
        <w:wordWrap/>
        <w:overflowPunct/>
        <w:topLinePunct w:val="0"/>
        <w:autoSpaceDE/>
        <w:autoSpaceDN/>
        <w:bidi w:val="0"/>
        <w:adjustRightInd w:val="0"/>
        <w:spacing w:line="62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深化行政审批制度改革，推动人社服务“快办行动”。</w:t>
      </w:r>
      <w:r>
        <w:rPr>
          <w:rFonts w:hint="eastAsia" w:ascii="仿宋_GB2312" w:hAnsi="仿宋_GB2312" w:eastAsia="仿宋_GB2312" w:cs="仿宋_GB2312"/>
          <w:color w:val="auto"/>
          <w:sz w:val="32"/>
          <w:szCs w:val="32"/>
          <w:highlight w:val="none"/>
        </w:rPr>
        <w:t>全破解人社领域行政审批堵点痛点难点问题，全面提升人社政务服务效能。持续优化人社服务窗口建设，推进人社服务窗口进驻市政务服务大厅。落实综合柜员制，完善“前台综合受理、后台分类审批、综合窗口出件”的业务运作模式，在综合窗口对进驻事项实行无差别“一窗受理”，并延伸到广东政务服务网、自助服务终端，实现人社政务服务线下“只进一扇门”“一窗通办”。聚焦企业和群众办事办件频率、办事习惯，深挖人社政务服务优化潜能，探索更多本地人社服务事项“打包办”“提速办”，推动人社服务“快办行动”进一步落地落实。实施“清减压”专项行动，持续推进简政放权、放管结合、优化服务，推动人社服务窗口向村居、社区下沉前移。不断深化“无证明城市”的创建工作，加大精简和优化各类证明材料力度，大力推广证明事项告知承诺制和电子证照，规范各级人社机构基本公共服务供给行为。</w:t>
      </w:r>
    </w:p>
    <w:p>
      <w:pPr>
        <w:adjustRightInd w:val="0"/>
        <w:spacing w:line="360" w:lineRule="auto"/>
        <w:rPr>
          <w:rFonts w:ascii="仿宋_GB2312" w:eastAsia="仿宋_GB2312"/>
          <w:color w:val="auto"/>
          <w:sz w:val="32"/>
          <w:szCs w:val="32"/>
          <w:highlight w:val="none"/>
        </w:rPr>
      </w:pPr>
    </w:p>
    <w:p>
      <w:pPr>
        <w:pStyle w:val="8"/>
        <w:rPr>
          <w:color w:val="auto"/>
          <w:highlight w:val="none"/>
        </w:rPr>
      </w:pPr>
    </w:p>
    <w:p>
      <w:pPr>
        <w:pStyle w:val="9"/>
        <w:rPr>
          <w:color w:val="auto"/>
          <w:highlight w:val="none"/>
        </w:rPr>
      </w:pPr>
    </w:p>
    <w:p>
      <w:pPr>
        <w:pStyle w:val="6"/>
        <w:rPr>
          <w:color w:val="auto"/>
          <w:highlight w:val="none"/>
        </w:rPr>
      </w:pPr>
    </w:p>
    <w:p>
      <w:pPr>
        <w:rPr>
          <w:color w:val="auto"/>
          <w:highlight w:val="none"/>
        </w:rPr>
      </w:pPr>
    </w:p>
    <w:p>
      <w:pPr>
        <w:pStyle w:val="8"/>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w:t>
            </w:r>
            <w:r>
              <w:rPr>
                <w:rFonts w:hint="eastAsia" w:ascii="楷体_GB2312" w:hAnsi="宋体" w:eastAsia="楷体_GB2312" w:cs="宋体"/>
                <w:b/>
                <w:color w:val="auto"/>
                <w:sz w:val="32"/>
                <w:szCs w:val="32"/>
                <w:highlight w:val="none"/>
                <w:lang w:val="en-US" w:eastAsia="zh-CN" w:bidi="zh-TW"/>
              </w:rPr>
              <w:t>18</w:t>
            </w:r>
            <w:r>
              <w:rPr>
                <w:rFonts w:hint="eastAsia" w:ascii="楷体_GB2312" w:hAnsi="宋体" w:eastAsia="楷体_GB2312" w:cs="宋体"/>
                <w:b/>
                <w:color w:val="auto"/>
                <w:sz w:val="32"/>
                <w:szCs w:val="32"/>
                <w:highlight w:val="none"/>
                <w:lang w:bidi="zh-TW"/>
              </w:rPr>
              <w:t xml:space="preserve"> “清减压”专项行动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widowControl/>
              <w:adjustRightInd w:val="0"/>
              <w:snapToGrid w:val="0"/>
              <w:spacing w:line="360" w:lineRule="auto"/>
              <w:ind w:firstLine="560" w:firstLineChars="200"/>
              <w:jc w:val="both"/>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清理规范行政备案、登记注册、年检年报、指定认定等行政管理事项，动态调整政务服务事项清单和办事指南，推动流程相近、材料相同、结果关联的多个事项整合为“一件事”。不断深化“无证明城市”创建工作，加大精简和优化各类证明材料力度，全面推行证明事项告知承诺制和电子证照、电子印章，推行“容缺受理”等制度。进一步推动“</w:t>
            </w:r>
            <w:r>
              <w:rPr>
                <w:rFonts w:hint="eastAsia" w:ascii="楷体_GB2312" w:hAnsi="宋体" w:eastAsia="楷体_GB2312" w:cs="宋体"/>
                <w:color w:val="auto"/>
                <w:sz w:val="28"/>
                <w:szCs w:val="28"/>
                <w:highlight w:val="none"/>
                <w:lang w:val="en-US" w:eastAsia="zh-CN" w:bidi="zh-TW"/>
              </w:rPr>
              <w:t>服务</w:t>
            </w:r>
            <w:r>
              <w:rPr>
                <w:rFonts w:hint="eastAsia" w:ascii="楷体_GB2312" w:hAnsi="宋体" w:eastAsia="楷体_GB2312" w:cs="宋体"/>
                <w:color w:val="auto"/>
                <w:sz w:val="28"/>
                <w:szCs w:val="28"/>
                <w:highlight w:val="none"/>
                <w:lang w:bidi="zh-TW"/>
              </w:rPr>
              <w:t>快办”，探索更多人社服务事项进一步 “提速办”，推出一批“秒批”“秒办”服务项目。</w:t>
            </w:r>
          </w:p>
        </w:tc>
      </w:tr>
    </w:tbl>
    <w:p>
      <w:pPr>
        <w:adjustRightInd w:val="0"/>
        <w:spacing w:line="360" w:lineRule="auto"/>
        <w:rPr>
          <w:rFonts w:ascii="仿宋_GB2312" w:eastAsia="仿宋_GB2312"/>
          <w:color w:val="auto"/>
          <w:sz w:val="32"/>
          <w:szCs w:val="32"/>
          <w:highlight w:val="none"/>
        </w:rPr>
      </w:pP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123" w:name="_Toc16620"/>
      <w:bookmarkStart w:id="124" w:name="_Toc15617"/>
      <w:r>
        <w:rPr>
          <w:rFonts w:hint="eastAsia" w:ascii="Cambria" w:hAnsi="Cambria" w:eastAsia="楷体_GB2312"/>
          <w:color w:val="auto"/>
          <w:sz w:val="34"/>
          <w:highlight w:val="none"/>
        </w:rPr>
        <w:t>第二节  推进基本公共服务标准化信息化建设</w:t>
      </w:r>
      <w:bookmarkEnd w:id="123"/>
      <w:bookmarkEnd w:id="124"/>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完善服务标准体系，</w:t>
      </w:r>
      <w:r>
        <w:rPr>
          <w:rFonts w:hint="eastAsia" w:ascii="仿宋_GB2312" w:eastAsia="仿宋_GB2312"/>
          <w:b/>
          <w:color w:val="auto"/>
          <w:sz w:val="32"/>
          <w:szCs w:val="32"/>
          <w:highlight w:val="none"/>
        </w:rPr>
        <w:t>推动人社政务服务与本地政务服务改革深度融合。</w:t>
      </w:r>
      <w:r>
        <w:rPr>
          <w:rFonts w:hint="eastAsia" w:ascii="仿宋_GB2312" w:eastAsia="仿宋_GB2312"/>
          <w:color w:val="auto"/>
          <w:sz w:val="32"/>
          <w:szCs w:val="32"/>
          <w:highlight w:val="none"/>
        </w:rPr>
        <w:t>建立健全与政务服务改革相适应、人社公共服务业务与信息化建设于一体的人社基本公共服务标准化体系，以标准化促进基本公共服务均等化、普惠化、便捷化。进一步推进人社公共服务标准化、规范化，明确政务服务事项及其要素确定和调整工作流程。推动人社政务服务与本地政务服务改革深度融合，在省人社厅统筹的基础上，根据汕尾市跨城通办、同城通办、深度标准化要求，统筹每个事项要素范围并完善要素内容。</w:t>
      </w:r>
    </w:p>
    <w:p>
      <w:pPr>
        <w:adjustRightInd w:val="0"/>
        <w:spacing w:line="360" w:lineRule="auto"/>
        <w:ind w:firstLine="640" w:firstLineChars="200"/>
        <w:rPr>
          <w:rFonts w:ascii="仿宋_GB2312" w:eastAsia="仿宋_GB2312"/>
          <w:color w:val="auto"/>
          <w:sz w:val="32"/>
          <w:szCs w:val="32"/>
          <w:highlight w:val="none"/>
        </w:rPr>
      </w:pPr>
    </w:p>
    <w:p>
      <w:pPr>
        <w:pStyle w:val="8"/>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w:t>
            </w:r>
            <w:r>
              <w:rPr>
                <w:rFonts w:hint="eastAsia" w:ascii="楷体_GB2312" w:hAnsi="宋体" w:eastAsia="楷体_GB2312" w:cs="宋体"/>
                <w:b/>
                <w:color w:val="auto"/>
                <w:sz w:val="32"/>
                <w:szCs w:val="32"/>
                <w:highlight w:val="none"/>
                <w:lang w:val="en-US" w:eastAsia="zh-CN" w:bidi="zh-TW"/>
              </w:rPr>
              <w:t>19</w:t>
            </w:r>
            <w:r>
              <w:rPr>
                <w:rFonts w:hint="eastAsia" w:ascii="楷体_GB2312" w:hAnsi="宋体" w:eastAsia="楷体_GB2312" w:cs="宋体"/>
                <w:b/>
                <w:color w:val="auto"/>
                <w:sz w:val="32"/>
                <w:szCs w:val="32"/>
                <w:highlight w:val="none"/>
                <w:lang w:bidi="zh-TW"/>
              </w:rPr>
              <w:t xml:space="preserve">  人社政务服务事项标准化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widowControl/>
              <w:adjustRightInd w:val="0"/>
              <w:snapToGrid w:val="0"/>
              <w:spacing w:before="120" w:beforeLines="50" w:line="360" w:lineRule="auto"/>
              <w:ind w:firstLine="560" w:firstLineChars="200"/>
              <w:jc w:val="left"/>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推动政务服务事项及其要素、流程标准化，按照推动跨城通办、同城通办、深度标准化要求，统筹人社政务服务事项要素范围并完善要素内容，大力推动全市人社系统实现同一事项名称、编码、依据、类型等基本要素统一，推进线上线下统筹清单、办理材料、业务表单、办结时限一致，制定统一标准，形成人社政务服务事项规范化、标准化，实现政务服务事项无差别“一窗通办”。</w:t>
            </w:r>
          </w:p>
        </w:tc>
      </w:tr>
    </w:tbl>
    <w:p>
      <w:pPr>
        <w:adjustRightInd w:val="0"/>
        <w:spacing w:line="360" w:lineRule="auto"/>
        <w:ind w:firstLine="640" w:firstLineChars="200"/>
        <w:rPr>
          <w:rFonts w:ascii="仿宋_GB2312" w:eastAsia="仿宋_GB2312"/>
          <w:color w:val="auto"/>
          <w:sz w:val="32"/>
          <w:szCs w:val="32"/>
          <w:highlight w:val="none"/>
        </w:rPr>
      </w:pP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color w:val="auto"/>
          <w:sz w:val="32"/>
          <w:szCs w:val="32"/>
          <w:highlight w:val="none"/>
        </w:rPr>
        <w:t>加强信息化载体建设，</w:t>
      </w:r>
      <w:r>
        <w:rPr>
          <w:rFonts w:hint="eastAsia" w:ascii="仿宋_GB2312" w:eastAsia="仿宋_GB2312"/>
          <w:b/>
          <w:bCs/>
          <w:color w:val="auto"/>
          <w:sz w:val="32"/>
          <w:szCs w:val="32"/>
          <w:highlight w:val="none"/>
        </w:rPr>
        <w:t>依托信息化提质增效。</w:t>
      </w:r>
      <w:r>
        <w:rPr>
          <w:rFonts w:hint="eastAsia" w:ascii="仿宋_GB2312" w:eastAsia="仿宋_GB2312"/>
          <w:color w:val="auto"/>
          <w:sz w:val="32"/>
          <w:szCs w:val="32"/>
          <w:highlight w:val="none"/>
        </w:rPr>
        <w:t>配合省加快推进省集中式人力资源和社会保障一体化信息系统项目，实现就业、社保、人才人事、劳动关系等数据全省集中。</w:t>
      </w:r>
      <w:r>
        <w:rPr>
          <w:rFonts w:hint="eastAsia" w:ascii="仿宋_GB2312" w:eastAsia="仿宋_GB2312"/>
          <w:bCs/>
          <w:color w:val="auto"/>
          <w:sz w:val="32"/>
          <w:szCs w:val="32"/>
          <w:highlight w:val="none"/>
        </w:rPr>
        <w:t>进一步</w:t>
      </w:r>
      <w:r>
        <w:rPr>
          <w:rFonts w:hint="eastAsia" w:ascii="仿宋_GB2312" w:eastAsia="仿宋_GB2312"/>
          <w:color w:val="auto"/>
          <w:sz w:val="32"/>
          <w:szCs w:val="32"/>
          <w:highlight w:val="none"/>
        </w:rPr>
        <w:t>推进“智慧人社”的应用，加快各类应用系统陆续上线使用。加强与省、市各部门的沟通协调，统筹推进人社政务服务平台与市政务服务平台对接、数据衔接，加快推进部门内、跨部门、跨层级信息共享，进一步推动重点领域和高频事项“六个通办”。全面深化人社大数据应用，健全数据归集和共享应用机制，推进电子证照、电子档案袋、信用监管等大数据应用，加强人社数据资源安全保障和隐私保护。</w:t>
      </w:r>
    </w:p>
    <w:p>
      <w:pPr>
        <w:pStyle w:val="8"/>
        <w:rPr>
          <w:color w:val="auto"/>
          <w:highlight w:val="none"/>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专栏2</w:t>
            </w:r>
            <w:r>
              <w:rPr>
                <w:rFonts w:hint="eastAsia" w:ascii="楷体_GB2312" w:hAnsi="宋体" w:eastAsia="楷体_GB2312" w:cs="宋体"/>
                <w:b/>
                <w:color w:val="auto"/>
                <w:sz w:val="32"/>
                <w:szCs w:val="32"/>
                <w:highlight w:val="none"/>
                <w:lang w:val="en-US" w:eastAsia="zh-CN" w:bidi="zh-TW"/>
              </w:rPr>
              <w:t>0</w:t>
            </w:r>
            <w:r>
              <w:rPr>
                <w:rFonts w:hint="eastAsia" w:ascii="楷体_GB2312" w:hAnsi="宋体" w:eastAsia="楷体_GB2312" w:cs="宋体"/>
                <w:b/>
                <w:color w:val="auto"/>
                <w:sz w:val="32"/>
                <w:szCs w:val="32"/>
                <w:highlight w:val="none"/>
                <w:lang w:bidi="zh-TW"/>
              </w:rPr>
              <w:t xml:space="preserve">  人社信息化便民服务创新提升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widowControl/>
              <w:adjustRightInd w:val="0"/>
              <w:snapToGrid w:val="0"/>
              <w:spacing w:before="120" w:beforeLines="50" w:line="360" w:lineRule="auto"/>
              <w:ind w:firstLine="560" w:firstLineChars="200"/>
              <w:jc w:val="left"/>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聚焦企业群众办事堵点痛点和监管能力不足问题，在全市范围内推动人力资源社会保障系统“全数据共享、全服务上网、全业务用卡”，推进人社数据服务平台建设，全面</w:t>
            </w:r>
            <w:bookmarkStart w:id="125" w:name="bkReivew1152754"/>
            <w:r>
              <w:rPr>
                <w:rFonts w:hint="eastAsia" w:ascii="楷体_GB2312" w:hAnsi="宋体" w:eastAsia="楷体_GB2312" w:cs="宋体"/>
                <w:color w:val="auto"/>
                <w:sz w:val="28"/>
                <w:szCs w:val="28"/>
                <w:highlight w:val="none"/>
                <w:lang w:bidi="zh-TW"/>
              </w:rPr>
              <w:t>融</w:t>
            </w:r>
            <w:r>
              <w:rPr>
                <w:rFonts w:hint="eastAsia" w:ascii="楷体_GB2312" w:hAnsi="宋体" w:eastAsia="楷体_GB2312" w:cs="宋体"/>
                <w:color w:val="auto"/>
                <w:sz w:val="28"/>
                <w:szCs w:val="28"/>
                <w:highlight w:val="none"/>
                <w:lang w:eastAsia="zh-CN" w:bidi="zh-TW"/>
              </w:rPr>
              <w:t>会</w:t>
            </w:r>
            <w:bookmarkStart w:id="140" w:name="_GoBack"/>
            <w:bookmarkEnd w:id="140"/>
            <w:r>
              <w:rPr>
                <w:rFonts w:hint="eastAsia" w:ascii="楷体_GB2312" w:hAnsi="宋体" w:eastAsia="楷体_GB2312" w:cs="宋体"/>
                <w:color w:val="auto"/>
                <w:sz w:val="28"/>
                <w:szCs w:val="28"/>
                <w:highlight w:val="none"/>
                <w:lang w:bidi="zh-TW"/>
              </w:rPr>
              <w:t>贯通</w:t>
            </w:r>
            <w:bookmarkEnd w:id="125"/>
            <w:r>
              <w:rPr>
                <w:rFonts w:hint="eastAsia" w:ascii="楷体_GB2312" w:hAnsi="宋体" w:eastAsia="楷体_GB2312" w:cs="宋体"/>
                <w:color w:val="auto"/>
                <w:sz w:val="28"/>
                <w:szCs w:val="28"/>
                <w:highlight w:val="none"/>
                <w:lang w:bidi="zh-TW"/>
              </w:rPr>
              <w:t>省人社集中系统、市政府服务平台、线上网办指尖办平台，实现全市跨层级跨部门数据充分共享、业务服务“全市通办”，线上线下“一卡通”，全面融入市“数字政府”平台，推进“民情地图”人社图层场景建设，提高“善美村居”“汕尾店小二”“粤系列”服务事项覆盖范围。</w:t>
            </w:r>
          </w:p>
        </w:tc>
      </w:tr>
    </w:tbl>
    <w:p>
      <w:pPr>
        <w:adjustRightInd w:val="0"/>
        <w:spacing w:line="360" w:lineRule="auto"/>
        <w:ind w:firstLine="640" w:firstLineChars="200"/>
        <w:rPr>
          <w:rFonts w:ascii="仿宋_GB2312" w:eastAsia="仿宋_GB2312"/>
          <w:color w:val="auto"/>
          <w:sz w:val="32"/>
          <w:szCs w:val="32"/>
          <w:highlight w:val="none"/>
        </w:rPr>
      </w:pP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建立以社保卡为载体的</w:t>
      </w:r>
      <w:r>
        <w:rPr>
          <w:rFonts w:hint="eastAsia" w:ascii="仿宋_GB2312" w:eastAsia="仿宋_GB2312"/>
          <w:b/>
          <w:bCs/>
          <w:color w:val="auto"/>
          <w:sz w:val="32"/>
          <w:szCs w:val="32"/>
          <w:highlight w:val="none"/>
          <w:lang w:val="en-US" w:eastAsia="zh-CN"/>
        </w:rPr>
        <w:t>居民服务</w:t>
      </w:r>
      <w:r>
        <w:rPr>
          <w:rFonts w:hint="eastAsia" w:ascii="仿宋_GB2312" w:eastAsia="仿宋_GB2312"/>
          <w:b/>
          <w:bCs/>
          <w:color w:val="auto"/>
          <w:sz w:val="32"/>
          <w:szCs w:val="32"/>
          <w:highlight w:val="none"/>
        </w:rPr>
        <w:t>“一卡通”服务管理模式。</w:t>
      </w:r>
      <w:r>
        <w:rPr>
          <w:rFonts w:hint="eastAsia" w:ascii="仿宋_GB2312" w:eastAsia="仿宋_GB2312"/>
          <w:color w:val="auto"/>
          <w:sz w:val="32"/>
          <w:szCs w:val="32"/>
          <w:highlight w:val="none"/>
        </w:rPr>
        <w:t>推动</w:t>
      </w:r>
      <w:r>
        <w:rPr>
          <w:rFonts w:hint="eastAsia" w:ascii="仿宋_GB2312" w:eastAsia="仿宋_GB2312"/>
          <w:color w:val="auto"/>
          <w:sz w:val="32"/>
          <w:szCs w:val="32"/>
          <w:highlight w:val="none"/>
          <w:lang w:val="en-US" w:eastAsia="zh-CN"/>
        </w:rPr>
        <w:t>以社保卡为载体的居民服务“一卡通”改革建设，</w:t>
      </w:r>
      <w:r>
        <w:rPr>
          <w:rFonts w:hint="eastAsia" w:ascii="仿宋_GB2312" w:eastAsia="仿宋_GB2312"/>
          <w:color w:val="auto"/>
          <w:sz w:val="32"/>
          <w:szCs w:val="32"/>
          <w:highlight w:val="none"/>
        </w:rPr>
        <w:t>实现社保卡全民持有。以电子社保卡为载体打通线上线下公共服务渠道，实现“一人一卡、一卡多用、网卡结合”。拓展社保卡服务功能，提升社保卡应用效率。</w:t>
      </w:r>
    </w:p>
    <w:p>
      <w:pPr>
        <w:pStyle w:val="8"/>
        <w:rPr>
          <w:color w:val="auto"/>
          <w:highlight w:val="none"/>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0" w:beforeLines="0" w:after="0" w:afterLines="0" w:line="360" w:lineRule="auto"/>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专栏2</w:t>
            </w:r>
            <w:r>
              <w:rPr>
                <w:rFonts w:hint="eastAsia" w:ascii="楷体_GB2312" w:hAnsi="宋体" w:eastAsia="楷体_GB2312" w:cs="宋体"/>
                <w:b/>
                <w:color w:val="auto"/>
                <w:sz w:val="32"/>
                <w:szCs w:val="32"/>
                <w:highlight w:val="none"/>
                <w:lang w:val="en-US" w:eastAsia="zh-CN" w:bidi="zh-TW"/>
              </w:rPr>
              <w:t>1</w:t>
            </w:r>
            <w:r>
              <w:rPr>
                <w:rFonts w:hint="eastAsia" w:ascii="楷体_GB2312" w:hAnsi="宋体" w:eastAsia="楷体_GB2312" w:cs="宋体"/>
                <w:b/>
                <w:color w:val="auto"/>
                <w:sz w:val="32"/>
                <w:szCs w:val="32"/>
                <w:highlight w:val="none"/>
                <w:lang w:bidi="zh-TW"/>
              </w:rPr>
              <w:t xml:space="preserve">  社会保障卡居民服务“一卡通”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6" w:type="dxa"/>
            <w:shd w:val="clear" w:color="auto" w:fill="C6D9F0"/>
            <w:vAlign w:val="top"/>
          </w:tcPr>
          <w:p>
            <w:pPr>
              <w:widowControl/>
              <w:adjustRightInd/>
              <w:snapToGrid/>
              <w:spacing w:before="0" w:beforeLines="0" w:line="360" w:lineRule="auto"/>
              <w:ind w:firstLine="560" w:firstLineChars="200"/>
              <w:jc w:val="both"/>
              <w:rPr>
                <w:rFonts w:ascii="楷体_GB2312" w:hAnsi="宋体" w:eastAsia="楷体_GB2312" w:cs="宋体"/>
                <w:color w:val="auto"/>
                <w:sz w:val="28"/>
                <w:szCs w:val="28"/>
                <w:highlight w:val="none"/>
                <w:lang w:bidi="zh-TW"/>
              </w:rPr>
            </w:pPr>
            <w:r>
              <w:rPr>
                <w:rFonts w:hint="eastAsia" w:ascii="楷体_GB2312" w:hAnsi="楷体_GB2312" w:eastAsia="楷体_GB2312" w:cs="楷体_GB2312"/>
                <w:color w:val="auto"/>
                <w:sz w:val="28"/>
                <w:szCs w:val="28"/>
                <w:highlight w:val="none"/>
                <w:lang w:bidi="zh-TW"/>
              </w:rPr>
              <w:t>全面推进第三代社会保障卡发放，开通电子社保卡签发和支付服务，形成线上线下融合、跨地区、多元化的社保卡服务生态圈，实现凭证用卡、缴费凭卡、待遇进卡、结算持卡。在人力资源社会保障领域社保卡应用目录清单的基础上，扩展其他民生领域用卡事项，形成社保卡居民服务“一卡通”应用目录清单，</w:t>
            </w:r>
            <w:r>
              <w:rPr>
                <w:rFonts w:hint="eastAsia" w:ascii="楷体_GB2312" w:hAnsi="楷体_GB2312" w:eastAsia="楷体_GB2312" w:cs="楷体_GB2312"/>
                <w:color w:val="auto"/>
                <w:sz w:val="28"/>
                <w:szCs w:val="28"/>
                <w:highlight w:val="none"/>
                <w:lang w:val="en-US" w:eastAsia="zh-CN" w:bidi="zh-TW"/>
              </w:rPr>
              <w:t>推进惠民补贴一卡通领、政务服务一卡通办、城市公交一卡通行、诊疗服务一卡通查、金融服务一卡通享、公共场所一卡通认、小额消费一卡统付、民生服务卡码融通</w:t>
            </w:r>
            <w:r>
              <w:rPr>
                <w:rFonts w:hint="eastAsia" w:ascii="楷体_GB2312" w:hAnsi="楷体_GB2312" w:eastAsia="楷体_GB2312" w:cs="楷体_GB2312"/>
                <w:color w:val="auto"/>
                <w:sz w:val="28"/>
                <w:szCs w:val="28"/>
                <w:highlight w:val="none"/>
                <w:lang w:bidi="zh-TW"/>
              </w:rPr>
              <w:t>。</w:t>
            </w:r>
          </w:p>
        </w:tc>
      </w:tr>
    </w:tbl>
    <w:p>
      <w:pPr>
        <w:adjustRightInd w:val="0"/>
        <w:spacing w:line="360" w:lineRule="auto"/>
        <w:ind w:firstLine="640" w:firstLineChars="200"/>
        <w:rPr>
          <w:rStyle w:val="32"/>
          <w:rFonts w:ascii="仿宋_GB2312" w:eastAsia="仿宋_GB2312"/>
          <w:color w:val="auto"/>
          <w:sz w:val="32"/>
          <w:szCs w:val="32"/>
          <w:highlight w:val="none"/>
        </w:rPr>
      </w:pPr>
    </w:p>
    <w:p>
      <w:pPr>
        <w:pStyle w:val="4"/>
        <w:keepNext w:val="0"/>
        <w:keepLines w:val="0"/>
        <w:adjustRightInd w:val="0"/>
        <w:snapToGrid w:val="0"/>
        <w:spacing w:before="120" w:beforeLines="50" w:after="120" w:afterLines="50" w:line="360" w:lineRule="auto"/>
        <w:ind w:left="200"/>
        <w:jc w:val="center"/>
        <w:rPr>
          <w:rFonts w:hint="eastAsia" w:ascii="Cambria" w:hAnsi="Cambria" w:eastAsia="楷体_GB2312"/>
          <w:color w:val="auto"/>
          <w:sz w:val="34"/>
          <w:highlight w:val="none"/>
        </w:rPr>
      </w:pP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126" w:name="_Toc19109"/>
      <w:bookmarkStart w:id="127" w:name="_Toc28909"/>
      <w:r>
        <w:rPr>
          <w:rFonts w:hint="eastAsia" w:ascii="Cambria" w:hAnsi="Cambria" w:eastAsia="楷体_GB2312"/>
          <w:color w:val="auto"/>
          <w:sz w:val="34"/>
          <w:highlight w:val="none"/>
        </w:rPr>
        <w:t>第三节  打造素质过硬的人社队伍</w:t>
      </w:r>
      <w:bookmarkEnd w:id="126"/>
      <w:bookmarkEnd w:id="127"/>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color w:val="auto"/>
          <w:sz w:val="32"/>
          <w:szCs w:val="32"/>
          <w:highlight w:val="none"/>
        </w:rPr>
        <w:t>开展人社系统行风建设提升行动。</w:t>
      </w:r>
      <w:r>
        <w:rPr>
          <w:rFonts w:hint="eastAsia" w:ascii="仿宋_GB2312" w:eastAsia="仿宋_GB2312"/>
          <w:color w:val="auto"/>
          <w:sz w:val="32"/>
          <w:szCs w:val="32"/>
          <w:highlight w:val="none"/>
        </w:rPr>
        <w:t>推动行风建设与履职尽责互进共融，贯穿政策制定、日常监管、优化服务全过程。强化常态化监督，深入开展窗口服务“明察暗访”行动，构建疏导民生堵点痛点难点长效机制。</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color w:val="auto"/>
          <w:sz w:val="32"/>
          <w:szCs w:val="32"/>
          <w:highlight w:val="none"/>
        </w:rPr>
        <w:t>完善人社政务服务“好差评”制度体系。</w:t>
      </w:r>
      <w:r>
        <w:rPr>
          <w:rFonts w:hint="eastAsia" w:ascii="仿宋_GB2312" w:eastAsia="仿宋_GB2312"/>
          <w:color w:val="auto"/>
          <w:sz w:val="32"/>
          <w:szCs w:val="32"/>
          <w:highlight w:val="none"/>
        </w:rPr>
        <w:t>形成差评和投诉问题的调查核实、督促整改和反馈机制。严格实施服务效能监督机制，畅通群众投诉举报渠道，强化执纪问责力度。强化宣传引导和舆情监测，加强警示教育，实名通报负面案例。依托“智慧人社”开展行风监测，落实行风建设问题专项整改。</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color w:val="auto"/>
          <w:sz w:val="32"/>
          <w:szCs w:val="32"/>
          <w:highlight w:val="none"/>
        </w:rPr>
        <w:t>持续开展人社窗口业务技能练兵比武活动。</w:t>
      </w:r>
      <w:r>
        <w:rPr>
          <w:rFonts w:hint="eastAsia" w:ascii="仿宋_GB2312" w:eastAsia="仿宋_GB2312"/>
          <w:color w:val="auto"/>
          <w:sz w:val="32"/>
          <w:szCs w:val="32"/>
          <w:highlight w:val="none"/>
        </w:rPr>
        <w:t>实现全员练兵常态化，培育“人社服务标兵”“人社知识通”，在系统内树立业务先进典型。</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color w:val="auto"/>
          <w:sz w:val="32"/>
          <w:szCs w:val="32"/>
          <w:highlight w:val="none"/>
        </w:rPr>
        <w:t>加强人社系统队伍建设。</w:t>
      </w:r>
      <w:r>
        <w:rPr>
          <w:rFonts w:hint="eastAsia" w:ascii="仿宋_GB2312" w:eastAsia="仿宋_GB2312"/>
          <w:color w:val="auto"/>
          <w:sz w:val="32"/>
          <w:szCs w:val="32"/>
          <w:highlight w:val="none"/>
        </w:rPr>
        <w:t>把“不忘初心、牢记使命”作为加强党的建设的永恒课题和全体党员干部的终身课题常抓不懈，打造忠诚干净担当的高素质专业化干部队伍。充实人力资源社会保障队伍，优化人员结构。争创“三个表率”模范机关，加强人社系统廉政风险防控体系建设，坚决纠治形式主义、官僚主义，守牢守好人社领域意识形态主阵地。</w:t>
      </w: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b w:val="0"/>
          <w:bCs/>
          <w:color w:val="auto"/>
          <w:sz w:val="36"/>
          <w:szCs w:val="36"/>
          <w:highlight w:val="none"/>
          <w:lang w:val="en-US"/>
        </w:rPr>
      </w:pPr>
      <w:bookmarkStart w:id="128" w:name="_Toc30016"/>
      <w:bookmarkStart w:id="129" w:name="_Toc23173"/>
      <w:r>
        <w:rPr>
          <w:rFonts w:hint="eastAsia" w:ascii="Calibri" w:hAnsi="Calibri" w:eastAsia="黑体"/>
          <w:b w:val="0"/>
          <w:bCs/>
          <w:color w:val="auto"/>
          <w:sz w:val="36"/>
          <w:szCs w:val="36"/>
          <w:highlight w:val="none"/>
          <w:lang w:val="en-US"/>
        </w:rPr>
        <w:t>第</w:t>
      </w:r>
      <w:r>
        <w:rPr>
          <w:rFonts w:ascii="Calibri" w:hAnsi="Calibri" w:eastAsia="黑体"/>
          <w:b w:val="0"/>
          <w:bCs/>
          <w:color w:val="auto"/>
          <w:sz w:val="36"/>
          <w:szCs w:val="36"/>
          <w:highlight w:val="none"/>
          <w:lang w:val="en-US"/>
        </w:rPr>
        <w:t>十</w:t>
      </w:r>
      <w:r>
        <w:rPr>
          <w:rFonts w:hint="eastAsia" w:ascii="Calibri" w:hAnsi="Calibri" w:eastAsia="黑体"/>
          <w:b w:val="0"/>
          <w:bCs/>
          <w:color w:val="auto"/>
          <w:sz w:val="36"/>
          <w:szCs w:val="36"/>
          <w:highlight w:val="none"/>
          <w:lang w:val="en-US"/>
        </w:rPr>
        <w:t xml:space="preserve">一章  </w:t>
      </w:r>
      <w:r>
        <w:rPr>
          <w:rFonts w:ascii="Calibri" w:hAnsi="Calibri" w:eastAsia="黑体"/>
          <w:b w:val="0"/>
          <w:bCs/>
          <w:color w:val="auto"/>
          <w:sz w:val="36"/>
          <w:szCs w:val="36"/>
          <w:highlight w:val="none"/>
          <w:lang w:val="en-US"/>
        </w:rPr>
        <w:t>保障措</w:t>
      </w:r>
      <w:bookmarkEnd w:id="117"/>
      <w:r>
        <w:rPr>
          <w:rFonts w:hint="eastAsia" w:ascii="Calibri" w:hAnsi="Calibri" w:eastAsia="黑体"/>
          <w:b w:val="0"/>
          <w:bCs/>
          <w:color w:val="auto"/>
          <w:sz w:val="36"/>
          <w:szCs w:val="36"/>
          <w:highlight w:val="none"/>
          <w:lang w:val="en-US"/>
        </w:rPr>
        <w:t>施</w:t>
      </w:r>
      <w:bookmarkEnd w:id="128"/>
      <w:bookmarkEnd w:id="129"/>
    </w:p>
    <w:p>
      <w:pPr>
        <w:adjustRightInd w:val="0"/>
        <w:snapToGrid w:val="0"/>
        <w:spacing w:line="360" w:lineRule="auto"/>
        <w:ind w:firstLine="640"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color w:val="auto"/>
          <w:sz w:val="32"/>
          <w:szCs w:val="32"/>
          <w:highlight w:val="none"/>
          <w:lang w:bidi="zh-TW"/>
        </w:rPr>
        <w:t>“十四五”时期人力资源和社会保障事业高质量发展任务艰巨，要广泛发动各方力量，完善资金、人力、数据等各项保障措施，突出重点、统揽全局，推动规划确定的各项目标任务落实落地。</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130" w:name="_Toc3793"/>
      <w:bookmarkStart w:id="131" w:name="_Toc8089"/>
      <w:r>
        <w:rPr>
          <w:rFonts w:hint="eastAsia" w:ascii="Cambria" w:hAnsi="Cambria" w:eastAsia="楷体_GB2312"/>
          <w:color w:val="auto"/>
          <w:sz w:val="34"/>
          <w:highlight w:val="none"/>
        </w:rPr>
        <w:t>第一节  加强政策研究和统计监测分析</w:t>
      </w:r>
      <w:bookmarkEnd w:id="130"/>
      <w:bookmarkEnd w:id="131"/>
    </w:p>
    <w:p>
      <w:pPr>
        <w:adjustRightInd w:val="0"/>
        <w:snapToGrid w:val="0"/>
        <w:spacing w:line="360" w:lineRule="auto"/>
        <w:ind w:firstLine="640"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color w:val="auto"/>
          <w:sz w:val="32"/>
          <w:szCs w:val="32"/>
          <w:highlight w:val="none"/>
          <w:lang w:bidi="zh-TW"/>
        </w:rPr>
        <w:t>围绕中心工作加强基础理论和应用研究，建立理论研究、技术开发与人力资源社会保障事业发展的良性互动机制，进一步推动科研创新，大力推广科研成果应用，为事业发展提供系统科学的理论指导和技术支撑。建立重大决策研究论证机制和程序。完善统一管理、上下联动、分工分级负责的统计管理体制，建立领域完整、方法科学、可获取、可衡量、可比较的统计调查体系。适应人力资源社会保障事业高质量发展需求，构建具有关联性、可比性、集约性、针对性的统计指标体系，丰富拓展统计调查领域和内容，加强统计数据解读和分析研判，提升统计服务能力。提升统计信息化水平。加强统计监督职能，防范和惩治统计造假、弄虚作假。</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132" w:name="_Toc25573"/>
      <w:bookmarkStart w:id="133" w:name="_Toc21751"/>
      <w:r>
        <w:rPr>
          <w:rFonts w:hint="eastAsia" w:ascii="Cambria" w:hAnsi="Cambria" w:eastAsia="楷体_GB2312"/>
          <w:color w:val="auto"/>
          <w:sz w:val="34"/>
          <w:highlight w:val="none"/>
        </w:rPr>
        <w:t>第二节  提高财政投入效益</w:t>
      </w:r>
      <w:bookmarkEnd w:id="132"/>
      <w:bookmarkEnd w:id="133"/>
    </w:p>
    <w:p>
      <w:pPr>
        <w:adjustRightInd w:val="0"/>
        <w:snapToGrid w:val="0"/>
        <w:spacing w:line="360" w:lineRule="auto"/>
        <w:ind w:firstLine="640"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color w:val="auto"/>
          <w:sz w:val="32"/>
          <w:szCs w:val="32"/>
          <w:highlight w:val="none"/>
          <w:lang w:bidi="zh-TW"/>
        </w:rPr>
        <w:t>坚持基本公共服务水平与经济社会发展水平相适应，推动建立同人力资源社会保障事业发展需要相适应、同经济发展水平相匹配的财政投入稳定增长机制。推动完善财权事权划分，构建与事权匹配的人力资源社会保障公共服务经费分级保障机制，探索政府购买服务的新办法、新途径，健全工作经费保障机制，创新财政保障机制。积极争取国家和省财政的支持，各级财政预算中优先安排就业和社保专项资金，加大对重大项目的投入力度，确保重点建设项目的顺利推进。切实将人力资源和社会保障重点项目列为公共财政支出的重点领域，加大资金投入，保证资金及时、足额到位。建立政府、企业、社会多渠道筹资机制，扩大人力资源社会保障财政保障能力。加强人力资源社会保障专项资金管理，建立科学化精细化理财模式，提高专项资金使用绩效。</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134" w:name="_Toc30082"/>
      <w:bookmarkStart w:id="135" w:name="_Toc18559"/>
      <w:r>
        <w:rPr>
          <w:rFonts w:hint="eastAsia" w:ascii="Cambria" w:hAnsi="Cambria" w:eastAsia="楷体_GB2312"/>
          <w:color w:val="auto"/>
          <w:sz w:val="34"/>
          <w:highlight w:val="none"/>
        </w:rPr>
        <w:t>第三节  实施重大项目</w:t>
      </w:r>
      <w:bookmarkEnd w:id="134"/>
      <w:bookmarkEnd w:id="135"/>
    </w:p>
    <w:p>
      <w:pPr>
        <w:adjustRightInd w:val="0"/>
        <w:snapToGrid w:val="0"/>
        <w:spacing w:line="360" w:lineRule="auto"/>
        <w:ind w:firstLine="640"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color w:val="auto"/>
          <w:sz w:val="32"/>
          <w:szCs w:val="32"/>
          <w:highlight w:val="none"/>
          <w:lang w:bidi="zh-TW"/>
        </w:rPr>
        <w:t>针对人力资源和社会保障公共服务领域的关键部位和薄弱环节，因地制宜、突出重点，安排实施一批涉及公共就业、社会保障、技工教育、人事人才、劳动关系、职业培训、信息化等方面的重大项目，实现重大政策措施与重大工程项目有机结合，促进基础设施的改善和管理服务能力的提升。加强项目实施的组织领导，明确项目实施责任主体，认真做好立项审批、资金筹集、项目实施、竣工验收各项工作，确保项目保质保量如期完成。</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136" w:name="_Toc27536"/>
      <w:bookmarkStart w:id="137" w:name="_Toc1728"/>
      <w:r>
        <w:rPr>
          <w:rFonts w:hint="eastAsia" w:ascii="Cambria" w:hAnsi="Cambria" w:eastAsia="楷体_GB2312"/>
          <w:color w:val="auto"/>
          <w:sz w:val="34"/>
          <w:highlight w:val="none"/>
        </w:rPr>
        <w:t>第四节  强化规划实施</w:t>
      </w:r>
      <w:bookmarkEnd w:id="136"/>
      <w:bookmarkEnd w:id="137"/>
    </w:p>
    <w:p>
      <w:pPr>
        <w:adjustRightInd w:val="0"/>
        <w:snapToGrid w:val="0"/>
        <w:spacing w:line="360" w:lineRule="auto"/>
        <w:ind w:firstLine="640"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color w:val="auto"/>
          <w:sz w:val="32"/>
          <w:szCs w:val="32"/>
          <w:highlight w:val="none"/>
          <w:lang w:bidi="zh-TW"/>
        </w:rPr>
        <w:t>建立健全规划实施机制，加强规划实施的动员部署、统筹协调和宏观指导，分解落实规划确定的发展目标和主要任务，制定重大项目实施管理办法，建立工作台账管理机制，明确责任分工，认真组织实施。各有关部门要积极配合，密切协作，加强对规划实施的动态监测和跟踪分析，及时发现和解决规划执行过程中存在的问题，定期组织对规划实施情况的检查，开展规划执行情况期中和期末评估，确保各项任务落到实处。</w:t>
      </w:r>
    </w:p>
    <w:p>
      <w:pPr>
        <w:adjustRightInd w:val="0"/>
        <w:snapToGrid w:val="0"/>
        <w:spacing w:before="360" w:beforeLines="150" w:line="480" w:lineRule="auto"/>
        <w:rPr>
          <w:rFonts w:ascii="仿宋_GB2312" w:hAnsi="仿宋_GB2312" w:eastAsia="仿宋_GB2312" w:cs="仿宋_GB2312"/>
          <w:b/>
          <w:color w:val="auto"/>
          <w:sz w:val="28"/>
          <w:szCs w:val="28"/>
          <w:highlight w:val="none"/>
          <w:lang w:bidi="zh-TW"/>
        </w:rPr>
        <w:sectPr>
          <w:footerReference r:id="rId4" w:type="default"/>
          <w:pgSz w:w="12240" w:h="15840"/>
          <w:pgMar w:top="1928" w:right="1474" w:bottom="1134" w:left="1474" w:header="720" w:footer="720" w:gutter="0"/>
          <w:pgNumType w:fmt="numberInDash" w:start="1"/>
          <w:cols w:space="720" w:num="1"/>
          <w:rtlGutter w:val="0"/>
          <w:docGrid w:linePitch="286" w:charSpace="0"/>
        </w:sectPr>
      </w:pPr>
    </w:p>
    <w:p>
      <w:pPr>
        <w:pStyle w:val="3"/>
        <w:adjustRightInd w:val="0"/>
        <w:snapToGrid w:val="0"/>
        <w:spacing w:before="120" w:beforeLines="50" w:after="120" w:afterLines="50" w:line="360" w:lineRule="auto"/>
        <w:jc w:val="center"/>
        <w:rPr>
          <w:rFonts w:ascii="Calibri" w:hAnsi="Calibri" w:eastAsia="黑体"/>
          <w:b w:val="0"/>
          <w:bCs/>
          <w:color w:val="auto"/>
          <w:sz w:val="36"/>
          <w:szCs w:val="36"/>
          <w:highlight w:val="none"/>
          <w:lang w:val="en-US"/>
        </w:rPr>
      </w:pPr>
      <w:bookmarkStart w:id="138" w:name="_Toc12387"/>
      <w:bookmarkStart w:id="139" w:name="_Toc30691"/>
      <w:r>
        <w:rPr>
          <w:rFonts w:hint="eastAsia" w:ascii="Calibri" w:hAnsi="Calibri" w:eastAsia="黑体"/>
          <w:b w:val="0"/>
          <w:bCs/>
          <w:color w:val="auto"/>
          <w:sz w:val="36"/>
          <w:szCs w:val="36"/>
          <w:highlight w:val="none"/>
          <w:lang w:val="en-US"/>
        </w:rPr>
        <w:t>附件：汕尾市人力资源和社会保障事业发展“十四五”规划重大项目表</w:t>
      </w:r>
      <w:bookmarkEnd w:id="138"/>
      <w:bookmarkEnd w:id="139"/>
    </w:p>
    <w:tbl>
      <w:tblPr>
        <w:tblStyle w:val="15"/>
        <w:tblW w:w="13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6933"/>
        <w:gridCol w:w="2306"/>
        <w:gridCol w:w="1678"/>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76"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序号</w:t>
            </w:r>
          </w:p>
        </w:tc>
        <w:tc>
          <w:tcPr>
            <w:tcW w:w="6933"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项目名称</w:t>
            </w:r>
          </w:p>
        </w:tc>
        <w:tc>
          <w:tcPr>
            <w:tcW w:w="2306"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总投资（亿元）</w:t>
            </w:r>
          </w:p>
        </w:tc>
        <w:tc>
          <w:tcPr>
            <w:tcW w:w="1678"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启动时间</w:t>
            </w:r>
          </w:p>
        </w:tc>
        <w:tc>
          <w:tcPr>
            <w:tcW w:w="1693"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76"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1</w:t>
            </w:r>
          </w:p>
        </w:tc>
        <w:tc>
          <w:tcPr>
            <w:tcW w:w="6933" w:type="dxa"/>
            <w:vAlign w:val="center"/>
          </w:tcPr>
          <w:p>
            <w:pPr>
              <w:adjustRightInd w:val="0"/>
              <w:snapToGrid w:val="0"/>
              <w:spacing w:line="360" w:lineRule="auto"/>
              <w:jc w:val="left"/>
              <w:rPr>
                <w:rFonts w:ascii="楷体_GB2312" w:eastAsia="楷体_GB2312"/>
                <w:color w:val="auto"/>
                <w:sz w:val="28"/>
                <w:szCs w:val="28"/>
                <w:highlight w:val="none"/>
              </w:rPr>
            </w:pPr>
            <w:r>
              <w:rPr>
                <w:rFonts w:hint="eastAsia" w:ascii="楷体_GB2312" w:eastAsia="楷体_GB2312"/>
                <w:color w:val="auto"/>
                <w:sz w:val="28"/>
                <w:szCs w:val="28"/>
                <w:highlight w:val="none"/>
              </w:rPr>
              <w:t>汕尾市高级技工学校二期项目</w:t>
            </w:r>
          </w:p>
        </w:tc>
        <w:tc>
          <w:tcPr>
            <w:tcW w:w="2306"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9.661</w:t>
            </w:r>
          </w:p>
        </w:tc>
        <w:tc>
          <w:tcPr>
            <w:tcW w:w="1678"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2020</w:t>
            </w:r>
          </w:p>
        </w:tc>
        <w:tc>
          <w:tcPr>
            <w:tcW w:w="1693"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76"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2</w:t>
            </w:r>
          </w:p>
        </w:tc>
        <w:tc>
          <w:tcPr>
            <w:tcW w:w="6933" w:type="dxa"/>
            <w:vAlign w:val="center"/>
          </w:tcPr>
          <w:p>
            <w:pPr>
              <w:adjustRightInd w:val="0"/>
              <w:snapToGrid w:val="0"/>
              <w:spacing w:line="360" w:lineRule="auto"/>
              <w:jc w:val="left"/>
              <w:rPr>
                <w:rFonts w:ascii="楷体_GB2312" w:eastAsia="楷体_GB2312"/>
                <w:color w:val="auto"/>
                <w:sz w:val="28"/>
                <w:szCs w:val="28"/>
                <w:highlight w:val="none"/>
              </w:rPr>
            </w:pPr>
            <w:r>
              <w:rPr>
                <w:rFonts w:hint="eastAsia" w:ascii="楷体_GB2312" w:eastAsia="楷体_GB2312"/>
                <w:color w:val="auto"/>
                <w:sz w:val="28"/>
                <w:szCs w:val="28"/>
                <w:highlight w:val="none"/>
              </w:rPr>
              <w:t>汕尾市城区人力资源社会保障综合服务中心建设项目</w:t>
            </w:r>
          </w:p>
        </w:tc>
        <w:tc>
          <w:tcPr>
            <w:tcW w:w="2306"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0.35</w:t>
            </w:r>
          </w:p>
        </w:tc>
        <w:tc>
          <w:tcPr>
            <w:tcW w:w="1678"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2020</w:t>
            </w:r>
          </w:p>
        </w:tc>
        <w:tc>
          <w:tcPr>
            <w:tcW w:w="1693"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76"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3</w:t>
            </w:r>
          </w:p>
        </w:tc>
        <w:tc>
          <w:tcPr>
            <w:tcW w:w="6933" w:type="dxa"/>
            <w:vAlign w:val="center"/>
          </w:tcPr>
          <w:p>
            <w:pPr>
              <w:adjustRightInd w:val="0"/>
              <w:snapToGrid w:val="0"/>
              <w:spacing w:line="360" w:lineRule="auto"/>
              <w:jc w:val="left"/>
              <w:rPr>
                <w:rFonts w:ascii="楷体_GB2312" w:eastAsia="楷体_GB2312"/>
                <w:color w:val="auto"/>
                <w:sz w:val="28"/>
                <w:szCs w:val="28"/>
                <w:highlight w:val="none"/>
              </w:rPr>
            </w:pPr>
            <w:r>
              <w:rPr>
                <w:rFonts w:hint="eastAsia" w:ascii="楷体_GB2312" w:eastAsia="楷体_GB2312"/>
                <w:color w:val="auto"/>
                <w:sz w:val="28"/>
                <w:szCs w:val="28"/>
                <w:highlight w:val="none"/>
              </w:rPr>
              <w:t>海丰县技工学校</w:t>
            </w:r>
          </w:p>
        </w:tc>
        <w:tc>
          <w:tcPr>
            <w:tcW w:w="2306"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3.5</w:t>
            </w:r>
          </w:p>
        </w:tc>
        <w:tc>
          <w:tcPr>
            <w:tcW w:w="1678"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2021</w:t>
            </w:r>
          </w:p>
        </w:tc>
        <w:tc>
          <w:tcPr>
            <w:tcW w:w="1693"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76"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4</w:t>
            </w:r>
          </w:p>
        </w:tc>
        <w:tc>
          <w:tcPr>
            <w:tcW w:w="6933" w:type="dxa"/>
            <w:vAlign w:val="center"/>
          </w:tcPr>
          <w:p>
            <w:pPr>
              <w:adjustRightInd w:val="0"/>
              <w:snapToGrid w:val="0"/>
              <w:spacing w:line="360" w:lineRule="auto"/>
              <w:jc w:val="left"/>
              <w:rPr>
                <w:rFonts w:ascii="楷体_GB2312" w:eastAsia="楷体_GB2312"/>
                <w:color w:val="auto"/>
                <w:sz w:val="28"/>
                <w:szCs w:val="28"/>
                <w:highlight w:val="none"/>
              </w:rPr>
            </w:pPr>
            <w:r>
              <w:rPr>
                <w:rFonts w:hint="eastAsia" w:ascii="楷体_GB2312" w:eastAsia="楷体_GB2312"/>
                <w:color w:val="auto"/>
                <w:sz w:val="28"/>
                <w:szCs w:val="28"/>
                <w:highlight w:val="none"/>
              </w:rPr>
              <w:t>陆丰市高级技工学校</w:t>
            </w:r>
          </w:p>
        </w:tc>
        <w:tc>
          <w:tcPr>
            <w:tcW w:w="2306"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8.215</w:t>
            </w:r>
          </w:p>
        </w:tc>
        <w:tc>
          <w:tcPr>
            <w:tcW w:w="1678"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2021</w:t>
            </w:r>
          </w:p>
        </w:tc>
        <w:tc>
          <w:tcPr>
            <w:tcW w:w="1693"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76"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5</w:t>
            </w:r>
          </w:p>
        </w:tc>
        <w:tc>
          <w:tcPr>
            <w:tcW w:w="6933" w:type="dxa"/>
            <w:vAlign w:val="center"/>
          </w:tcPr>
          <w:p>
            <w:pPr>
              <w:adjustRightInd w:val="0"/>
              <w:snapToGrid w:val="0"/>
              <w:spacing w:line="360" w:lineRule="auto"/>
              <w:jc w:val="left"/>
              <w:rPr>
                <w:rFonts w:ascii="楷体_GB2312" w:eastAsia="楷体_GB2312"/>
                <w:color w:val="auto"/>
                <w:sz w:val="28"/>
                <w:szCs w:val="28"/>
                <w:highlight w:val="none"/>
              </w:rPr>
            </w:pPr>
            <w:r>
              <w:rPr>
                <w:rFonts w:hint="eastAsia" w:ascii="楷体_GB2312" w:eastAsia="楷体_GB2312"/>
                <w:color w:val="auto"/>
                <w:sz w:val="28"/>
                <w:szCs w:val="28"/>
                <w:highlight w:val="none"/>
              </w:rPr>
              <w:t>陆河县新能源技工学校</w:t>
            </w:r>
          </w:p>
        </w:tc>
        <w:tc>
          <w:tcPr>
            <w:tcW w:w="2306"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3.9549</w:t>
            </w:r>
          </w:p>
        </w:tc>
        <w:tc>
          <w:tcPr>
            <w:tcW w:w="1678" w:type="dxa"/>
            <w:vAlign w:val="center"/>
          </w:tcPr>
          <w:p>
            <w:pPr>
              <w:adjustRightInd w:val="0"/>
              <w:snapToGrid w:val="0"/>
              <w:spacing w:line="360" w:lineRule="auto"/>
              <w:jc w:val="center"/>
              <w:rPr>
                <w:rFonts w:ascii="楷体_GB2312" w:eastAsia="楷体_GB2312"/>
                <w:color w:val="auto"/>
                <w:sz w:val="28"/>
                <w:szCs w:val="28"/>
                <w:highlight w:val="none"/>
              </w:rPr>
            </w:pPr>
            <w:r>
              <w:rPr>
                <w:rFonts w:ascii="楷体_GB2312" w:eastAsia="楷体_GB2312"/>
                <w:color w:val="auto"/>
                <w:sz w:val="28"/>
                <w:szCs w:val="28"/>
                <w:highlight w:val="none"/>
              </w:rPr>
              <w:t>2020</w:t>
            </w:r>
          </w:p>
        </w:tc>
        <w:tc>
          <w:tcPr>
            <w:tcW w:w="1693" w:type="dxa"/>
            <w:vAlign w:val="center"/>
          </w:tcPr>
          <w:p>
            <w:pPr>
              <w:adjustRightInd w:val="0"/>
              <w:snapToGrid w:val="0"/>
              <w:spacing w:line="360" w:lineRule="auto"/>
              <w:jc w:val="center"/>
              <w:rPr>
                <w:rFonts w:ascii="楷体_GB2312" w:eastAsia="楷体_GB2312"/>
                <w:color w:val="auto"/>
                <w:sz w:val="28"/>
                <w:szCs w:val="28"/>
                <w:highlight w:val="none"/>
              </w:rPr>
            </w:pPr>
            <w:r>
              <w:rPr>
                <w:rFonts w:ascii="楷体_GB2312" w:eastAsia="楷体_GB2312"/>
                <w:color w:val="auto"/>
                <w:sz w:val="28"/>
                <w:szCs w:val="28"/>
                <w:highlight w:val="none"/>
              </w:rPr>
              <w:t>202</w:t>
            </w:r>
            <w:r>
              <w:rPr>
                <w:rFonts w:hint="eastAsia" w:ascii="楷体_GB2312" w:eastAsia="楷体_GB2312"/>
                <w:color w:val="auto"/>
                <w:sz w:val="28"/>
                <w:szCs w:val="28"/>
                <w:highlight w:val="none"/>
              </w:rPr>
              <w:t>4</w:t>
            </w:r>
          </w:p>
        </w:tc>
      </w:tr>
    </w:tbl>
    <w:p>
      <w:pPr>
        <w:rPr>
          <w:color w:val="auto"/>
          <w:highlight w:val="none"/>
        </w:rPr>
      </w:pPr>
    </w:p>
    <w:p>
      <w:pPr>
        <w:pStyle w:val="8"/>
        <w:rPr>
          <w:color w:val="auto"/>
          <w:highlight w:val="none"/>
        </w:rPr>
      </w:pPr>
    </w:p>
    <w:p>
      <w:pPr>
        <w:pStyle w:val="9"/>
        <w:rPr>
          <w:color w:val="auto"/>
          <w:highlight w:val="none"/>
        </w:rPr>
      </w:pPr>
    </w:p>
    <w:p>
      <w:pPr>
        <w:pStyle w:val="6"/>
        <w:rPr>
          <w:color w:val="auto"/>
          <w:highlight w:val="none"/>
        </w:rPr>
      </w:pPr>
    </w:p>
    <w:p>
      <w:pPr>
        <w:rPr>
          <w:color w:val="auto"/>
          <w:highlight w:val="none"/>
        </w:rPr>
      </w:pPr>
    </w:p>
    <w:p>
      <w:pPr>
        <w:pStyle w:val="8"/>
        <w:rPr>
          <w:color w:val="auto"/>
          <w:highlight w:val="none"/>
        </w:rPr>
      </w:pPr>
    </w:p>
    <w:p>
      <w:pPr>
        <w:pStyle w:val="9"/>
        <w:rPr>
          <w:color w:val="auto"/>
          <w:highlight w:val="none"/>
        </w:rPr>
      </w:pPr>
    </w:p>
    <w:p>
      <w:pPr>
        <w:pStyle w:val="6"/>
        <w:rPr>
          <w:rFonts w:hint="eastAsia"/>
          <w:color w:val="auto"/>
          <w:highlight w:val="none"/>
        </w:rPr>
      </w:pPr>
    </w:p>
    <w:sectPr>
      <w:pgSz w:w="15840" w:h="12240" w:orient="landscape"/>
      <w:pgMar w:top="1797" w:right="1440" w:bottom="1797" w:left="1440" w:header="720" w:footer="720" w:gutter="0"/>
      <w:pgNumType w:fmt="numberInDash"/>
      <w:cols w:space="72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D578D"/>
    <w:multiLevelType w:val="singleLevel"/>
    <w:tmpl w:val="47CD578D"/>
    <w:lvl w:ilvl="0" w:tentative="0">
      <w:start w:val="3"/>
      <w:numFmt w:val="chineseCounting"/>
      <w:suff w:val="space"/>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A67"/>
    <w:rsid w:val="00004736"/>
    <w:rsid w:val="00006A1B"/>
    <w:rsid w:val="00023BF1"/>
    <w:rsid w:val="00027AA1"/>
    <w:rsid w:val="000305D6"/>
    <w:rsid w:val="00031272"/>
    <w:rsid w:val="000315EE"/>
    <w:rsid w:val="00053EE5"/>
    <w:rsid w:val="00070AE4"/>
    <w:rsid w:val="0008592B"/>
    <w:rsid w:val="000A1526"/>
    <w:rsid w:val="000C420A"/>
    <w:rsid w:val="000D7665"/>
    <w:rsid w:val="000E0A67"/>
    <w:rsid w:val="0011594B"/>
    <w:rsid w:val="0012125B"/>
    <w:rsid w:val="001252FD"/>
    <w:rsid w:val="001538E5"/>
    <w:rsid w:val="00155BBA"/>
    <w:rsid w:val="001644A7"/>
    <w:rsid w:val="00165EF7"/>
    <w:rsid w:val="00167E6F"/>
    <w:rsid w:val="00172C4C"/>
    <w:rsid w:val="001D138E"/>
    <w:rsid w:val="001D1527"/>
    <w:rsid w:val="001D45B3"/>
    <w:rsid w:val="0020051E"/>
    <w:rsid w:val="00202769"/>
    <w:rsid w:val="002075C1"/>
    <w:rsid w:val="00224D09"/>
    <w:rsid w:val="002375B8"/>
    <w:rsid w:val="00285BD1"/>
    <w:rsid w:val="002B7914"/>
    <w:rsid w:val="002C428C"/>
    <w:rsid w:val="002D62F0"/>
    <w:rsid w:val="002E365D"/>
    <w:rsid w:val="002F0A47"/>
    <w:rsid w:val="003018A2"/>
    <w:rsid w:val="00324AA0"/>
    <w:rsid w:val="00333097"/>
    <w:rsid w:val="00344769"/>
    <w:rsid w:val="00362B0B"/>
    <w:rsid w:val="00373BF8"/>
    <w:rsid w:val="00374087"/>
    <w:rsid w:val="00375157"/>
    <w:rsid w:val="00376202"/>
    <w:rsid w:val="003807DF"/>
    <w:rsid w:val="00380EF6"/>
    <w:rsid w:val="003A4884"/>
    <w:rsid w:val="003A6A99"/>
    <w:rsid w:val="003B2904"/>
    <w:rsid w:val="003B5009"/>
    <w:rsid w:val="003D0434"/>
    <w:rsid w:val="00426CE8"/>
    <w:rsid w:val="004331F1"/>
    <w:rsid w:val="0043549F"/>
    <w:rsid w:val="0046220F"/>
    <w:rsid w:val="0046304A"/>
    <w:rsid w:val="00482B7D"/>
    <w:rsid w:val="004D491D"/>
    <w:rsid w:val="004F7B3F"/>
    <w:rsid w:val="0051111B"/>
    <w:rsid w:val="0052226E"/>
    <w:rsid w:val="00544A0D"/>
    <w:rsid w:val="00544C38"/>
    <w:rsid w:val="00546EDD"/>
    <w:rsid w:val="005829AF"/>
    <w:rsid w:val="0058549D"/>
    <w:rsid w:val="00597CE0"/>
    <w:rsid w:val="005A35AF"/>
    <w:rsid w:val="005A4C8C"/>
    <w:rsid w:val="005A7E97"/>
    <w:rsid w:val="005C4A36"/>
    <w:rsid w:val="005F73DF"/>
    <w:rsid w:val="00636053"/>
    <w:rsid w:val="006363BF"/>
    <w:rsid w:val="00656B46"/>
    <w:rsid w:val="006651AD"/>
    <w:rsid w:val="00665274"/>
    <w:rsid w:val="00675B24"/>
    <w:rsid w:val="006A032F"/>
    <w:rsid w:val="006B15E8"/>
    <w:rsid w:val="006B432A"/>
    <w:rsid w:val="006B57D9"/>
    <w:rsid w:val="006B7D0B"/>
    <w:rsid w:val="006D1AAA"/>
    <w:rsid w:val="006D5811"/>
    <w:rsid w:val="006E4A34"/>
    <w:rsid w:val="00701E03"/>
    <w:rsid w:val="007028E5"/>
    <w:rsid w:val="007122F2"/>
    <w:rsid w:val="007157CD"/>
    <w:rsid w:val="00731486"/>
    <w:rsid w:val="00734148"/>
    <w:rsid w:val="00736310"/>
    <w:rsid w:val="007417D4"/>
    <w:rsid w:val="00742ADF"/>
    <w:rsid w:val="007962EE"/>
    <w:rsid w:val="007B4C18"/>
    <w:rsid w:val="007C51D4"/>
    <w:rsid w:val="007F13A2"/>
    <w:rsid w:val="007F7323"/>
    <w:rsid w:val="00815636"/>
    <w:rsid w:val="00833F54"/>
    <w:rsid w:val="00843F63"/>
    <w:rsid w:val="008500B0"/>
    <w:rsid w:val="00851D2C"/>
    <w:rsid w:val="008520B2"/>
    <w:rsid w:val="008523B9"/>
    <w:rsid w:val="00861D9D"/>
    <w:rsid w:val="00877325"/>
    <w:rsid w:val="00880D58"/>
    <w:rsid w:val="00891309"/>
    <w:rsid w:val="0089163B"/>
    <w:rsid w:val="008960D5"/>
    <w:rsid w:val="008A7B5F"/>
    <w:rsid w:val="008C5246"/>
    <w:rsid w:val="008C5777"/>
    <w:rsid w:val="008E3CCB"/>
    <w:rsid w:val="008F28FF"/>
    <w:rsid w:val="00900261"/>
    <w:rsid w:val="00917A9D"/>
    <w:rsid w:val="00935152"/>
    <w:rsid w:val="00935913"/>
    <w:rsid w:val="00952435"/>
    <w:rsid w:val="00952D89"/>
    <w:rsid w:val="0097173A"/>
    <w:rsid w:val="00976333"/>
    <w:rsid w:val="00980D9F"/>
    <w:rsid w:val="00983F58"/>
    <w:rsid w:val="00994614"/>
    <w:rsid w:val="00996444"/>
    <w:rsid w:val="009A2CC8"/>
    <w:rsid w:val="009D327E"/>
    <w:rsid w:val="009F1408"/>
    <w:rsid w:val="00A06D7D"/>
    <w:rsid w:val="00A30515"/>
    <w:rsid w:val="00A31438"/>
    <w:rsid w:val="00A31E52"/>
    <w:rsid w:val="00A42F2E"/>
    <w:rsid w:val="00A51808"/>
    <w:rsid w:val="00A63551"/>
    <w:rsid w:val="00A84423"/>
    <w:rsid w:val="00A92CBE"/>
    <w:rsid w:val="00AB5DDD"/>
    <w:rsid w:val="00AC09B7"/>
    <w:rsid w:val="00AC1CF8"/>
    <w:rsid w:val="00AD39D5"/>
    <w:rsid w:val="00AE5F9B"/>
    <w:rsid w:val="00AE6862"/>
    <w:rsid w:val="00AE7B5D"/>
    <w:rsid w:val="00AF2413"/>
    <w:rsid w:val="00B3067B"/>
    <w:rsid w:val="00B43900"/>
    <w:rsid w:val="00B46E20"/>
    <w:rsid w:val="00B70F0E"/>
    <w:rsid w:val="00B75D04"/>
    <w:rsid w:val="00BB7166"/>
    <w:rsid w:val="00BC00BC"/>
    <w:rsid w:val="00BD4AC5"/>
    <w:rsid w:val="00BE22F3"/>
    <w:rsid w:val="00BE4F99"/>
    <w:rsid w:val="00BF01E6"/>
    <w:rsid w:val="00BF4D78"/>
    <w:rsid w:val="00C01071"/>
    <w:rsid w:val="00C05153"/>
    <w:rsid w:val="00C0624D"/>
    <w:rsid w:val="00C106E4"/>
    <w:rsid w:val="00C2125A"/>
    <w:rsid w:val="00C53091"/>
    <w:rsid w:val="00C55410"/>
    <w:rsid w:val="00C56702"/>
    <w:rsid w:val="00C612EC"/>
    <w:rsid w:val="00CB7646"/>
    <w:rsid w:val="00CC689E"/>
    <w:rsid w:val="00CD0C02"/>
    <w:rsid w:val="00CD3517"/>
    <w:rsid w:val="00CD3CFE"/>
    <w:rsid w:val="00CD53DD"/>
    <w:rsid w:val="00D042A8"/>
    <w:rsid w:val="00D31F50"/>
    <w:rsid w:val="00D45CB3"/>
    <w:rsid w:val="00D5748B"/>
    <w:rsid w:val="00D615E1"/>
    <w:rsid w:val="00D90321"/>
    <w:rsid w:val="00D94E23"/>
    <w:rsid w:val="00DB2512"/>
    <w:rsid w:val="00DC08A2"/>
    <w:rsid w:val="00DC24FC"/>
    <w:rsid w:val="00DC3FAD"/>
    <w:rsid w:val="00DF020A"/>
    <w:rsid w:val="00E01EE5"/>
    <w:rsid w:val="00E1013A"/>
    <w:rsid w:val="00E22539"/>
    <w:rsid w:val="00E339F1"/>
    <w:rsid w:val="00E459F9"/>
    <w:rsid w:val="00E538C4"/>
    <w:rsid w:val="00E7454C"/>
    <w:rsid w:val="00E90CD9"/>
    <w:rsid w:val="00EA5176"/>
    <w:rsid w:val="00EA780E"/>
    <w:rsid w:val="00EB77B5"/>
    <w:rsid w:val="00EC2CDA"/>
    <w:rsid w:val="00ED0196"/>
    <w:rsid w:val="00ED101F"/>
    <w:rsid w:val="00ED4636"/>
    <w:rsid w:val="00F03C27"/>
    <w:rsid w:val="00F04EF5"/>
    <w:rsid w:val="00F05433"/>
    <w:rsid w:val="00F16CB0"/>
    <w:rsid w:val="00F2138E"/>
    <w:rsid w:val="00F26E93"/>
    <w:rsid w:val="00F338F7"/>
    <w:rsid w:val="00F41C55"/>
    <w:rsid w:val="00F60BC3"/>
    <w:rsid w:val="00F8496E"/>
    <w:rsid w:val="00FA407E"/>
    <w:rsid w:val="00FD3C82"/>
    <w:rsid w:val="00FE0748"/>
    <w:rsid w:val="00FE79E6"/>
    <w:rsid w:val="050D173A"/>
    <w:rsid w:val="05863CB8"/>
    <w:rsid w:val="05C13F5F"/>
    <w:rsid w:val="08225B75"/>
    <w:rsid w:val="089E1949"/>
    <w:rsid w:val="08C74D64"/>
    <w:rsid w:val="097B41C7"/>
    <w:rsid w:val="0A5859E4"/>
    <w:rsid w:val="0A9C1892"/>
    <w:rsid w:val="0BD86A2D"/>
    <w:rsid w:val="0C8C397F"/>
    <w:rsid w:val="0DD9243E"/>
    <w:rsid w:val="0E67321C"/>
    <w:rsid w:val="0EC84BE9"/>
    <w:rsid w:val="0FF82EF7"/>
    <w:rsid w:val="106E5370"/>
    <w:rsid w:val="12F00633"/>
    <w:rsid w:val="12F33869"/>
    <w:rsid w:val="14A136C6"/>
    <w:rsid w:val="15C80F40"/>
    <w:rsid w:val="15DE7482"/>
    <w:rsid w:val="18BD73E8"/>
    <w:rsid w:val="195E47DD"/>
    <w:rsid w:val="19D66112"/>
    <w:rsid w:val="19DA0016"/>
    <w:rsid w:val="1C1016A2"/>
    <w:rsid w:val="1CC50217"/>
    <w:rsid w:val="1DD033A5"/>
    <w:rsid w:val="1E305FC2"/>
    <w:rsid w:val="1E691D90"/>
    <w:rsid w:val="1E9F60CA"/>
    <w:rsid w:val="1EBF60D5"/>
    <w:rsid w:val="2128594C"/>
    <w:rsid w:val="214424AC"/>
    <w:rsid w:val="2192601D"/>
    <w:rsid w:val="23063AA3"/>
    <w:rsid w:val="25646D8E"/>
    <w:rsid w:val="263937C7"/>
    <w:rsid w:val="27E16DBB"/>
    <w:rsid w:val="2830131F"/>
    <w:rsid w:val="28706017"/>
    <w:rsid w:val="29C4044A"/>
    <w:rsid w:val="2A2D054E"/>
    <w:rsid w:val="2B5D4528"/>
    <w:rsid w:val="2C8E3AEB"/>
    <w:rsid w:val="2DC500DC"/>
    <w:rsid w:val="2E0C3266"/>
    <w:rsid w:val="2E242287"/>
    <w:rsid w:val="2E6B69F6"/>
    <w:rsid w:val="2F6D40B9"/>
    <w:rsid w:val="2FC66201"/>
    <w:rsid w:val="3156378B"/>
    <w:rsid w:val="317D78BE"/>
    <w:rsid w:val="31B62F51"/>
    <w:rsid w:val="3233147B"/>
    <w:rsid w:val="34767E59"/>
    <w:rsid w:val="349C79C6"/>
    <w:rsid w:val="34F83656"/>
    <w:rsid w:val="36A026B3"/>
    <w:rsid w:val="37722D64"/>
    <w:rsid w:val="3BB83A2C"/>
    <w:rsid w:val="3C4B7DFC"/>
    <w:rsid w:val="3D5D6572"/>
    <w:rsid w:val="3E293168"/>
    <w:rsid w:val="408A0AD4"/>
    <w:rsid w:val="41D23F8C"/>
    <w:rsid w:val="4268038C"/>
    <w:rsid w:val="431412DC"/>
    <w:rsid w:val="43177774"/>
    <w:rsid w:val="47056C51"/>
    <w:rsid w:val="477B2F42"/>
    <w:rsid w:val="484F2425"/>
    <w:rsid w:val="486E0961"/>
    <w:rsid w:val="498D6BB3"/>
    <w:rsid w:val="49921EA1"/>
    <w:rsid w:val="49F93EE8"/>
    <w:rsid w:val="4DDB7B0D"/>
    <w:rsid w:val="4DDC6F87"/>
    <w:rsid w:val="4EED460D"/>
    <w:rsid w:val="4F822239"/>
    <w:rsid w:val="50316572"/>
    <w:rsid w:val="51156A77"/>
    <w:rsid w:val="522B6F8C"/>
    <w:rsid w:val="52A50736"/>
    <w:rsid w:val="53AE4B1D"/>
    <w:rsid w:val="53D1314E"/>
    <w:rsid w:val="56AE0064"/>
    <w:rsid w:val="57570794"/>
    <w:rsid w:val="58B24F58"/>
    <w:rsid w:val="59FF3702"/>
    <w:rsid w:val="5B894E19"/>
    <w:rsid w:val="5CEE26C7"/>
    <w:rsid w:val="5E9129FF"/>
    <w:rsid w:val="60272889"/>
    <w:rsid w:val="6155629D"/>
    <w:rsid w:val="62323FA9"/>
    <w:rsid w:val="65483B9D"/>
    <w:rsid w:val="65DB6722"/>
    <w:rsid w:val="66097F12"/>
    <w:rsid w:val="67634BA8"/>
    <w:rsid w:val="682E3026"/>
    <w:rsid w:val="6909631E"/>
    <w:rsid w:val="699750F0"/>
    <w:rsid w:val="69C41DF0"/>
    <w:rsid w:val="6A9E6FFD"/>
    <w:rsid w:val="6B5B7A7E"/>
    <w:rsid w:val="6DF356DD"/>
    <w:rsid w:val="6F380548"/>
    <w:rsid w:val="731050CC"/>
    <w:rsid w:val="73E0621E"/>
    <w:rsid w:val="74C649F5"/>
    <w:rsid w:val="76A35B6B"/>
    <w:rsid w:val="7C8D6B60"/>
    <w:rsid w:val="7F5C19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9"/>
    <w:qFormat/>
    <w:uiPriority w:val="0"/>
    <w:pPr>
      <w:spacing w:after="160" w:line="259" w:lineRule="auto"/>
      <w:jc w:val="left"/>
      <w:outlineLvl w:val="0"/>
    </w:pPr>
    <w:rPr>
      <w:rFonts w:ascii="宋体" w:hAnsi="宋体" w:eastAsia="宋体" w:cs="Times New Roman"/>
      <w:b/>
      <w:kern w:val="44"/>
      <w:sz w:val="48"/>
      <w:szCs w:val="48"/>
      <w:lang w:val="zh-CN"/>
    </w:rPr>
  </w:style>
  <w:style w:type="paragraph" w:styleId="4">
    <w:name w:val="heading 2"/>
    <w:basedOn w:val="1"/>
    <w:next w:val="1"/>
    <w:link w:val="25"/>
    <w:qFormat/>
    <w:uiPriority w:val="0"/>
    <w:pPr>
      <w:keepNext/>
      <w:keepLines/>
      <w:spacing w:before="260" w:after="260" w:line="413" w:lineRule="auto"/>
      <w:outlineLvl w:val="1"/>
    </w:pPr>
    <w:rPr>
      <w:rFonts w:ascii="Arial" w:hAnsi="Arial" w:eastAsia="黑体" w:cs="Times New Roman"/>
      <w:b/>
      <w:sz w:val="32"/>
      <w:szCs w:val="32"/>
    </w:rPr>
  </w:style>
  <w:style w:type="paragraph" w:styleId="5">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6">
    <w:name w:val="index 5"/>
    <w:basedOn w:val="1"/>
    <w:next w:val="1"/>
    <w:qFormat/>
    <w:uiPriority w:val="0"/>
    <w:pPr>
      <w:ind w:left="1680"/>
    </w:pPr>
  </w:style>
  <w:style w:type="paragraph" w:styleId="7">
    <w:name w:val="annotation text"/>
    <w:basedOn w:val="1"/>
    <w:link w:val="26"/>
    <w:unhideWhenUsed/>
    <w:qFormat/>
    <w:uiPriority w:val="99"/>
    <w:pPr>
      <w:jc w:val="left"/>
    </w:pPr>
  </w:style>
  <w:style w:type="paragraph" w:styleId="8">
    <w:name w:val="Body Text"/>
    <w:basedOn w:val="1"/>
    <w:next w:val="9"/>
    <w:link w:val="21"/>
    <w:qFormat/>
    <w:uiPriority w:val="0"/>
    <w:pPr>
      <w:spacing w:after="120"/>
    </w:pPr>
    <w:rPr>
      <w:rFonts w:eastAsia="仿宋_GB2312"/>
      <w:sz w:val="32"/>
      <w:szCs w:val="32"/>
    </w:rPr>
  </w:style>
  <w:style w:type="paragraph" w:styleId="9">
    <w:name w:val="footer"/>
    <w:basedOn w:val="1"/>
    <w:next w:val="6"/>
    <w:link w:val="27"/>
    <w:unhideWhenUsed/>
    <w:qFormat/>
    <w:uiPriority w:val="99"/>
    <w:pPr>
      <w:tabs>
        <w:tab w:val="center" w:pos="4153"/>
        <w:tab w:val="right" w:pos="8306"/>
      </w:tabs>
      <w:snapToGrid w:val="0"/>
      <w:jc w:val="left"/>
    </w:pPr>
    <w:rPr>
      <w:sz w:val="18"/>
      <w:szCs w:val="18"/>
    </w:rPr>
  </w:style>
  <w:style w:type="paragraph" w:styleId="10">
    <w:name w:val="Balloon Text"/>
    <w:basedOn w:val="1"/>
    <w:link w:val="22"/>
    <w:unhideWhenUsed/>
    <w:qFormat/>
    <w:uiPriority w:val="99"/>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annotation subject"/>
    <w:basedOn w:val="7"/>
    <w:next w:val="7"/>
    <w:link w:val="30"/>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unhideWhenUsed/>
    <w:qFormat/>
    <w:uiPriority w:val="99"/>
    <w:rPr>
      <w:color w:val="0000FF"/>
      <w:u w:val="single"/>
    </w:rPr>
  </w:style>
  <w:style w:type="character" w:styleId="18">
    <w:name w:val="annotation reference"/>
    <w:basedOn w:val="16"/>
    <w:unhideWhenUsed/>
    <w:qFormat/>
    <w:uiPriority w:val="99"/>
    <w:rPr>
      <w:sz w:val="21"/>
      <w:szCs w:val="21"/>
    </w:rPr>
  </w:style>
  <w:style w:type="paragraph" w:styleId="19">
    <w:name w:val="List Paragraph"/>
    <w:basedOn w:val="1"/>
    <w:qFormat/>
    <w:uiPriority w:val="34"/>
    <w:pPr>
      <w:ind w:firstLine="420" w:firstLineChars="200"/>
    </w:pPr>
  </w:style>
  <w:style w:type="paragraph" w:customStyle="1" w:styleId="20">
    <w:name w:val="Body text|1"/>
    <w:basedOn w:val="1"/>
    <w:link w:val="31"/>
    <w:qFormat/>
    <w:uiPriority w:val="0"/>
    <w:pPr>
      <w:spacing w:line="468" w:lineRule="auto"/>
      <w:ind w:firstLine="400"/>
      <w:jc w:val="left"/>
    </w:pPr>
    <w:rPr>
      <w:rFonts w:ascii="宋体" w:hAnsi="宋体" w:cs="宋体"/>
      <w:sz w:val="26"/>
      <w:szCs w:val="26"/>
      <w:lang w:val="zh-TW" w:eastAsia="zh-TW" w:bidi="zh-TW"/>
    </w:rPr>
  </w:style>
  <w:style w:type="character" w:customStyle="1" w:styleId="21">
    <w:name w:val="正文文本 Char"/>
    <w:basedOn w:val="16"/>
    <w:link w:val="8"/>
    <w:qFormat/>
    <w:uiPriority w:val="0"/>
    <w:rPr>
      <w:rFonts w:eastAsia="仿宋_GB2312"/>
      <w:sz w:val="32"/>
      <w:szCs w:val="32"/>
    </w:rPr>
  </w:style>
  <w:style w:type="character" w:customStyle="1" w:styleId="22">
    <w:name w:val="批注框文本 Char"/>
    <w:basedOn w:val="16"/>
    <w:link w:val="10"/>
    <w:semiHidden/>
    <w:qFormat/>
    <w:uiPriority w:val="99"/>
    <w:rPr>
      <w:sz w:val="18"/>
      <w:szCs w:val="18"/>
    </w:rPr>
  </w:style>
  <w:style w:type="character" w:customStyle="1" w:styleId="23">
    <w:name w:val="标题 3 Char"/>
    <w:basedOn w:val="16"/>
    <w:link w:val="5"/>
    <w:semiHidden/>
    <w:qFormat/>
    <w:uiPriority w:val="9"/>
    <w:rPr>
      <w:b/>
      <w:bCs/>
      <w:sz w:val="32"/>
      <w:szCs w:val="32"/>
    </w:rPr>
  </w:style>
  <w:style w:type="character" w:customStyle="1" w:styleId="24">
    <w:name w:val="页眉 Char"/>
    <w:basedOn w:val="16"/>
    <w:link w:val="11"/>
    <w:qFormat/>
    <w:uiPriority w:val="99"/>
    <w:rPr>
      <w:sz w:val="18"/>
      <w:szCs w:val="18"/>
    </w:rPr>
  </w:style>
  <w:style w:type="character" w:customStyle="1" w:styleId="25">
    <w:name w:val="标题 2 Char"/>
    <w:basedOn w:val="16"/>
    <w:link w:val="4"/>
    <w:qFormat/>
    <w:uiPriority w:val="0"/>
    <w:rPr>
      <w:rFonts w:ascii="Arial" w:hAnsi="Arial" w:eastAsia="黑体" w:cs="Times New Roman"/>
      <w:b/>
      <w:sz w:val="32"/>
      <w:szCs w:val="32"/>
    </w:rPr>
  </w:style>
  <w:style w:type="character" w:customStyle="1" w:styleId="26">
    <w:name w:val="批注文字 Char"/>
    <w:basedOn w:val="16"/>
    <w:link w:val="7"/>
    <w:semiHidden/>
    <w:qFormat/>
    <w:uiPriority w:val="99"/>
  </w:style>
  <w:style w:type="character" w:customStyle="1" w:styleId="27">
    <w:name w:val="页脚 Char"/>
    <w:basedOn w:val="16"/>
    <w:link w:val="9"/>
    <w:qFormat/>
    <w:uiPriority w:val="99"/>
    <w:rPr>
      <w:sz w:val="18"/>
      <w:szCs w:val="18"/>
    </w:rPr>
  </w:style>
  <w:style w:type="character" w:customStyle="1" w:styleId="28">
    <w:name w:val="正文文本 Char1"/>
    <w:basedOn w:val="16"/>
    <w:semiHidden/>
    <w:qFormat/>
    <w:uiPriority w:val="99"/>
  </w:style>
  <w:style w:type="character" w:customStyle="1" w:styleId="29">
    <w:name w:val="标题 1 Char"/>
    <w:basedOn w:val="16"/>
    <w:link w:val="3"/>
    <w:qFormat/>
    <w:uiPriority w:val="0"/>
    <w:rPr>
      <w:rFonts w:ascii="宋体" w:hAnsi="宋体" w:eastAsia="宋体" w:cs="Times New Roman"/>
      <w:b/>
      <w:kern w:val="44"/>
      <w:sz w:val="48"/>
      <w:szCs w:val="48"/>
      <w:lang w:val="zh-CN" w:eastAsia="zh-CN"/>
    </w:rPr>
  </w:style>
  <w:style w:type="character" w:customStyle="1" w:styleId="30">
    <w:name w:val="批注主题 Char"/>
    <w:basedOn w:val="26"/>
    <w:link w:val="13"/>
    <w:semiHidden/>
    <w:qFormat/>
    <w:uiPriority w:val="99"/>
    <w:rPr>
      <w:b/>
      <w:bCs/>
    </w:rPr>
  </w:style>
  <w:style w:type="character" w:customStyle="1" w:styleId="31">
    <w:name w:val="Body text|1_"/>
    <w:basedOn w:val="16"/>
    <w:link w:val="20"/>
    <w:qFormat/>
    <w:uiPriority w:val="0"/>
    <w:rPr>
      <w:rFonts w:ascii="宋体" w:hAnsi="宋体" w:cs="宋体"/>
      <w:sz w:val="26"/>
      <w:szCs w:val="26"/>
      <w:lang w:val="zh-TW" w:eastAsia="zh-TW" w:bidi="zh-TW"/>
    </w:rPr>
  </w:style>
  <w:style w:type="character" w:customStyle="1" w:styleId="32">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35214</Words>
  <Characters>35951</Characters>
  <Lines>286</Lines>
  <Paragraphs>80</Paragraphs>
  <TotalTime>14</TotalTime>
  <ScaleCrop>false</ScaleCrop>
  <LinksUpToDate>false</LinksUpToDate>
  <CharactersWithSpaces>36648</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2021-12-28T02:42:00Z</dcterms:created>
  <dc:creator>zhzhg</dc:creator>
  <cp:lastModifiedBy>信</cp:lastModifiedBy>
  <cp:lastPrinted>2022-01-28T02:21:00Z</cp:lastPrinted>
  <dcterms:modified xsi:type="dcterms:W3CDTF">2022-05-16T07:49:18Z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81A0198A8F634ECFB98070E6B9DFE3C8</vt:lpwstr>
  </property>
</Properties>
</file>