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spacing w:line="560" w:lineRule="exact"/>
        <w:jc w:val="left"/>
        <w:rPr>
          <w:rFonts w:hint="eastAsia" w:ascii="仿宋" w:hAnsi="仿宋" w:eastAsia="仿宋" w:cs="仿宋"/>
          <w:sz w:val="32"/>
          <w:szCs w:val="32"/>
          <w:lang w:eastAsia="zh-CN"/>
        </w:rPr>
      </w:pPr>
      <w:r>
        <w:rPr>
          <w:rFonts w:hint="eastAsia" w:ascii="黑体" w:hAnsi="黑体" w:eastAsia="黑体" w:cs="黑体"/>
          <w:sz w:val="32"/>
          <w:szCs w:val="32"/>
          <w:lang w:eastAsia="zh-CN"/>
        </w:rPr>
        <w:t>附件</w:t>
      </w:r>
    </w:p>
    <w:p>
      <w:pPr>
        <w:bidi w:val="0"/>
        <w:spacing w:line="560" w:lineRule="exact"/>
        <w:jc w:val="left"/>
        <w:rPr>
          <w:rFonts w:hint="eastAsia" w:ascii="仿宋" w:hAnsi="仿宋" w:eastAsia="仿宋" w:cs="仿宋"/>
          <w:sz w:val="32"/>
          <w:szCs w:val="32"/>
          <w:lang w:eastAsia="zh-CN"/>
        </w:rPr>
      </w:pPr>
    </w:p>
    <w:p>
      <w:pPr>
        <w:bidi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汕尾市</w:t>
      </w:r>
      <w:r>
        <w:rPr>
          <w:rFonts w:hint="eastAsia" w:ascii="方正小标宋简体" w:hAnsi="方正小标宋简体" w:eastAsia="方正小标宋简体" w:cs="方正小标宋简体"/>
          <w:sz w:val="44"/>
          <w:szCs w:val="44"/>
        </w:rPr>
        <w:t>2022年水污染防治攻坚工作方案</w:t>
      </w:r>
    </w:p>
    <w:p>
      <w:pPr>
        <w:numPr>
          <w:ilvl w:val="0"/>
          <w:numId w:val="0"/>
        </w:numPr>
        <w:jc w:val="center"/>
        <w:rPr>
          <w:rFonts w:hint="eastAsia"/>
          <w:lang w:eastAsia="zh-CN"/>
        </w:rPr>
      </w:pPr>
      <w:r>
        <w:rPr>
          <w:rFonts w:hint="eastAsia"/>
          <w:lang w:eastAsia="zh-CN"/>
        </w:rPr>
        <w:t>（征求意见稿）</w:t>
      </w:r>
    </w:p>
    <w:p>
      <w:pPr>
        <w:keepNext w:val="0"/>
        <w:keepLines w:val="0"/>
        <w:pageBreakBefore w:val="0"/>
        <w:widowControl w:val="0"/>
        <w:kinsoku/>
        <w:wordWrap/>
        <w:overflowPunct/>
        <w:topLinePunct w:val="0"/>
        <w:autoSpaceDE/>
        <w:autoSpaceDN/>
        <w:bidi w:val="0"/>
        <w:adjustRightInd/>
        <w:snapToGrid/>
        <w:textAlignment w:val="auto"/>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为贯彻落实《中共中央 国务院关于深入打好污染防治攻坚战的意见》</w:t>
      </w:r>
      <w:r>
        <w:rPr>
          <w:rFonts w:hint="eastAsia"/>
          <w:lang w:eastAsia="zh-CN"/>
        </w:rPr>
        <w:t>《中共广东省委 广东省人民政府关于深入打好污染防治攻坚战的实施意见》《广东省2022年水污染防治攻坚工作方案》</w:t>
      </w:r>
      <w:r>
        <w:rPr>
          <w:rFonts w:hint="default" w:cs="Times New Roman"/>
          <w:b w:val="0"/>
          <w:bCs w:val="0"/>
          <w:color w:val="auto"/>
          <w:kern w:val="0"/>
          <w:sz w:val="32"/>
          <w:szCs w:val="32"/>
          <w:highlight w:val="none"/>
          <w:u w:val="none"/>
          <w:lang w:eastAsia="zh-CN"/>
        </w:rPr>
        <w:t>，</w:t>
      </w:r>
      <w:r>
        <w:rPr>
          <w:rFonts w:hint="eastAsia"/>
        </w:rPr>
        <w:t>深入打好</w:t>
      </w:r>
      <w:r>
        <w:rPr>
          <w:rFonts w:hint="eastAsia"/>
          <w:lang w:val="en-US" w:eastAsia="zh-CN"/>
        </w:rPr>
        <w:t>2022年</w:t>
      </w:r>
      <w:r>
        <w:rPr>
          <w:rFonts w:hint="eastAsia"/>
        </w:rPr>
        <w:t>水污染防治攻坚战，</w:t>
      </w:r>
      <w:r>
        <w:rPr>
          <w:rFonts w:hint="eastAsia"/>
          <w:lang w:val="en-US" w:eastAsia="zh-CN"/>
        </w:rPr>
        <w:t>确保完成国家、省下达的水生态环境保护任务</w:t>
      </w:r>
      <w:r>
        <w:rPr>
          <w:rFonts w:hint="eastAsia"/>
        </w:rPr>
        <w:t>，制定本工作方案。</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黑体" w:hAnsi="黑体" w:eastAsia="黑体" w:cs="黑体"/>
          <w:lang w:eastAsia="zh-CN"/>
        </w:rPr>
      </w:pPr>
      <w:r>
        <w:rPr>
          <w:rFonts w:hint="eastAsia" w:ascii="黑体" w:hAnsi="黑体" w:eastAsia="黑体" w:cs="黑体"/>
        </w:rPr>
        <w:t>一、</w:t>
      </w:r>
      <w:r>
        <w:rPr>
          <w:rFonts w:hint="eastAsia" w:ascii="黑体" w:hAnsi="黑体" w:eastAsia="黑体" w:cs="黑体"/>
          <w:lang w:val="en-US" w:eastAsia="zh-CN"/>
        </w:rPr>
        <w:t>总体要求</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cs="Times New Roman"/>
        </w:rPr>
      </w:pPr>
      <w:r>
        <w:rPr>
          <w:rFonts w:hint="default" w:cs="Times New Roman"/>
        </w:rPr>
        <w:t>2022年，全</w:t>
      </w:r>
      <w:r>
        <w:rPr>
          <w:rFonts w:hint="eastAsia" w:cs="Times New Roman"/>
          <w:lang w:eastAsia="zh-CN"/>
        </w:rPr>
        <w:t>市</w:t>
      </w:r>
      <w:r>
        <w:rPr>
          <w:rFonts w:hint="default" w:cs="Times New Roman"/>
        </w:rPr>
        <w:t>国考断面</w:t>
      </w:r>
      <w:r>
        <w:rPr>
          <w:rFonts w:hint="default" w:cs="Times New Roman"/>
          <w:lang w:val="en-US" w:eastAsia="zh-CN"/>
        </w:rPr>
        <w:t>水质</w:t>
      </w:r>
      <w:r>
        <w:rPr>
          <w:rFonts w:hint="default" w:cs="Times New Roman"/>
        </w:rPr>
        <w:t>优良（达到或优于Ⅲ类）比例达到</w:t>
      </w:r>
      <w:r>
        <w:rPr>
          <w:rFonts w:hint="eastAsia" w:cs="Times New Roman"/>
          <w:lang w:val="en-US" w:eastAsia="zh-CN"/>
        </w:rPr>
        <w:t>100</w:t>
      </w:r>
      <w:r>
        <w:rPr>
          <w:rFonts w:hint="default" w:cs="Times New Roman"/>
        </w:rPr>
        <w:t>%，劣Ⅴ类断面比例</w:t>
      </w:r>
      <w:r>
        <w:rPr>
          <w:rFonts w:hint="eastAsia" w:cs="Times New Roman"/>
          <w:lang w:eastAsia="zh-CN"/>
        </w:rPr>
        <w:t>控制为</w:t>
      </w:r>
      <w:r>
        <w:rPr>
          <w:rFonts w:hint="eastAsia" w:cs="Times New Roman"/>
          <w:lang w:val="en-US" w:eastAsia="zh-CN"/>
        </w:rPr>
        <w:t>0</w:t>
      </w:r>
      <w:r>
        <w:rPr>
          <w:rFonts w:hint="eastAsia" w:cs="Times New Roman"/>
          <w:lang w:eastAsia="zh-CN"/>
        </w:rPr>
        <w:t>，</w:t>
      </w:r>
      <w:r>
        <w:rPr>
          <w:rFonts w:hint="default" w:cs="Times New Roman"/>
        </w:rPr>
        <w:t>省考断面达到年度水质目标要求，县级及以上城市集中式饮用水水源地水质稳定达标，</w:t>
      </w:r>
      <w:r>
        <w:rPr>
          <w:rFonts w:hint="default" w:cs="Times New Roman"/>
          <w:lang w:val="en-US" w:eastAsia="zh-CN"/>
        </w:rPr>
        <w:t>农村生活污水治理和农村黑臭水体整治民生实事任务保质保量完成（附件1）。</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default" w:cs="Times New Roman"/>
        </w:rPr>
        <w:t>重点</w:t>
      </w:r>
      <w:r>
        <w:rPr>
          <w:rFonts w:hint="default" w:cs="Times New Roman"/>
          <w:lang w:val="en-US" w:eastAsia="zh-CN"/>
        </w:rPr>
        <w:t>攻坚</w:t>
      </w:r>
      <w:r>
        <w:rPr>
          <w:rFonts w:hint="default" w:cs="Times New Roman"/>
        </w:rPr>
        <w:t>国考断面</w:t>
      </w:r>
      <w:r>
        <w:rPr>
          <w:rFonts w:hint="default" w:cs="Times New Roman"/>
          <w:lang w:eastAsia="zh-CN"/>
        </w:rPr>
        <w:t>（</w:t>
      </w:r>
      <w:r>
        <w:rPr>
          <w:rFonts w:hint="eastAsia" w:cs="Times New Roman"/>
          <w:lang w:val="en-US" w:eastAsia="zh-CN"/>
        </w:rPr>
        <w:t>1</w:t>
      </w:r>
      <w:r>
        <w:rPr>
          <w:rFonts w:hint="default" w:cs="Times New Roman"/>
          <w:lang w:val="en-US" w:eastAsia="zh-CN"/>
        </w:rPr>
        <w:t>个</w:t>
      </w:r>
      <w:r>
        <w:rPr>
          <w:rFonts w:hint="default" w:cs="Times New Roman"/>
          <w:lang w:eastAsia="zh-CN"/>
        </w:rPr>
        <w:t>）</w:t>
      </w:r>
      <w:r>
        <w:rPr>
          <w:rFonts w:hint="default" w:cs="Times New Roman"/>
          <w:lang w:val="en-US" w:eastAsia="zh-CN"/>
        </w:rPr>
        <w:t>水质目标：</w:t>
      </w:r>
      <w:r>
        <w:rPr>
          <w:rFonts w:hint="default" w:cs="Times New Roman"/>
        </w:rPr>
        <w:t>东溪水闸</w:t>
      </w:r>
      <w:r>
        <w:rPr>
          <w:rFonts w:hint="default" w:cs="Times New Roman"/>
          <w:lang w:val="en-US" w:eastAsia="zh-CN"/>
        </w:rPr>
        <w:t>断面</w:t>
      </w:r>
      <w:r>
        <w:rPr>
          <w:rFonts w:hint="default" w:cs="Times New Roman"/>
        </w:rPr>
        <w:t>提升至Ⅲ类</w:t>
      </w:r>
      <w:r>
        <w:rPr>
          <w:rFonts w:hint="eastAsia" w:ascii="Times New Roman" w:hAnsi="Times New Roman" w:cs="Times New Roman"/>
          <w:lang w:eastAsia="zh-CN"/>
        </w:rPr>
        <w:t>（附件</w:t>
      </w:r>
      <w:r>
        <w:rPr>
          <w:rFonts w:hint="eastAsia" w:ascii="Times New Roman" w:hAnsi="Times New Roman" w:cs="Times New Roman"/>
          <w:lang w:val="en-US" w:eastAsia="zh-CN"/>
        </w:rPr>
        <w:t>2</w:t>
      </w:r>
      <w:r>
        <w:rPr>
          <w:rFonts w:hint="eastAsia" w:ascii="Times New Roman" w:hAnsi="Times New Roman" w:cs="Times New Roman"/>
          <w:lang w:eastAsia="zh-CN"/>
        </w:rPr>
        <w:t>）</w:t>
      </w:r>
      <w:r>
        <w:rPr>
          <w:rFonts w:hint="default" w:cs="Times New Roman"/>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黑体" w:hAnsi="黑体" w:eastAsia="黑体" w:cs="黑体"/>
        </w:rPr>
      </w:pPr>
      <w:r>
        <w:rPr>
          <w:rFonts w:hint="eastAsia" w:ascii="黑体" w:hAnsi="黑体" w:eastAsia="黑体" w:cs="黑体"/>
          <w:lang w:eastAsia="zh-CN"/>
        </w:rPr>
        <w:t>二</w:t>
      </w:r>
      <w:r>
        <w:rPr>
          <w:rFonts w:hint="eastAsia" w:ascii="黑体" w:hAnsi="黑体" w:eastAsia="黑体" w:cs="黑体"/>
        </w:rPr>
        <w:t>、主要任务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（一）巩固提升</w:t>
      </w:r>
      <w:r>
        <w:rPr>
          <w:rFonts w:hint="eastAsia" w:ascii="楷体_GB2312" w:hAnsi="楷体_GB2312" w:eastAsia="楷体_GB2312" w:cs="楷体_GB2312"/>
          <w:lang w:val="en-US" w:eastAsia="zh-CN"/>
        </w:rPr>
        <w:t>国考</w:t>
      </w:r>
      <w:r>
        <w:rPr>
          <w:rFonts w:hint="eastAsia" w:ascii="楷体_GB2312" w:hAnsi="楷体_GB2312" w:eastAsia="楷体_GB2312" w:cs="楷体_GB2312"/>
        </w:rPr>
        <w:t>断面达标攻坚成果。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rPr>
      </w:pPr>
      <w:r>
        <w:rPr>
          <w:rFonts w:hint="eastAsia"/>
          <w:lang w:val="en-US" w:eastAsia="zh-CN"/>
        </w:rPr>
        <w:t>强化</w:t>
      </w:r>
      <w:r>
        <w:rPr>
          <w:rFonts w:hint="eastAsia"/>
        </w:rPr>
        <w:t>国考断面水质达标</w:t>
      </w:r>
      <w:r>
        <w:rPr>
          <w:rFonts w:hint="eastAsia"/>
          <w:lang w:val="en-US" w:eastAsia="zh-CN"/>
        </w:rPr>
        <w:t>攻坚</w:t>
      </w:r>
      <w:r>
        <w:rPr>
          <w:rFonts w:hint="eastAsia"/>
        </w:rPr>
        <w:t>，</w:t>
      </w:r>
      <w:r>
        <w:rPr>
          <w:rFonts w:hint="eastAsia"/>
          <w:lang w:val="en-US" w:eastAsia="zh-CN"/>
        </w:rPr>
        <w:t>对东溪水闸重点攻坚国考断面制定实施“一断面一方案”，</w:t>
      </w:r>
      <w:r>
        <w:rPr>
          <w:rFonts w:hint="eastAsia"/>
        </w:rPr>
        <w:t>统筹推进生活、工业、农业污染防治</w:t>
      </w:r>
      <w:r>
        <w:rPr>
          <w:rFonts w:hint="eastAsia"/>
          <w:lang w:eastAsia="zh-CN"/>
        </w:rPr>
        <w:t>工作</w:t>
      </w:r>
      <w:r>
        <w:rPr>
          <w:rFonts w:hint="eastAsia"/>
        </w:rPr>
        <w:t>，强化干支流、上下游系统治理</w:t>
      </w:r>
      <w:r>
        <w:rPr>
          <w:rFonts w:hint="eastAsia"/>
          <w:lang w:eastAsia="zh-CN"/>
        </w:rPr>
        <w:t>，</w:t>
      </w:r>
      <w:r>
        <w:rPr>
          <w:rFonts w:hint="eastAsia"/>
          <w:lang w:val="en-US" w:eastAsia="zh-CN"/>
        </w:rPr>
        <w:t>加快补短板、强弱项，强化</w:t>
      </w:r>
      <w:r>
        <w:rPr>
          <w:rFonts w:hint="eastAsia"/>
        </w:rPr>
        <w:t>畜禽</w:t>
      </w:r>
      <w:r>
        <w:rPr>
          <w:rFonts w:hint="eastAsia"/>
          <w:lang w:eastAsia="zh-CN"/>
        </w:rPr>
        <w:t>、</w:t>
      </w:r>
      <w:r>
        <w:rPr>
          <w:rFonts w:hint="eastAsia"/>
        </w:rPr>
        <w:t>水产养殖</w:t>
      </w:r>
      <w:r>
        <w:rPr>
          <w:rFonts w:hint="eastAsia"/>
          <w:lang w:val="en-US" w:eastAsia="zh-CN"/>
        </w:rPr>
        <w:t>等农业农村污染控制</w:t>
      </w:r>
      <w:r>
        <w:rPr>
          <w:rFonts w:hint="eastAsia"/>
        </w:rPr>
        <w:t>。建立健全国考断面</w:t>
      </w:r>
      <w:r>
        <w:rPr>
          <w:rFonts w:hint="eastAsia"/>
          <w:lang w:val="en-US" w:eastAsia="zh-CN"/>
        </w:rPr>
        <w:t>控制单元内</w:t>
      </w:r>
      <w:r>
        <w:rPr>
          <w:rFonts w:hint="eastAsia"/>
        </w:rPr>
        <w:t>劣Ⅴ类一级支流</w:t>
      </w:r>
      <w:r>
        <w:rPr>
          <w:rFonts w:hint="eastAsia"/>
          <w:lang w:val="en-US" w:eastAsia="zh-CN"/>
        </w:rPr>
        <w:t>和重点支流</w:t>
      </w:r>
      <w:r>
        <w:rPr>
          <w:rFonts w:hint="eastAsia"/>
        </w:rPr>
        <w:t>监管台账，持续推进管网建设</w:t>
      </w:r>
      <w:r>
        <w:rPr>
          <w:rFonts w:hint="eastAsia"/>
          <w:lang w:val="en-US" w:eastAsia="zh-CN"/>
        </w:rPr>
        <w:t>及入河排污口排查整治</w:t>
      </w:r>
      <w:r>
        <w:rPr>
          <w:rFonts w:hint="eastAsia"/>
        </w:rPr>
        <w:t>向一级支流延伸，推动水质改善并消除劣Ⅴ类。</w:t>
      </w:r>
    </w:p>
    <w:p>
      <w:pPr>
        <w:pStyle w:val="11"/>
        <w:keepNext w:val="0"/>
        <w:keepLines w:val="0"/>
        <w:pageBreakBefore w:val="0"/>
        <w:widowControl w:val="0"/>
        <w:kinsoku/>
        <w:wordWrap/>
        <w:overflowPunct/>
        <w:topLinePunct w:val="0"/>
        <w:autoSpaceDE/>
        <w:autoSpaceDN/>
        <w:bidi w:val="0"/>
        <w:adjustRightInd/>
        <w:snapToGrid/>
        <w:spacing w:after="0"/>
        <w:ind w:left="0" w:leftChars="0" w:firstLine="592"/>
        <w:textAlignment w:val="auto"/>
        <w:rPr>
          <w:rFonts w:hint="eastAsia" w:eastAsia="楷体_GB2312"/>
          <w:sz w:val="32"/>
          <w:szCs w:val="32"/>
          <w:lang w:eastAsia="zh-CN"/>
        </w:rPr>
      </w:pPr>
      <w:r>
        <w:rPr>
          <w:rFonts w:hint="eastAsia"/>
          <w:sz w:val="32"/>
          <w:szCs w:val="32"/>
          <w:lang w:val="en-US" w:eastAsia="zh-CN"/>
        </w:rPr>
        <w:t>强化汛期水环境监管及应急应对工作</w:t>
      </w:r>
      <w:r>
        <w:rPr>
          <w:rFonts w:hint="eastAsia"/>
          <w:sz w:val="32"/>
          <w:szCs w:val="32"/>
          <w:lang w:eastAsia="zh-CN"/>
        </w:rPr>
        <w:t>，各有关县（市）在省提出的汛期重点国考断面清单基础上，开展汛期污染强度监测分析，确定汛期重点关注断面，对断面突出问题实施清单管理，厘清责任区域和责任主体，持续加强整改，有效削减汛期污染物浓度峰值。汛期重点关注断面及突出问题清单于</w:t>
      </w:r>
      <w:r>
        <w:rPr>
          <w:rFonts w:hint="eastAsia"/>
          <w:sz w:val="32"/>
          <w:szCs w:val="32"/>
          <w:lang w:val="en-US" w:eastAsia="zh-CN"/>
        </w:rPr>
        <w:t>5月底前报市生态环境局、市水务局。</w:t>
      </w:r>
      <w:r>
        <w:rPr>
          <w:rFonts w:hint="eastAsia" w:ascii="微软雅黑" w:hAnsi="微软雅黑" w:eastAsia="微软雅黑" w:cs="微软雅黑"/>
        </w:rPr>
        <w:t>〔</w:t>
      </w:r>
      <w:r>
        <w:rPr>
          <w:rFonts w:hint="eastAsia" w:ascii="楷体_GB2312" w:hAnsi="楷体_GB2312" w:eastAsia="楷体_GB2312" w:cs="楷体_GB2312"/>
          <w:lang w:eastAsia="zh-CN"/>
        </w:rPr>
        <w:t>市</w:t>
      </w:r>
      <w:r>
        <w:rPr>
          <w:rFonts w:hint="eastAsia" w:ascii="楷体_GB2312" w:hAnsi="楷体_GB2312" w:eastAsia="楷体_GB2312" w:cs="楷体_GB2312"/>
        </w:rPr>
        <w:t>生态环境</w:t>
      </w:r>
      <w:r>
        <w:rPr>
          <w:rFonts w:hint="eastAsia" w:ascii="楷体_GB2312" w:hAnsi="楷体_GB2312" w:eastAsia="楷体_GB2312" w:cs="楷体_GB2312"/>
          <w:lang w:eastAsia="zh-CN"/>
        </w:rPr>
        <w:t>局牵头，市工业和信息化局、</w:t>
      </w:r>
      <w:r>
        <w:rPr>
          <w:rFonts w:hint="eastAsia" w:ascii="楷体_GB2312" w:hAnsi="楷体_GB2312" w:eastAsia="楷体_GB2312" w:cs="楷体_GB2312"/>
        </w:rPr>
        <w:t>住房城乡建设</w:t>
      </w:r>
      <w:r>
        <w:rPr>
          <w:rFonts w:hint="eastAsia" w:ascii="楷体_GB2312" w:hAnsi="楷体_GB2312" w:eastAsia="楷体_GB2312" w:cs="楷体_GB2312"/>
          <w:lang w:eastAsia="zh-CN"/>
        </w:rPr>
        <w:t>局</w:t>
      </w:r>
      <w:r>
        <w:rPr>
          <w:rFonts w:hint="eastAsia" w:ascii="楷体_GB2312" w:hAnsi="楷体_GB2312" w:eastAsia="楷体_GB2312" w:cs="楷体_GB2312"/>
        </w:rPr>
        <w:t>、水</w:t>
      </w:r>
      <w:r>
        <w:rPr>
          <w:rFonts w:hint="eastAsia" w:ascii="楷体_GB2312" w:hAnsi="楷体_GB2312" w:eastAsia="楷体_GB2312" w:cs="楷体_GB2312"/>
          <w:lang w:eastAsia="zh-CN"/>
        </w:rPr>
        <w:t>务局</w:t>
      </w:r>
      <w:r>
        <w:rPr>
          <w:rFonts w:hint="eastAsia" w:ascii="楷体_GB2312" w:hAnsi="楷体_GB2312" w:eastAsia="楷体_GB2312" w:cs="楷体_GB2312"/>
        </w:rPr>
        <w:t>、农业农村</w:t>
      </w:r>
      <w:r>
        <w:rPr>
          <w:rFonts w:hint="eastAsia" w:ascii="楷体_GB2312" w:hAnsi="楷体_GB2312" w:eastAsia="楷体_GB2312" w:cs="楷体_GB2312"/>
          <w:lang w:eastAsia="zh-CN"/>
        </w:rPr>
        <w:t>局等参与</w:t>
      </w:r>
      <w:r>
        <w:rPr>
          <w:rFonts w:hint="eastAsia" w:ascii="楷体_GB2312" w:hAnsi="楷体_GB2312" w:eastAsia="楷体_GB2312" w:cs="楷体_GB2312"/>
        </w:rPr>
        <w:t>，各</w:t>
      </w:r>
      <w:r>
        <w:rPr>
          <w:rFonts w:hint="eastAsia" w:ascii="楷体_GB2312" w:hAnsi="楷体_GB2312" w:eastAsia="楷体_GB2312" w:cs="楷体_GB2312"/>
          <w:lang w:eastAsia="zh-CN"/>
        </w:rPr>
        <w:t>县（</w:t>
      </w:r>
      <w:r>
        <w:rPr>
          <w:rFonts w:hint="eastAsia" w:ascii="楷体_GB2312" w:hAnsi="楷体_GB2312" w:eastAsia="楷体_GB2312" w:cs="楷体_GB2312"/>
        </w:rPr>
        <w:t>市</w:t>
      </w:r>
      <w:r>
        <w:rPr>
          <w:rFonts w:hint="eastAsia" w:ascii="楷体_GB2312" w:hAnsi="楷体_GB2312" w:eastAsia="楷体_GB2312" w:cs="楷体_GB2312"/>
          <w:lang w:eastAsia="zh-CN"/>
        </w:rPr>
        <w:t>、区）</w:t>
      </w:r>
      <w:r>
        <w:rPr>
          <w:rFonts w:hint="eastAsia" w:ascii="楷体_GB2312" w:hAnsi="楷体_GB2312" w:eastAsia="楷体_GB2312" w:cs="楷体_GB2312"/>
        </w:rPr>
        <w:t>人民政府负责落实。以下各项措施均需各</w:t>
      </w:r>
      <w:r>
        <w:rPr>
          <w:rFonts w:hint="eastAsia" w:ascii="楷体_GB2312" w:hAnsi="楷体_GB2312" w:eastAsia="楷体_GB2312" w:cs="楷体_GB2312"/>
          <w:lang w:eastAsia="zh-CN"/>
        </w:rPr>
        <w:t>县（</w:t>
      </w:r>
      <w:r>
        <w:rPr>
          <w:rFonts w:hint="eastAsia" w:ascii="楷体_GB2312" w:hAnsi="楷体_GB2312" w:eastAsia="楷体_GB2312" w:cs="楷体_GB2312"/>
        </w:rPr>
        <w:t>市</w:t>
      </w:r>
      <w:r>
        <w:rPr>
          <w:rFonts w:hint="eastAsia" w:ascii="楷体_GB2312" w:hAnsi="楷体_GB2312" w:eastAsia="楷体_GB2312" w:cs="楷体_GB2312"/>
          <w:lang w:eastAsia="zh-CN"/>
        </w:rPr>
        <w:t>、区）</w:t>
      </w:r>
      <w:r>
        <w:rPr>
          <w:rFonts w:hint="eastAsia" w:ascii="楷体_GB2312" w:hAnsi="楷体_GB2312" w:eastAsia="楷体_GB2312" w:cs="楷体_GB2312"/>
        </w:rPr>
        <w:t>人民政府落实，不再一一列出。</w:t>
      </w:r>
      <w:r>
        <w:rPr>
          <w:rFonts w:hint="eastAsia" w:ascii="微软雅黑" w:hAnsi="微软雅黑" w:eastAsia="微软雅黑" w:cs="微软雅黑"/>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（二）强化饮用水源保护。</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rPr>
      </w:pPr>
      <w:r>
        <w:rPr>
          <w:rFonts w:hint="eastAsia"/>
        </w:rPr>
        <w:t>实行饮用水水源保护区名录管理，</w:t>
      </w:r>
      <w:r>
        <w:rPr>
          <w:rFonts w:hint="eastAsia"/>
          <w:lang w:val="en-US" w:eastAsia="zh-CN"/>
        </w:rPr>
        <w:t>各县（市、区）</w:t>
      </w:r>
      <w:r>
        <w:rPr>
          <w:rFonts w:hint="eastAsia"/>
        </w:rPr>
        <w:t>根据集中式饮用水水源地供水范围和供水规划，</w:t>
      </w:r>
      <w:r>
        <w:rPr>
          <w:rFonts w:hint="eastAsia"/>
          <w:lang w:eastAsia="zh-CN"/>
        </w:rPr>
        <w:t>建立</w:t>
      </w:r>
      <w:r>
        <w:rPr>
          <w:rFonts w:hint="eastAsia"/>
        </w:rPr>
        <w:t>分级</w:t>
      </w:r>
      <w:r>
        <w:rPr>
          <w:rFonts w:hint="eastAsia"/>
          <w:lang w:eastAsia="zh-CN"/>
        </w:rPr>
        <w:t>管理</w:t>
      </w:r>
      <w:r>
        <w:rPr>
          <w:rFonts w:hint="eastAsia"/>
        </w:rPr>
        <w:t>名录。加强县级以上水源地规范化建设，</w:t>
      </w:r>
      <w:r>
        <w:rPr>
          <w:rFonts w:hint="eastAsia"/>
          <w:lang w:eastAsia="zh-CN"/>
        </w:rPr>
        <w:t>各县（市、区）要</w:t>
      </w:r>
      <w:r>
        <w:rPr>
          <w:rFonts w:hint="eastAsia"/>
        </w:rPr>
        <w:t>扎实推进乡镇级水源地“划立治”工作，</w:t>
      </w:r>
      <w:r>
        <w:rPr>
          <w:rFonts w:hint="eastAsia"/>
          <w:lang w:eastAsia="zh-CN"/>
        </w:rPr>
        <w:t>并</w:t>
      </w:r>
      <w:r>
        <w:rPr>
          <w:rFonts w:hint="eastAsia"/>
        </w:rPr>
        <w:t>开展规范立标和环境问题排查整治</w:t>
      </w:r>
      <w:r>
        <w:rPr>
          <w:rFonts w:hint="eastAsia"/>
          <w:lang w:eastAsia="zh-CN"/>
        </w:rPr>
        <w:t>，其中陆丰市应于</w:t>
      </w:r>
      <w:r>
        <w:rPr>
          <w:rFonts w:hint="eastAsia"/>
        </w:rPr>
        <w:t>6月底前完成新划定乡镇级水源保护区的批复备案。以农村“千吨万人”水源地为重点，巩固提升农村水源水质安全保障</w:t>
      </w:r>
      <w:r>
        <w:rPr>
          <w:rFonts w:hint="eastAsia"/>
          <w:lang w:eastAsia="zh-CN"/>
        </w:rPr>
        <w:t>水平</w:t>
      </w:r>
      <w:r>
        <w:rPr>
          <w:rFonts w:hint="eastAsia"/>
        </w:rPr>
        <w:t>。做好</w:t>
      </w:r>
      <w:r>
        <w:rPr>
          <w:rFonts w:hint="eastAsia"/>
          <w:lang w:eastAsia="zh-CN"/>
        </w:rPr>
        <w:t>螺河</w:t>
      </w:r>
      <w:r>
        <w:rPr>
          <w:rFonts w:hint="eastAsia"/>
          <w:lang w:val="en-US" w:eastAsia="zh-CN"/>
        </w:rPr>
        <w:t>-黄江水系连通工程</w:t>
      </w:r>
      <w:r>
        <w:rPr>
          <w:rFonts w:hint="eastAsia"/>
        </w:rPr>
        <w:t>等跨区域重大输水工程涉及的水源保护工作。</w:t>
      </w:r>
      <w:r>
        <w:rPr>
          <w:rFonts w:hint="eastAsia" w:ascii="楷体_GB2312" w:hAnsi="楷体_GB2312" w:eastAsia="楷体_GB2312" w:cs="楷体_GB2312"/>
        </w:rPr>
        <w:t>（</w:t>
      </w:r>
      <w:r>
        <w:rPr>
          <w:rFonts w:hint="eastAsia" w:ascii="楷体_GB2312" w:hAnsi="楷体_GB2312" w:eastAsia="楷体_GB2312" w:cs="楷体_GB2312"/>
          <w:lang w:eastAsia="zh-CN"/>
        </w:rPr>
        <w:t>市</w:t>
      </w:r>
      <w:r>
        <w:rPr>
          <w:rFonts w:hint="eastAsia" w:ascii="楷体_GB2312" w:hAnsi="楷体_GB2312" w:eastAsia="楷体_GB2312" w:cs="楷体_GB2312"/>
        </w:rPr>
        <w:t>生态环境</w:t>
      </w:r>
      <w:r>
        <w:rPr>
          <w:rFonts w:hint="eastAsia" w:ascii="楷体_GB2312" w:hAnsi="楷体_GB2312" w:eastAsia="楷体_GB2312" w:cs="楷体_GB2312"/>
          <w:lang w:eastAsia="zh-CN"/>
        </w:rPr>
        <w:t>局</w:t>
      </w:r>
      <w:r>
        <w:rPr>
          <w:rFonts w:hint="eastAsia" w:ascii="楷体_GB2312" w:hAnsi="楷体_GB2312" w:eastAsia="楷体_GB2312" w:cs="楷体_GB2312"/>
        </w:rPr>
        <w:t>、水</w:t>
      </w:r>
      <w:r>
        <w:rPr>
          <w:rFonts w:hint="eastAsia" w:ascii="楷体_GB2312" w:hAnsi="楷体_GB2312" w:eastAsia="楷体_GB2312" w:cs="楷体_GB2312"/>
          <w:lang w:eastAsia="zh-CN"/>
        </w:rPr>
        <w:t>务局</w:t>
      </w:r>
      <w:r>
        <w:rPr>
          <w:rFonts w:hint="eastAsia" w:ascii="楷体_GB2312" w:hAnsi="楷体_GB2312" w:eastAsia="楷体_GB2312" w:cs="楷体_GB2312"/>
        </w:rPr>
        <w:t>牵头，</w:t>
      </w:r>
      <w:r>
        <w:rPr>
          <w:rFonts w:hint="eastAsia" w:ascii="楷体_GB2312" w:hAnsi="楷体_GB2312" w:eastAsia="楷体_GB2312" w:cs="楷体_GB2312"/>
          <w:lang w:eastAsia="zh-CN"/>
        </w:rPr>
        <w:t>市</w:t>
      </w:r>
      <w:r>
        <w:rPr>
          <w:rFonts w:hint="eastAsia" w:ascii="楷体_GB2312" w:hAnsi="楷体_GB2312" w:eastAsia="楷体_GB2312" w:cs="楷体_GB2312"/>
        </w:rPr>
        <w:t>自然资源</w:t>
      </w:r>
      <w:r>
        <w:rPr>
          <w:rFonts w:hint="eastAsia" w:ascii="楷体_GB2312" w:hAnsi="楷体_GB2312" w:eastAsia="楷体_GB2312" w:cs="楷体_GB2312"/>
          <w:lang w:eastAsia="zh-CN"/>
        </w:rPr>
        <w:t>局</w:t>
      </w:r>
      <w:r>
        <w:rPr>
          <w:rFonts w:hint="eastAsia" w:ascii="楷体_GB2312" w:hAnsi="楷体_GB2312" w:eastAsia="楷体_GB2312" w:cs="楷体_GB2312"/>
        </w:rPr>
        <w:t>、住房城乡建设</w:t>
      </w:r>
      <w:r>
        <w:rPr>
          <w:rFonts w:hint="eastAsia" w:ascii="楷体_GB2312" w:hAnsi="楷体_GB2312" w:eastAsia="楷体_GB2312" w:cs="楷体_GB2312"/>
          <w:lang w:eastAsia="zh-CN"/>
        </w:rPr>
        <w:t>局</w:t>
      </w:r>
      <w:r>
        <w:rPr>
          <w:rFonts w:hint="eastAsia" w:ascii="楷体_GB2312" w:hAnsi="楷体_GB2312" w:eastAsia="楷体_GB2312" w:cs="楷体_GB2312"/>
        </w:rPr>
        <w:t>、农业农村</w:t>
      </w:r>
      <w:r>
        <w:rPr>
          <w:rFonts w:hint="eastAsia" w:ascii="楷体_GB2312" w:hAnsi="楷体_GB2312" w:eastAsia="楷体_GB2312" w:cs="楷体_GB2312"/>
          <w:lang w:eastAsia="zh-CN"/>
        </w:rPr>
        <w:t>局</w:t>
      </w:r>
      <w:r>
        <w:rPr>
          <w:rFonts w:hint="eastAsia" w:ascii="楷体_GB2312" w:hAnsi="楷体_GB2312" w:eastAsia="楷体_GB2312" w:cs="楷体_GB2312"/>
        </w:rPr>
        <w:t>、卫生健康</w:t>
      </w:r>
      <w:r>
        <w:rPr>
          <w:rFonts w:hint="eastAsia" w:ascii="楷体_GB2312" w:hAnsi="楷体_GB2312" w:eastAsia="楷体_GB2312" w:cs="楷体_GB2312"/>
          <w:lang w:eastAsia="zh-CN"/>
        </w:rPr>
        <w:t>局</w:t>
      </w:r>
      <w:r>
        <w:rPr>
          <w:rFonts w:hint="eastAsia" w:ascii="楷体_GB2312" w:hAnsi="楷体_GB2312" w:eastAsia="楷体_GB2312" w:cs="楷体_GB2312"/>
        </w:rPr>
        <w:t>等参与）</w:t>
      </w:r>
    </w:p>
    <w:p>
      <w:pPr>
        <w:keepNext w:val="0"/>
        <w:keepLines w:val="0"/>
        <w:pageBreakBefore w:val="0"/>
        <w:widowControl w:val="0"/>
        <w:numPr>
          <w:ilvl w:val="0"/>
          <w:numId w:val="1"/>
        </w:numPr>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强化良好水体保护。</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rPr>
      </w:pPr>
      <w:r>
        <w:rPr>
          <w:rFonts w:hint="eastAsia"/>
        </w:rPr>
        <w:t>加强江河源头水生态环境保护，</w:t>
      </w:r>
      <w:r>
        <w:rPr>
          <w:rFonts w:hint="eastAsia"/>
          <w:lang w:eastAsia="zh-CN"/>
        </w:rPr>
        <w:t>按照省的统一部署</w:t>
      </w:r>
      <w:r>
        <w:rPr>
          <w:rFonts w:hint="eastAsia"/>
          <w:highlight w:val="none"/>
        </w:rPr>
        <w:t>开展江河源头生态环境基础调查，</w:t>
      </w:r>
      <w:r>
        <w:rPr>
          <w:rFonts w:hint="eastAsia"/>
          <w:highlight w:val="none"/>
          <w:lang w:val="en-US" w:eastAsia="zh-CN"/>
        </w:rPr>
        <w:t>梳理建立市内重要江河源头名录</w:t>
      </w:r>
      <w:r>
        <w:rPr>
          <w:rFonts w:hint="eastAsia"/>
        </w:rPr>
        <w:t>。强化重要供水</w:t>
      </w:r>
      <w:r>
        <w:rPr>
          <w:rFonts w:hint="eastAsia"/>
          <w:lang w:eastAsia="zh-CN"/>
        </w:rPr>
        <w:t>水体</w:t>
      </w:r>
      <w:r>
        <w:rPr>
          <w:rFonts w:hint="eastAsia"/>
        </w:rPr>
        <w:t>保护</w:t>
      </w:r>
      <w:r>
        <w:rPr>
          <w:rFonts w:hint="eastAsia"/>
          <w:lang w:eastAsia="zh-CN"/>
        </w:rPr>
        <w:t>，加强重要水体入河入库主要支流综合整治</w:t>
      </w:r>
      <w:r>
        <w:rPr>
          <w:rFonts w:hint="eastAsia"/>
        </w:rPr>
        <w:t>。加强饮用水源型水库营养状态和藻类</w:t>
      </w:r>
      <w:r>
        <w:rPr>
          <w:rFonts w:hint="eastAsia"/>
          <w:lang w:val="en-US" w:eastAsia="zh-CN"/>
        </w:rPr>
        <w:t>监控</w:t>
      </w:r>
      <w:r>
        <w:rPr>
          <w:rFonts w:hint="eastAsia"/>
        </w:rPr>
        <w:t>，强化水华预警监测及形势研判，制修订应急防控预案，有针对性</w:t>
      </w:r>
      <w:r>
        <w:rPr>
          <w:rFonts w:hint="eastAsia"/>
          <w:lang w:eastAsia="zh-CN"/>
        </w:rPr>
        <w:t>地做好</w:t>
      </w:r>
      <w:r>
        <w:rPr>
          <w:rFonts w:hint="eastAsia"/>
        </w:rPr>
        <w:t>应急防控</w:t>
      </w:r>
      <w:r>
        <w:rPr>
          <w:rFonts w:hint="eastAsia"/>
          <w:lang w:eastAsia="zh-CN"/>
        </w:rPr>
        <w:t>工作</w:t>
      </w:r>
      <w:r>
        <w:rPr>
          <w:rFonts w:hint="eastAsia"/>
        </w:rPr>
        <w:t>，</w:t>
      </w:r>
      <w:r>
        <w:rPr>
          <w:rFonts w:hint="eastAsia"/>
          <w:lang w:eastAsia="zh-CN"/>
        </w:rPr>
        <w:t>保障水质稳定达标</w:t>
      </w:r>
      <w:r>
        <w:rPr>
          <w:rFonts w:hint="eastAsia"/>
        </w:rPr>
        <w:t>。</w:t>
      </w:r>
      <w:r>
        <w:rPr>
          <w:rFonts w:hint="eastAsia" w:ascii="楷体_GB2312" w:hAnsi="楷体_GB2312" w:eastAsia="楷体_GB2312" w:cs="楷体_GB2312"/>
        </w:rPr>
        <w:t>（</w:t>
      </w:r>
      <w:r>
        <w:rPr>
          <w:rFonts w:hint="eastAsia" w:ascii="楷体_GB2312" w:hAnsi="楷体_GB2312" w:eastAsia="楷体_GB2312" w:cs="楷体_GB2312"/>
          <w:lang w:eastAsia="zh-CN"/>
        </w:rPr>
        <w:t>市</w:t>
      </w:r>
      <w:r>
        <w:rPr>
          <w:rFonts w:hint="eastAsia" w:ascii="楷体_GB2312" w:hAnsi="楷体_GB2312" w:eastAsia="楷体_GB2312" w:cs="楷体_GB2312"/>
        </w:rPr>
        <w:t>生态环境</w:t>
      </w:r>
      <w:r>
        <w:rPr>
          <w:rFonts w:hint="eastAsia" w:ascii="楷体_GB2312" w:hAnsi="楷体_GB2312" w:eastAsia="楷体_GB2312" w:cs="楷体_GB2312"/>
          <w:lang w:eastAsia="zh-CN"/>
        </w:rPr>
        <w:t>局</w:t>
      </w:r>
      <w:r>
        <w:rPr>
          <w:rFonts w:hint="eastAsia" w:ascii="楷体_GB2312" w:hAnsi="楷体_GB2312" w:eastAsia="楷体_GB2312" w:cs="楷体_GB2312"/>
        </w:rPr>
        <w:t>、水</w:t>
      </w:r>
      <w:r>
        <w:rPr>
          <w:rFonts w:hint="eastAsia" w:ascii="楷体_GB2312" w:hAnsi="楷体_GB2312" w:eastAsia="楷体_GB2312" w:cs="楷体_GB2312"/>
          <w:lang w:eastAsia="zh-CN"/>
        </w:rPr>
        <w:t>务局</w:t>
      </w:r>
      <w:r>
        <w:rPr>
          <w:rFonts w:hint="eastAsia" w:ascii="楷体_GB2312" w:hAnsi="楷体_GB2312" w:eastAsia="楷体_GB2312" w:cs="楷体_GB2312"/>
        </w:rPr>
        <w:t>牵头，</w:t>
      </w:r>
      <w:r>
        <w:rPr>
          <w:rFonts w:hint="eastAsia" w:ascii="楷体_GB2312" w:hAnsi="楷体_GB2312" w:eastAsia="楷体_GB2312" w:cs="楷体_GB2312"/>
          <w:lang w:eastAsia="zh-CN"/>
        </w:rPr>
        <w:t>市</w:t>
      </w:r>
      <w:r>
        <w:rPr>
          <w:rFonts w:hint="eastAsia" w:ascii="楷体_GB2312" w:hAnsi="楷体_GB2312" w:eastAsia="楷体_GB2312" w:cs="楷体_GB2312"/>
        </w:rPr>
        <w:t>发展改革</w:t>
      </w:r>
      <w:r>
        <w:rPr>
          <w:rFonts w:hint="eastAsia" w:ascii="楷体_GB2312" w:hAnsi="楷体_GB2312" w:eastAsia="楷体_GB2312" w:cs="楷体_GB2312"/>
          <w:lang w:eastAsia="zh-CN"/>
        </w:rPr>
        <w:t>局</w:t>
      </w:r>
      <w:r>
        <w:rPr>
          <w:rFonts w:hint="eastAsia" w:ascii="楷体_GB2312" w:hAnsi="楷体_GB2312" w:eastAsia="楷体_GB2312" w:cs="楷体_GB2312"/>
        </w:rPr>
        <w:t>、财政</w:t>
      </w:r>
      <w:r>
        <w:rPr>
          <w:rFonts w:hint="eastAsia" w:ascii="楷体_GB2312" w:hAnsi="楷体_GB2312" w:eastAsia="楷体_GB2312" w:cs="楷体_GB2312"/>
          <w:lang w:eastAsia="zh-CN"/>
        </w:rPr>
        <w:t>局</w:t>
      </w:r>
      <w:r>
        <w:rPr>
          <w:rFonts w:hint="eastAsia" w:ascii="楷体_GB2312" w:hAnsi="楷体_GB2312" w:eastAsia="楷体_GB2312" w:cs="楷体_GB2312"/>
        </w:rPr>
        <w:t>、自然资源</w:t>
      </w:r>
      <w:r>
        <w:rPr>
          <w:rFonts w:hint="eastAsia" w:ascii="楷体_GB2312" w:hAnsi="楷体_GB2312" w:eastAsia="楷体_GB2312" w:cs="楷体_GB2312"/>
          <w:lang w:eastAsia="zh-CN"/>
        </w:rPr>
        <w:t>局</w:t>
      </w:r>
      <w:r>
        <w:rPr>
          <w:rFonts w:hint="eastAsia" w:ascii="楷体_GB2312" w:hAnsi="楷体_GB2312" w:eastAsia="楷体_GB2312" w:cs="楷体_GB2312"/>
        </w:rPr>
        <w:t>、住房城乡建设</w:t>
      </w:r>
      <w:r>
        <w:rPr>
          <w:rFonts w:hint="eastAsia" w:ascii="楷体_GB2312" w:hAnsi="楷体_GB2312" w:eastAsia="楷体_GB2312" w:cs="楷体_GB2312"/>
          <w:lang w:eastAsia="zh-CN"/>
        </w:rPr>
        <w:t>局</w:t>
      </w:r>
      <w:r>
        <w:rPr>
          <w:rFonts w:hint="eastAsia" w:ascii="楷体_GB2312" w:hAnsi="楷体_GB2312" w:eastAsia="楷体_GB2312" w:cs="楷体_GB2312"/>
        </w:rPr>
        <w:t>、农业农村</w:t>
      </w:r>
      <w:r>
        <w:rPr>
          <w:rFonts w:hint="eastAsia" w:ascii="楷体_GB2312" w:hAnsi="楷体_GB2312" w:eastAsia="楷体_GB2312" w:cs="楷体_GB2312"/>
          <w:lang w:eastAsia="zh-CN"/>
        </w:rPr>
        <w:t>局</w:t>
      </w:r>
      <w:r>
        <w:rPr>
          <w:rFonts w:hint="eastAsia" w:ascii="楷体_GB2312" w:hAnsi="楷体_GB2312" w:eastAsia="楷体_GB2312" w:cs="楷体_GB2312"/>
        </w:rPr>
        <w:t>、林业局等参与）</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（四）深入开展黑臭水体整治。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rPr>
      </w:pPr>
      <w:r>
        <w:rPr>
          <w:rFonts w:hint="eastAsia"/>
          <w:lang w:eastAsia="zh-CN"/>
        </w:rPr>
        <w:t>充分发挥河湖长制作用，持续</w:t>
      </w:r>
      <w:r>
        <w:rPr>
          <w:rFonts w:hint="eastAsia"/>
        </w:rPr>
        <w:t>巩固城市建成区</w:t>
      </w:r>
      <w:r>
        <w:rPr>
          <w:rFonts w:hint="eastAsia"/>
          <w:lang w:eastAsia="zh-CN"/>
        </w:rPr>
        <w:t>奎山湖、奎山河</w:t>
      </w:r>
      <w:r>
        <w:rPr>
          <w:rFonts w:hint="eastAsia"/>
          <w:lang w:val="en-US" w:eastAsia="zh-CN"/>
        </w:rPr>
        <w:t>2个</w:t>
      </w:r>
      <w:r>
        <w:rPr>
          <w:rFonts w:hint="eastAsia"/>
        </w:rPr>
        <w:t>黑臭水体治理成效，建立防止返黑返臭长效机制。</w:t>
      </w:r>
      <w:r>
        <w:rPr>
          <w:rFonts w:hint="eastAsia"/>
          <w:lang w:eastAsia="zh-CN"/>
        </w:rPr>
        <w:t>推动黑臭水体治理向县域拓展，加快推进县级城市（含县城）建成区黑臭水体排查整治，</w:t>
      </w:r>
      <w:r>
        <w:rPr>
          <w:rFonts w:hint="eastAsia"/>
          <w:lang w:val="en-US" w:eastAsia="zh-CN"/>
        </w:rPr>
        <w:t>6月底前完成排查并制定整治方案</w:t>
      </w:r>
      <w:r>
        <w:rPr>
          <w:rFonts w:hint="eastAsia"/>
        </w:rPr>
        <w:t>。</w:t>
      </w:r>
      <w:r>
        <w:rPr>
          <w:rFonts w:hint="eastAsia" w:ascii="楷体_GB2312" w:hAnsi="楷体_GB2312" w:eastAsia="楷体_GB2312" w:cs="楷体_GB2312"/>
        </w:rPr>
        <w:t>（</w:t>
      </w:r>
      <w:r>
        <w:rPr>
          <w:rFonts w:hint="eastAsia" w:ascii="楷体_GB2312" w:hAnsi="楷体_GB2312" w:eastAsia="楷体_GB2312" w:cs="楷体_GB2312"/>
          <w:lang w:eastAsia="zh-CN"/>
        </w:rPr>
        <w:t>市</w:t>
      </w:r>
      <w:r>
        <w:rPr>
          <w:rFonts w:hint="eastAsia" w:ascii="楷体_GB2312" w:hAnsi="楷体_GB2312" w:eastAsia="楷体_GB2312" w:cs="楷体_GB2312"/>
        </w:rPr>
        <w:t>住房城乡建设</w:t>
      </w:r>
      <w:r>
        <w:rPr>
          <w:rFonts w:hint="eastAsia" w:ascii="楷体_GB2312" w:hAnsi="楷体_GB2312" w:eastAsia="楷体_GB2312" w:cs="楷体_GB2312"/>
          <w:lang w:eastAsia="zh-CN"/>
        </w:rPr>
        <w:t>局</w:t>
      </w:r>
      <w:r>
        <w:rPr>
          <w:rFonts w:hint="eastAsia" w:ascii="楷体_GB2312" w:hAnsi="楷体_GB2312" w:eastAsia="楷体_GB2312" w:cs="楷体_GB2312"/>
        </w:rPr>
        <w:t>牵头，</w:t>
      </w:r>
      <w:r>
        <w:rPr>
          <w:rFonts w:hint="eastAsia" w:ascii="楷体_GB2312" w:hAnsi="楷体_GB2312" w:eastAsia="楷体_GB2312" w:cs="楷体_GB2312"/>
          <w:lang w:eastAsia="zh-CN"/>
        </w:rPr>
        <w:t>市财政局、</w:t>
      </w:r>
      <w:r>
        <w:rPr>
          <w:rFonts w:hint="eastAsia" w:ascii="楷体_GB2312" w:hAnsi="楷体_GB2312" w:eastAsia="楷体_GB2312" w:cs="楷体_GB2312"/>
        </w:rPr>
        <w:t>生态环境</w:t>
      </w:r>
      <w:r>
        <w:rPr>
          <w:rFonts w:hint="eastAsia" w:ascii="楷体_GB2312" w:hAnsi="楷体_GB2312" w:eastAsia="楷体_GB2312" w:cs="楷体_GB2312"/>
          <w:lang w:eastAsia="zh-CN"/>
        </w:rPr>
        <w:t>局、</w:t>
      </w:r>
      <w:r>
        <w:rPr>
          <w:rFonts w:hint="eastAsia" w:ascii="楷体_GB2312" w:hAnsi="楷体_GB2312" w:eastAsia="楷体_GB2312" w:cs="楷体_GB2312"/>
        </w:rPr>
        <w:t>水</w:t>
      </w:r>
      <w:r>
        <w:rPr>
          <w:rFonts w:hint="eastAsia" w:ascii="楷体_GB2312" w:hAnsi="楷体_GB2312" w:eastAsia="楷体_GB2312" w:cs="楷体_GB2312"/>
          <w:lang w:eastAsia="zh-CN"/>
        </w:rPr>
        <w:t>务局</w:t>
      </w:r>
      <w:r>
        <w:rPr>
          <w:rFonts w:hint="eastAsia" w:ascii="楷体_GB2312" w:hAnsi="楷体_GB2312" w:eastAsia="楷体_GB2312" w:cs="楷体_GB2312"/>
        </w:rPr>
        <w:t>、农业农村</w:t>
      </w:r>
      <w:r>
        <w:rPr>
          <w:rFonts w:hint="eastAsia" w:ascii="楷体_GB2312" w:hAnsi="楷体_GB2312" w:eastAsia="楷体_GB2312" w:cs="楷体_GB2312"/>
          <w:lang w:eastAsia="zh-CN"/>
        </w:rPr>
        <w:t>局</w:t>
      </w:r>
      <w:r>
        <w:rPr>
          <w:rFonts w:hint="eastAsia" w:ascii="楷体_GB2312" w:hAnsi="楷体_GB2312" w:eastAsia="楷体_GB2312" w:cs="楷体_GB2312"/>
        </w:rPr>
        <w:t>参与</w:t>
      </w:r>
      <w:r>
        <w:rPr>
          <w:rFonts w:hint="default" w:ascii="楷体_GB2312" w:hAnsi="楷体_GB2312" w:eastAsia="楷体_GB2312" w:cs="楷体_GB231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rPr>
      </w:pPr>
      <w:r>
        <w:rPr>
          <w:rFonts w:hint="eastAsia"/>
        </w:rPr>
        <w:t>结合</w:t>
      </w:r>
      <w:r>
        <w:rPr>
          <w:rFonts w:hint="eastAsia"/>
          <w:lang w:val="en-US" w:eastAsia="zh-CN"/>
        </w:rPr>
        <w:t>农村人居环境整治</w:t>
      </w:r>
      <w:r>
        <w:rPr>
          <w:rFonts w:hint="eastAsia"/>
        </w:rPr>
        <w:t>等工作，优先整治面积较大、群众反映强烈的农村黑臭水体，高质量</w:t>
      </w:r>
      <w:r>
        <w:rPr>
          <w:rFonts w:hint="eastAsia"/>
          <w:lang w:eastAsia="zh-CN"/>
        </w:rPr>
        <w:t>完成</w:t>
      </w:r>
      <w:r>
        <w:rPr>
          <w:rFonts w:hint="eastAsia"/>
        </w:rPr>
        <w:t>省十件民生实事</w:t>
      </w:r>
      <w:r>
        <w:rPr>
          <w:rFonts w:hint="eastAsia"/>
          <w:lang w:eastAsia="zh-CN"/>
        </w:rPr>
        <w:t>确定的新增</w:t>
      </w:r>
      <w:r>
        <w:rPr>
          <w:rFonts w:hint="eastAsia"/>
          <w:lang w:val="en-US" w:eastAsia="zh-CN"/>
        </w:rPr>
        <w:t>1</w:t>
      </w:r>
      <w:r>
        <w:rPr>
          <w:rFonts w:hint="eastAsia"/>
        </w:rPr>
        <w:t>个面积较大的农村黑臭水体。</w:t>
      </w:r>
      <w:r>
        <w:rPr>
          <w:rFonts w:hint="eastAsia"/>
          <w:lang w:eastAsia="zh-CN"/>
        </w:rPr>
        <w:t>建立长效维护机制</w:t>
      </w:r>
      <w:r>
        <w:rPr>
          <w:rFonts w:hint="eastAsia"/>
        </w:rPr>
        <w:t>，</w:t>
      </w:r>
      <w:r>
        <w:rPr>
          <w:rFonts w:hint="eastAsia"/>
          <w:lang w:val="en-US" w:eastAsia="zh-Hans"/>
        </w:rPr>
        <w:t>巩固</w:t>
      </w:r>
      <w:r>
        <w:rPr>
          <w:rFonts w:hint="eastAsia"/>
        </w:rPr>
        <w:t>农村黑臭水体治理</w:t>
      </w:r>
      <w:r>
        <w:rPr>
          <w:rFonts w:hint="eastAsia"/>
          <w:lang w:val="en-US" w:eastAsia="zh-Hans"/>
        </w:rPr>
        <w:t>成效</w:t>
      </w:r>
      <w:r>
        <w:rPr>
          <w:rFonts w:hint="eastAsia"/>
          <w:lang w:eastAsia="zh-CN"/>
        </w:rPr>
        <w:t>。</w:t>
      </w:r>
      <w:r>
        <w:rPr>
          <w:rFonts w:hint="eastAsia"/>
        </w:rPr>
        <w:t>开展农村黑臭水体与生活污水综合治理试点示范。</w:t>
      </w:r>
      <w:r>
        <w:rPr>
          <w:rFonts w:hint="eastAsia" w:ascii="楷体_GB2312" w:hAnsi="楷体_GB2312" w:eastAsia="楷体_GB2312" w:cs="楷体_GB2312"/>
        </w:rPr>
        <w:t>（</w:t>
      </w:r>
      <w:r>
        <w:rPr>
          <w:rFonts w:hint="eastAsia" w:ascii="楷体_GB2312" w:hAnsi="楷体_GB2312" w:eastAsia="楷体_GB2312" w:cs="楷体_GB2312"/>
          <w:lang w:eastAsia="zh-CN"/>
        </w:rPr>
        <w:t>市</w:t>
      </w:r>
      <w:r>
        <w:rPr>
          <w:rFonts w:hint="eastAsia" w:ascii="楷体_GB2312" w:hAnsi="楷体_GB2312" w:eastAsia="楷体_GB2312" w:cs="楷体_GB2312"/>
        </w:rPr>
        <w:t>生态环境</w:t>
      </w:r>
      <w:r>
        <w:rPr>
          <w:rFonts w:hint="eastAsia" w:ascii="楷体_GB2312" w:hAnsi="楷体_GB2312" w:eastAsia="楷体_GB2312" w:cs="楷体_GB2312"/>
          <w:lang w:eastAsia="zh-CN"/>
        </w:rPr>
        <w:t>局、</w:t>
      </w:r>
      <w:r>
        <w:rPr>
          <w:rFonts w:hint="eastAsia" w:ascii="楷体_GB2312" w:hAnsi="楷体_GB2312" w:eastAsia="楷体_GB2312" w:cs="楷体_GB2312"/>
        </w:rPr>
        <w:t>水</w:t>
      </w:r>
      <w:r>
        <w:rPr>
          <w:rFonts w:hint="eastAsia" w:ascii="楷体_GB2312" w:hAnsi="楷体_GB2312" w:eastAsia="楷体_GB2312" w:cs="楷体_GB2312"/>
          <w:lang w:eastAsia="zh-CN"/>
        </w:rPr>
        <w:t>务局</w:t>
      </w:r>
      <w:r>
        <w:rPr>
          <w:rFonts w:hint="eastAsia" w:ascii="楷体_GB2312" w:hAnsi="楷体_GB2312" w:eastAsia="楷体_GB2312" w:cs="楷体_GB2312"/>
        </w:rPr>
        <w:t>、农业农村</w:t>
      </w:r>
      <w:r>
        <w:rPr>
          <w:rFonts w:hint="eastAsia" w:ascii="楷体_GB2312" w:hAnsi="楷体_GB2312" w:eastAsia="楷体_GB2312" w:cs="楷体_GB2312"/>
          <w:lang w:eastAsia="zh-CN"/>
        </w:rPr>
        <w:t>局</w:t>
      </w:r>
      <w:r>
        <w:rPr>
          <w:rFonts w:hint="eastAsia" w:ascii="楷体_GB2312" w:hAnsi="楷体_GB2312" w:eastAsia="楷体_GB2312" w:cs="楷体_GB2312"/>
        </w:rPr>
        <w:t>牵头，</w:t>
      </w:r>
      <w:r>
        <w:rPr>
          <w:rFonts w:hint="eastAsia" w:ascii="楷体_GB2312" w:hAnsi="楷体_GB2312" w:eastAsia="楷体_GB2312" w:cs="楷体_GB2312"/>
          <w:lang w:eastAsia="zh-CN"/>
        </w:rPr>
        <w:t>市</w:t>
      </w:r>
      <w:r>
        <w:rPr>
          <w:rFonts w:hint="eastAsia" w:ascii="楷体_GB2312" w:hAnsi="楷体_GB2312" w:eastAsia="楷体_GB2312" w:cs="楷体_GB2312"/>
        </w:rPr>
        <w:t>财政</w:t>
      </w:r>
      <w:r>
        <w:rPr>
          <w:rFonts w:hint="eastAsia" w:ascii="楷体_GB2312" w:hAnsi="楷体_GB2312" w:eastAsia="楷体_GB2312" w:cs="楷体_GB2312"/>
          <w:lang w:eastAsia="zh-CN"/>
        </w:rPr>
        <w:t>局</w:t>
      </w:r>
      <w:r>
        <w:rPr>
          <w:rFonts w:hint="eastAsia" w:ascii="楷体_GB2312" w:hAnsi="楷体_GB2312" w:eastAsia="楷体_GB2312" w:cs="楷体_GB2312"/>
        </w:rPr>
        <w:t>参与）</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highlight w:val="none"/>
        </w:rPr>
      </w:pPr>
      <w:r>
        <w:rPr>
          <w:rFonts w:hint="eastAsia" w:ascii="楷体_GB2312" w:hAnsi="楷体_GB2312" w:eastAsia="楷体_GB2312" w:cs="楷体_GB2312"/>
          <w:highlight w:val="none"/>
        </w:rPr>
        <w:t>（五）</w:t>
      </w:r>
      <w:r>
        <w:rPr>
          <w:rFonts w:hint="eastAsia" w:ascii="楷体_GB2312" w:hAnsi="楷体_GB2312" w:eastAsia="楷体_GB2312" w:cs="楷体_GB2312"/>
          <w:highlight w:val="none"/>
          <w:lang w:val="en-US" w:eastAsia="zh-CN"/>
        </w:rPr>
        <w:t>加快</w:t>
      </w:r>
      <w:r>
        <w:rPr>
          <w:rFonts w:hint="eastAsia" w:ascii="楷体_GB2312" w:hAnsi="楷体_GB2312" w:eastAsia="楷体_GB2312" w:cs="楷体_GB2312"/>
          <w:highlight w:val="none"/>
          <w:lang w:eastAsia="zh-CN"/>
        </w:rPr>
        <w:t>提升</w:t>
      </w:r>
      <w:r>
        <w:rPr>
          <w:rFonts w:hint="eastAsia" w:ascii="楷体_GB2312" w:hAnsi="楷体_GB2312" w:eastAsia="楷体_GB2312" w:cs="楷体_GB2312"/>
          <w:highlight w:val="none"/>
        </w:rPr>
        <w:t>城镇污水收集处理效能</w:t>
      </w:r>
      <w:r>
        <w:rPr>
          <w:rFonts w:hint="eastAsia" w:ascii="楷体_GB2312" w:hAnsi="楷体_GB2312" w:eastAsia="楷体_GB2312" w:cs="楷体_GB2312"/>
          <w:highlight w:val="none"/>
          <w:lang w:eastAsia="zh-CN"/>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rPr>
      </w:pPr>
      <w:r>
        <w:rPr>
          <w:rFonts w:hint="eastAsia"/>
        </w:rPr>
        <w:t>加快</w:t>
      </w:r>
      <w:r>
        <w:rPr>
          <w:rFonts w:hint="eastAsia"/>
          <w:lang w:eastAsia="zh-CN"/>
        </w:rPr>
        <w:t>推动</w:t>
      </w:r>
      <w:r>
        <w:rPr>
          <w:rFonts w:hint="eastAsia"/>
        </w:rPr>
        <w:t>城镇生活污水治理“双转变、双提升”</w:t>
      </w:r>
      <w:r>
        <w:rPr>
          <w:rFonts w:hint="eastAsia"/>
          <w:lang w:eastAsia="zh-CN"/>
        </w:rPr>
        <w:t>。年底前完成</w:t>
      </w:r>
      <w:r>
        <w:rPr>
          <w:rFonts w:hint="eastAsia"/>
        </w:rPr>
        <w:t>城市管网排查，有序推进县级市</w:t>
      </w:r>
      <w:r>
        <w:rPr>
          <w:rFonts w:hint="eastAsia"/>
          <w:lang w:eastAsia="zh-CN"/>
        </w:rPr>
        <w:t>（含</w:t>
      </w:r>
      <w:r>
        <w:rPr>
          <w:rFonts w:hint="eastAsia"/>
        </w:rPr>
        <w:t>县城</w:t>
      </w:r>
      <w:r>
        <w:rPr>
          <w:rFonts w:hint="eastAsia"/>
          <w:lang w:eastAsia="zh-CN"/>
        </w:rPr>
        <w:t>）排查</w:t>
      </w:r>
      <w:r>
        <w:rPr>
          <w:rFonts w:hint="eastAsia"/>
        </w:rPr>
        <w:t>。加快补齐城中村、老旧城区和城乡结合部生活污水收集管网缺口，</w:t>
      </w:r>
      <w:r>
        <w:rPr>
          <w:rFonts w:hint="eastAsia"/>
          <w:lang w:val="en-US" w:eastAsia="zh-CN"/>
        </w:rPr>
        <w:t>开展管网建设、修复、雨污分流改造工作</w:t>
      </w:r>
      <w:r>
        <w:rPr>
          <w:rFonts w:hint="eastAsia"/>
        </w:rPr>
        <w:t>。加快补齐城市和县城生活污水处理能力缺口</w:t>
      </w:r>
      <w:r>
        <w:rPr>
          <w:rFonts w:hint="eastAsia"/>
          <w:lang w:val="en-US" w:eastAsia="zh-CN"/>
        </w:rPr>
        <w:t>，重点推进</w:t>
      </w:r>
      <w:r>
        <w:rPr>
          <w:rFonts w:hint="eastAsia"/>
          <w:lang w:eastAsia="zh-CN"/>
        </w:rPr>
        <w:t>东溪河等</w:t>
      </w:r>
      <w:r>
        <w:rPr>
          <w:rFonts w:hint="eastAsia"/>
        </w:rPr>
        <w:t>流域</w:t>
      </w:r>
      <w:r>
        <w:rPr>
          <w:rFonts w:hint="eastAsia"/>
          <w:lang w:eastAsia="zh-CN"/>
        </w:rPr>
        <w:t>污水处理设施建设</w:t>
      </w:r>
      <w:r>
        <w:rPr>
          <w:rFonts w:hint="eastAsia"/>
        </w:rPr>
        <w:t>。强化污水处理厂运行维护，开展差别化精准提标试点工作。</w:t>
      </w:r>
      <w:r>
        <w:rPr>
          <w:rFonts w:hint="eastAsia"/>
          <w:lang w:eastAsia="zh-CN"/>
        </w:rPr>
        <w:t>重点强化</w:t>
      </w:r>
      <w:r>
        <w:rPr>
          <w:rFonts w:hint="eastAsia"/>
        </w:rPr>
        <w:t>现状进水浓度低于城市平均水平的污水处理厂系统整改</w:t>
      </w:r>
      <w:r>
        <w:rPr>
          <w:rFonts w:hint="eastAsia"/>
          <w:lang w:eastAsia="zh-CN"/>
        </w:rPr>
        <w:t>，</w:t>
      </w:r>
      <w:r>
        <w:rPr>
          <w:rFonts w:hint="eastAsia"/>
        </w:rPr>
        <w:t>对现有进水BOD浓度低于100mg/L的城市污水处理设施，</w:t>
      </w:r>
      <w:r>
        <w:rPr>
          <w:rFonts w:hint="eastAsia"/>
          <w:lang w:eastAsia="zh-CN"/>
        </w:rPr>
        <w:t>完成</w:t>
      </w:r>
      <w:r>
        <w:rPr>
          <w:rFonts w:hint="eastAsia"/>
        </w:rPr>
        <w:t>“一厂一策”编制，围绕服务片区管网开展</w:t>
      </w:r>
      <w:r>
        <w:rPr>
          <w:rFonts w:hint="eastAsia"/>
          <w:lang w:eastAsia="zh-CN"/>
        </w:rPr>
        <w:t>精准</w:t>
      </w:r>
      <w:r>
        <w:rPr>
          <w:rFonts w:hint="eastAsia"/>
        </w:rPr>
        <w:t>整治。</w:t>
      </w:r>
      <w:r>
        <w:rPr>
          <w:rFonts w:hint="eastAsia" w:ascii="楷体_GB2312" w:hAnsi="楷体_GB2312" w:eastAsia="楷体_GB2312" w:cs="楷体_GB2312"/>
        </w:rPr>
        <w:t>（</w:t>
      </w:r>
      <w:r>
        <w:rPr>
          <w:rFonts w:hint="eastAsia" w:ascii="楷体_GB2312" w:hAnsi="楷体_GB2312" w:eastAsia="楷体_GB2312" w:cs="楷体_GB2312"/>
          <w:lang w:eastAsia="zh-CN"/>
        </w:rPr>
        <w:t>市</w:t>
      </w:r>
      <w:r>
        <w:rPr>
          <w:rFonts w:hint="eastAsia" w:ascii="楷体_GB2312" w:hAnsi="楷体_GB2312" w:eastAsia="楷体_GB2312" w:cs="楷体_GB2312"/>
        </w:rPr>
        <w:t>住房城乡建设</w:t>
      </w:r>
      <w:r>
        <w:rPr>
          <w:rFonts w:hint="eastAsia" w:ascii="楷体_GB2312" w:hAnsi="楷体_GB2312" w:eastAsia="楷体_GB2312" w:cs="楷体_GB2312"/>
          <w:lang w:eastAsia="zh-CN"/>
        </w:rPr>
        <w:t>局</w:t>
      </w:r>
      <w:r>
        <w:rPr>
          <w:rFonts w:hint="eastAsia" w:ascii="楷体_GB2312" w:hAnsi="楷体_GB2312" w:eastAsia="楷体_GB2312" w:cs="楷体_GB2312"/>
        </w:rPr>
        <w:t>牵头，</w:t>
      </w:r>
      <w:r>
        <w:rPr>
          <w:rFonts w:hint="eastAsia" w:ascii="楷体_GB2312" w:hAnsi="楷体_GB2312" w:eastAsia="楷体_GB2312" w:cs="楷体_GB2312"/>
          <w:lang w:eastAsia="zh-CN"/>
        </w:rPr>
        <w:t>市</w:t>
      </w:r>
      <w:r>
        <w:rPr>
          <w:rFonts w:hint="eastAsia" w:ascii="楷体_GB2312" w:hAnsi="楷体_GB2312" w:eastAsia="楷体_GB2312" w:cs="楷体_GB2312"/>
        </w:rPr>
        <w:t>发展改革</w:t>
      </w:r>
      <w:r>
        <w:rPr>
          <w:rFonts w:hint="eastAsia" w:ascii="楷体_GB2312" w:hAnsi="楷体_GB2312" w:eastAsia="楷体_GB2312" w:cs="楷体_GB2312"/>
          <w:lang w:eastAsia="zh-CN"/>
        </w:rPr>
        <w:t>局</w:t>
      </w:r>
      <w:r>
        <w:rPr>
          <w:rFonts w:hint="eastAsia" w:ascii="楷体_GB2312" w:hAnsi="楷体_GB2312" w:eastAsia="楷体_GB2312" w:cs="楷体_GB2312"/>
        </w:rPr>
        <w:t>、</w:t>
      </w:r>
      <w:r>
        <w:rPr>
          <w:rFonts w:hint="eastAsia" w:ascii="楷体_GB2312" w:hAnsi="楷体_GB2312" w:eastAsia="楷体_GB2312" w:cs="楷体_GB2312"/>
          <w:lang w:eastAsia="zh-CN"/>
        </w:rPr>
        <w:t>财政局、</w:t>
      </w:r>
      <w:r>
        <w:rPr>
          <w:rFonts w:hint="eastAsia" w:ascii="楷体_GB2312" w:hAnsi="楷体_GB2312" w:eastAsia="楷体_GB2312" w:cs="楷体_GB2312"/>
        </w:rPr>
        <w:t>自然资源</w:t>
      </w:r>
      <w:r>
        <w:rPr>
          <w:rFonts w:hint="eastAsia" w:ascii="楷体_GB2312" w:hAnsi="楷体_GB2312" w:eastAsia="楷体_GB2312" w:cs="楷体_GB2312"/>
          <w:lang w:eastAsia="zh-CN"/>
        </w:rPr>
        <w:t>局</w:t>
      </w:r>
      <w:r>
        <w:rPr>
          <w:rFonts w:hint="eastAsia" w:ascii="楷体_GB2312" w:hAnsi="楷体_GB2312" w:eastAsia="楷体_GB2312" w:cs="楷体_GB2312"/>
        </w:rPr>
        <w:t>、生态环境</w:t>
      </w:r>
      <w:r>
        <w:rPr>
          <w:rFonts w:hint="eastAsia" w:ascii="楷体_GB2312" w:hAnsi="楷体_GB2312" w:eastAsia="楷体_GB2312" w:cs="楷体_GB2312"/>
          <w:lang w:eastAsia="zh-CN"/>
        </w:rPr>
        <w:t>局、国资委</w:t>
      </w:r>
      <w:r>
        <w:rPr>
          <w:rFonts w:hint="eastAsia" w:ascii="楷体_GB2312" w:hAnsi="楷体_GB2312" w:eastAsia="楷体_GB2312" w:cs="楷体_GB2312"/>
        </w:rPr>
        <w:t>参与）</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w:t>
      </w:r>
      <w:r>
        <w:rPr>
          <w:rFonts w:hint="eastAsia" w:ascii="楷体_GB2312" w:hAnsi="楷体_GB2312" w:eastAsia="楷体_GB2312" w:cs="楷体_GB2312"/>
          <w:lang w:eastAsia="zh-CN"/>
        </w:rPr>
        <w:t>六</w:t>
      </w:r>
      <w:r>
        <w:rPr>
          <w:rFonts w:hint="eastAsia" w:ascii="楷体_GB2312" w:hAnsi="楷体_GB2312" w:eastAsia="楷体_GB2312" w:cs="楷体_GB2312"/>
        </w:rPr>
        <w:t>）</w:t>
      </w:r>
      <w:r>
        <w:rPr>
          <w:rFonts w:hint="eastAsia" w:ascii="楷体_GB2312" w:hAnsi="楷体_GB2312" w:eastAsia="楷体_GB2312" w:cs="楷体_GB2312"/>
          <w:lang w:eastAsia="zh-CN"/>
        </w:rPr>
        <w:t>深入</w:t>
      </w:r>
      <w:r>
        <w:rPr>
          <w:rFonts w:hint="eastAsia" w:ascii="楷体_GB2312" w:hAnsi="楷体_GB2312" w:eastAsia="楷体_GB2312" w:cs="楷体_GB2312"/>
        </w:rPr>
        <w:t>开展工业污染防治。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推动涉水</w:t>
      </w:r>
      <w:r>
        <w:rPr>
          <w:rFonts w:hint="eastAsia"/>
          <w:lang w:val="en-US" w:eastAsia="zh-CN"/>
        </w:rPr>
        <w:t>固定污染源</w:t>
      </w:r>
      <w:r>
        <w:rPr>
          <w:rFonts w:hint="eastAsia"/>
        </w:rPr>
        <w:t>排污许可提质增效，组织做好新增源排污许可发证登记工作</w:t>
      </w:r>
      <w:r>
        <w:rPr>
          <w:rFonts w:hint="eastAsia"/>
          <w:lang w:eastAsia="zh-CN"/>
        </w:rPr>
        <w:t>，</w:t>
      </w:r>
      <w:r>
        <w:rPr>
          <w:rFonts w:hint="eastAsia"/>
        </w:rPr>
        <w:t>强化排污许可“一证式”执法监管</w:t>
      </w:r>
      <w:r>
        <w:rPr>
          <w:rFonts w:hint="eastAsia"/>
          <w:lang w:eastAsia="zh-CN"/>
        </w:rPr>
        <w:t>。</w:t>
      </w:r>
      <w:r>
        <w:rPr>
          <w:rFonts w:hint="eastAsia"/>
        </w:rPr>
        <w:t>优化工业废水处理工艺</w:t>
      </w:r>
      <w:r>
        <w:rPr>
          <w:rFonts w:hint="eastAsia"/>
          <w:lang w:eastAsia="zh-CN"/>
        </w:rPr>
        <w:t>，推动</w:t>
      </w:r>
      <w:r>
        <w:rPr>
          <w:rFonts w:hint="eastAsia"/>
        </w:rPr>
        <w:t>不能稳定达标的工业废水处理设施开展提标改造。对</w:t>
      </w:r>
      <w:r>
        <w:rPr>
          <w:rFonts w:hint="eastAsia"/>
          <w:lang w:eastAsia="zh-CN"/>
        </w:rPr>
        <w:t>存在</w:t>
      </w:r>
      <w:r>
        <w:rPr>
          <w:rFonts w:hint="eastAsia"/>
        </w:rPr>
        <w:t>工业污染</w:t>
      </w:r>
      <w:r>
        <w:rPr>
          <w:rFonts w:hint="eastAsia"/>
          <w:lang w:eastAsia="zh-CN"/>
        </w:rPr>
        <w:t>的</w:t>
      </w:r>
      <w:r>
        <w:rPr>
          <w:rFonts w:hint="eastAsia"/>
        </w:rPr>
        <w:t>重点流域，组织开展联合执法、交叉执法。持续实施“双随机、一公开”监管，严厉打击重点排污单位自动监测数据弄虚作假违法行为。</w:t>
      </w:r>
      <w:r>
        <w:rPr>
          <w:rFonts w:hint="eastAsia" w:ascii="楷体_GB2312" w:hAnsi="楷体_GB2312" w:eastAsia="楷体_GB2312" w:cs="楷体_GB2312"/>
        </w:rPr>
        <w:t>（</w:t>
      </w:r>
      <w:r>
        <w:rPr>
          <w:rFonts w:hint="eastAsia" w:ascii="楷体_GB2312" w:hAnsi="楷体_GB2312" w:eastAsia="楷体_GB2312" w:cs="楷体_GB2312"/>
          <w:lang w:eastAsia="zh-CN"/>
        </w:rPr>
        <w:t>市</w:t>
      </w:r>
      <w:r>
        <w:rPr>
          <w:rFonts w:hint="eastAsia" w:ascii="楷体_GB2312" w:hAnsi="楷体_GB2312" w:eastAsia="楷体_GB2312" w:cs="楷体_GB2312"/>
        </w:rPr>
        <w:t>生态环境</w:t>
      </w:r>
      <w:r>
        <w:rPr>
          <w:rFonts w:hint="eastAsia" w:ascii="楷体_GB2312" w:hAnsi="楷体_GB2312" w:eastAsia="楷体_GB2312" w:cs="楷体_GB2312"/>
          <w:lang w:eastAsia="zh-CN"/>
        </w:rPr>
        <w:t>局</w:t>
      </w:r>
      <w:r>
        <w:rPr>
          <w:rFonts w:hint="eastAsia" w:ascii="楷体_GB2312" w:hAnsi="楷体_GB2312" w:eastAsia="楷体_GB2312" w:cs="楷体_GB2312"/>
        </w:rPr>
        <w:t>牵头，</w:t>
      </w:r>
      <w:r>
        <w:rPr>
          <w:rFonts w:hint="eastAsia" w:ascii="楷体_GB2312" w:hAnsi="楷体_GB2312" w:eastAsia="楷体_GB2312" w:cs="楷体_GB2312"/>
          <w:lang w:eastAsia="zh-CN"/>
        </w:rPr>
        <w:t>市</w:t>
      </w:r>
      <w:r>
        <w:rPr>
          <w:rFonts w:hint="eastAsia" w:ascii="楷体_GB2312" w:hAnsi="楷体_GB2312" w:eastAsia="楷体_GB2312" w:cs="楷体_GB2312"/>
        </w:rPr>
        <w:t>工业和信息化</w:t>
      </w:r>
      <w:r>
        <w:rPr>
          <w:rFonts w:hint="eastAsia" w:ascii="楷体_GB2312" w:hAnsi="楷体_GB2312" w:eastAsia="楷体_GB2312" w:cs="楷体_GB2312"/>
          <w:lang w:eastAsia="zh-CN"/>
        </w:rPr>
        <w:t>局</w:t>
      </w:r>
      <w:r>
        <w:rPr>
          <w:rFonts w:hint="eastAsia" w:ascii="楷体_GB2312" w:hAnsi="楷体_GB2312" w:eastAsia="楷体_GB2312" w:cs="楷体_GB2312"/>
        </w:rPr>
        <w:t>、商务</w:t>
      </w:r>
      <w:r>
        <w:rPr>
          <w:rFonts w:hint="eastAsia" w:ascii="楷体_GB2312" w:hAnsi="楷体_GB2312" w:eastAsia="楷体_GB2312" w:cs="楷体_GB2312"/>
          <w:lang w:eastAsia="zh-CN"/>
        </w:rPr>
        <w:t>局</w:t>
      </w:r>
      <w:r>
        <w:rPr>
          <w:rFonts w:hint="eastAsia" w:ascii="楷体_GB2312" w:hAnsi="楷体_GB2312" w:eastAsia="楷体_GB2312" w:cs="楷体_GB2312"/>
        </w:rPr>
        <w:t>参与）</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rPr>
      </w:pPr>
      <w:r>
        <w:rPr>
          <w:rFonts w:hint="eastAsia"/>
          <w:lang w:eastAsia="zh-CN"/>
        </w:rPr>
        <w:t>抓好</w:t>
      </w:r>
      <w:r>
        <w:rPr>
          <w:rFonts w:hint="eastAsia"/>
          <w:color w:val="auto"/>
        </w:rPr>
        <w:t>建材、化工、纺织等行业</w:t>
      </w:r>
      <w:r>
        <w:rPr>
          <w:rFonts w:hint="eastAsia"/>
          <w:color w:val="auto"/>
          <w:lang w:eastAsia="zh-CN"/>
        </w:rPr>
        <w:t>的工业</w:t>
      </w:r>
      <w:r>
        <w:rPr>
          <w:rFonts w:hint="eastAsia"/>
          <w:color w:val="auto"/>
        </w:rPr>
        <w:t>清洁生产。鼓励主导产业为电子、印染</w:t>
      </w:r>
      <w:r>
        <w:rPr>
          <w:rFonts w:hint="eastAsia"/>
        </w:rPr>
        <w:t>、原料药制造等园区开展工业废水综合毒性监控能力建设。推进生态工业示范园区建设。</w:t>
      </w:r>
      <w:r>
        <w:rPr>
          <w:rFonts w:hint="eastAsia" w:ascii="楷体_GB2312" w:hAnsi="楷体_GB2312" w:eastAsia="楷体_GB2312" w:cs="楷体_GB2312"/>
        </w:rPr>
        <w:t>（</w:t>
      </w:r>
      <w:r>
        <w:rPr>
          <w:rFonts w:hint="eastAsia" w:ascii="楷体_GB2312" w:hAnsi="楷体_GB2312" w:eastAsia="楷体_GB2312" w:cs="楷体_GB2312"/>
          <w:lang w:eastAsia="zh-CN"/>
        </w:rPr>
        <w:t>市</w:t>
      </w:r>
      <w:r>
        <w:rPr>
          <w:rFonts w:hint="eastAsia" w:ascii="楷体_GB2312" w:hAnsi="楷体_GB2312" w:eastAsia="楷体_GB2312" w:cs="楷体_GB2312"/>
          <w:lang w:val="en-US" w:eastAsia="zh-CN"/>
        </w:rPr>
        <w:t>发展改革局、</w:t>
      </w:r>
      <w:r>
        <w:rPr>
          <w:rFonts w:hint="eastAsia" w:ascii="楷体_GB2312" w:hAnsi="楷体_GB2312" w:eastAsia="楷体_GB2312" w:cs="楷体_GB2312"/>
        </w:rPr>
        <w:t>工业和信息化</w:t>
      </w:r>
      <w:r>
        <w:rPr>
          <w:rFonts w:hint="eastAsia" w:ascii="楷体_GB2312" w:hAnsi="楷体_GB2312" w:eastAsia="楷体_GB2312" w:cs="楷体_GB2312"/>
          <w:lang w:val="en-US" w:eastAsia="zh-CN"/>
        </w:rPr>
        <w:t>局</w:t>
      </w: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生态环境局</w:t>
      </w:r>
      <w:r>
        <w:rPr>
          <w:rFonts w:hint="eastAsia" w:ascii="楷体_GB2312" w:hAnsi="楷体_GB2312" w:eastAsia="楷体_GB2312" w:cs="楷体_GB2312"/>
        </w:rPr>
        <w:t>牵头，</w:t>
      </w:r>
      <w:r>
        <w:rPr>
          <w:rFonts w:hint="eastAsia" w:ascii="楷体_GB2312" w:hAnsi="楷体_GB2312" w:eastAsia="楷体_GB2312" w:cs="楷体_GB2312"/>
          <w:lang w:eastAsia="zh-CN"/>
        </w:rPr>
        <w:t>市</w:t>
      </w:r>
      <w:r>
        <w:rPr>
          <w:rFonts w:hint="eastAsia" w:ascii="楷体_GB2312" w:hAnsi="楷体_GB2312" w:eastAsia="楷体_GB2312" w:cs="楷体_GB2312"/>
        </w:rPr>
        <w:t>商务</w:t>
      </w:r>
      <w:r>
        <w:rPr>
          <w:rFonts w:hint="eastAsia" w:ascii="楷体_GB2312" w:hAnsi="楷体_GB2312" w:eastAsia="楷体_GB2312" w:cs="楷体_GB2312"/>
          <w:lang w:val="en-US" w:eastAsia="zh-CN"/>
        </w:rPr>
        <w:t>局</w:t>
      </w:r>
      <w:r>
        <w:rPr>
          <w:rFonts w:hint="eastAsia" w:ascii="楷体_GB2312" w:hAnsi="楷体_GB2312" w:eastAsia="楷体_GB2312" w:cs="楷体_GB2312"/>
        </w:rPr>
        <w:t>参与）</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w:t>
      </w:r>
      <w:r>
        <w:rPr>
          <w:rFonts w:hint="eastAsia" w:ascii="楷体_GB2312" w:hAnsi="楷体_GB2312" w:eastAsia="楷体_GB2312" w:cs="楷体_GB2312"/>
          <w:lang w:eastAsia="zh-CN"/>
        </w:rPr>
        <w:t>七</w:t>
      </w:r>
      <w:r>
        <w:rPr>
          <w:rFonts w:hint="eastAsia" w:ascii="楷体_GB2312" w:hAnsi="楷体_GB2312" w:eastAsia="楷体_GB2312" w:cs="楷体_GB2312"/>
        </w:rPr>
        <w:t>）强化农业面源污染防治。</w:t>
      </w:r>
    </w:p>
    <w:p>
      <w:pPr>
        <w:pStyle w:val="11"/>
        <w:keepNext w:val="0"/>
        <w:keepLines w:val="0"/>
        <w:pageBreakBefore w:val="0"/>
        <w:widowControl w:val="0"/>
        <w:kinsoku/>
        <w:wordWrap/>
        <w:overflowPunct/>
        <w:topLinePunct w:val="0"/>
        <w:autoSpaceDE/>
        <w:autoSpaceDN/>
        <w:bidi w:val="0"/>
        <w:adjustRightInd/>
        <w:snapToGrid/>
        <w:spacing w:after="0"/>
        <w:ind w:left="0" w:leftChars="0" w:firstLine="592"/>
        <w:textAlignment w:val="auto"/>
        <w:rPr>
          <w:rFonts w:hint="eastAsia" w:cstheme="minorBidi"/>
          <w:sz w:val="32"/>
        </w:rPr>
      </w:pPr>
      <w:r>
        <w:rPr>
          <w:rFonts w:hint="eastAsia" w:cstheme="minorBidi"/>
          <w:sz w:val="32"/>
        </w:rPr>
        <w:t>优化调整畜禽养殖结构，科学规划生猪养殖布局，大力发展规模化标准养殖</w:t>
      </w:r>
      <w:r>
        <w:rPr>
          <w:rFonts w:hint="eastAsia" w:cstheme="minorBidi"/>
          <w:sz w:val="32"/>
          <w:lang w:eastAsia="zh-CN"/>
        </w:rPr>
        <w:t>。</w:t>
      </w:r>
      <w:r>
        <w:rPr>
          <w:rFonts w:hint="eastAsia" w:cstheme="minorBidi"/>
          <w:sz w:val="32"/>
        </w:rPr>
        <w:t>持续推进畜禽粪污资源化利用工作，推动畜禽规模养殖场粪污处理设施装备提档升级，规范畜禽养殖户粪污处理设施装备配套，开展设施装备配套情况核查。持续开展农药、化肥减量增效。</w:t>
      </w:r>
      <w:r>
        <w:rPr>
          <w:rFonts w:hint="eastAsia" w:ascii="楷体_GB2312" w:hAnsi="楷体_GB2312" w:eastAsia="楷体_GB2312" w:cs="楷体_GB2312"/>
          <w:sz w:val="32"/>
        </w:rPr>
        <w:t>（</w:t>
      </w:r>
      <w:r>
        <w:rPr>
          <w:rFonts w:hint="eastAsia" w:ascii="楷体_GB2312" w:hAnsi="楷体_GB2312" w:eastAsia="楷体_GB2312" w:cs="楷体_GB2312"/>
          <w:sz w:val="32"/>
          <w:lang w:eastAsia="zh-CN"/>
        </w:rPr>
        <w:t>市</w:t>
      </w:r>
      <w:r>
        <w:rPr>
          <w:rFonts w:hint="eastAsia" w:ascii="楷体_GB2312" w:hAnsi="楷体_GB2312" w:eastAsia="楷体_GB2312" w:cs="楷体_GB2312"/>
          <w:sz w:val="32"/>
        </w:rPr>
        <w:t>农业农村</w:t>
      </w:r>
      <w:r>
        <w:rPr>
          <w:rFonts w:hint="eastAsia" w:ascii="楷体_GB2312" w:hAnsi="楷体_GB2312" w:eastAsia="楷体_GB2312" w:cs="楷体_GB2312"/>
          <w:sz w:val="32"/>
          <w:lang w:eastAsia="zh-CN"/>
        </w:rPr>
        <w:t>局</w:t>
      </w:r>
      <w:r>
        <w:rPr>
          <w:rFonts w:hint="eastAsia" w:ascii="楷体_GB2312" w:hAnsi="楷体_GB2312" w:eastAsia="楷体_GB2312" w:cs="楷体_GB2312"/>
          <w:sz w:val="32"/>
        </w:rPr>
        <w:t>牵头，</w:t>
      </w:r>
      <w:r>
        <w:rPr>
          <w:rFonts w:hint="eastAsia" w:ascii="楷体_GB2312" w:hAnsi="楷体_GB2312" w:eastAsia="楷体_GB2312" w:cs="楷体_GB2312"/>
          <w:sz w:val="32"/>
          <w:lang w:eastAsia="zh-CN"/>
        </w:rPr>
        <w:t>市</w:t>
      </w:r>
      <w:r>
        <w:rPr>
          <w:rFonts w:hint="eastAsia" w:ascii="楷体_GB2312" w:hAnsi="楷体_GB2312" w:eastAsia="楷体_GB2312" w:cs="楷体_GB2312"/>
          <w:sz w:val="32"/>
        </w:rPr>
        <w:t>生态环境</w:t>
      </w:r>
      <w:r>
        <w:rPr>
          <w:rFonts w:hint="eastAsia" w:ascii="楷体_GB2312" w:hAnsi="楷体_GB2312" w:eastAsia="楷体_GB2312" w:cs="楷体_GB2312"/>
          <w:sz w:val="32"/>
          <w:lang w:eastAsia="zh-CN"/>
        </w:rPr>
        <w:t>局</w:t>
      </w:r>
      <w:r>
        <w:rPr>
          <w:rFonts w:hint="eastAsia" w:ascii="楷体_GB2312" w:hAnsi="楷体_GB2312" w:eastAsia="楷体_GB2312" w:cs="楷体_GB2312"/>
          <w:sz w:val="32"/>
        </w:rPr>
        <w:t>、自然资源</w:t>
      </w:r>
      <w:r>
        <w:rPr>
          <w:rFonts w:hint="eastAsia" w:ascii="楷体_GB2312" w:hAnsi="楷体_GB2312" w:eastAsia="楷体_GB2312" w:cs="楷体_GB2312"/>
          <w:sz w:val="32"/>
          <w:lang w:eastAsia="zh-CN"/>
        </w:rPr>
        <w:t>局</w:t>
      </w:r>
      <w:r>
        <w:rPr>
          <w:rFonts w:hint="eastAsia" w:ascii="楷体_GB2312" w:hAnsi="楷体_GB2312" w:eastAsia="楷体_GB2312" w:cs="楷体_GB2312"/>
          <w:sz w:val="32"/>
        </w:rPr>
        <w:t>参与）</w:t>
      </w:r>
    </w:p>
    <w:p>
      <w:pPr>
        <w:pStyle w:val="11"/>
        <w:keepNext w:val="0"/>
        <w:keepLines w:val="0"/>
        <w:pageBreakBefore w:val="0"/>
        <w:widowControl w:val="0"/>
        <w:kinsoku/>
        <w:wordWrap/>
        <w:overflowPunct/>
        <w:topLinePunct w:val="0"/>
        <w:autoSpaceDE/>
        <w:autoSpaceDN/>
        <w:bidi w:val="0"/>
        <w:adjustRightInd/>
        <w:snapToGrid/>
        <w:spacing w:after="0"/>
        <w:ind w:left="0" w:leftChars="0" w:firstLine="632"/>
        <w:textAlignment w:val="auto"/>
        <w:rPr>
          <w:rFonts w:hint="eastAsia" w:cstheme="minorBidi"/>
          <w:sz w:val="32"/>
        </w:rPr>
      </w:pPr>
      <w:r>
        <w:rPr>
          <w:rFonts w:hint="eastAsia" w:cstheme="minorBidi"/>
          <w:sz w:val="32"/>
        </w:rPr>
        <w:t>严格畜禽养殖污染防治监管。规范畜禽养殖禁养区管理。</w:t>
      </w:r>
      <w:r>
        <w:rPr>
          <w:rFonts w:hint="eastAsia" w:cstheme="minorBidi"/>
          <w:sz w:val="32"/>
          <w:lang w:val="en-US" w:eastAsia="zh-CN"/>
        </w:rPr>
        <w:t>探索在</w:t>
      </w:r>
      <w:r>
        <w:rPr>
          <w:rFonts w:hint="eastAsia" w:cstheme="minorBidi"/>
          <w:sz w:val="32"/>
          <w:lang w:eastAsia="zh-CN"/>
        </w:rPr>
        <w:t>黄江河</w:t>
      </w:r>
      <w:r>
        <w:rPr>
          <w:rFonts w:hint="eastAsia" w:cstheme="minorBidi"/>
          <w:sz w:val="32"/>
          <w:lang w:val="en-US" w:eastAsia="zh-CN"/>
        </w:rPr>
        <w:t>流域启动工厂化</w:t>
      </w:r>
      <w:r>
        <w:rPr>
          <w:rFonts w:hint="eastAsia" w:cstheme="minorBidi"/>
          <w:sz w:val="32"/>
        </w:rPr>
        <w:t>水产养殖</w:t>
      </w:r>
      <w:r>
        <w:rPr>
          <w:rFonts w:hint="eastAsia" w:cstheme="minorBidi"/>
          <w:sz w:val="32"/>
          <w:lang w:val="en-US" w:eastAsia="zh-CN"/>
        </w:rPr>
        <w:t>尾水排污口的规范化</w:t>
      </w:r>
      <w:r>
        <w:rPr>
          <w:rFonts w:hint="eastAsia" w:cstheme="minorBidi"/>
          <w:sz w:val="32"/>
        </w:rPr>
        <w:t>设置</w:t>
      </w:r>
      <w:r>
        <w:rPr>
          <w:rFonts w:hint="eastAsia" w:cstheme="minorBidi"/>
          <w:sz w:val="32"/>
          <w:lang w:eastAsia="zh-CN"/>
        </w:rPr>
        <w:t>工作</w:t>
      </w:r>
      <w:r>
        <w:rPr>
          <w:rFonts w:hint="eastAsia" w:cstheme="minorBidi"/>
          <w:sz w:val="32"/>
        </w:rPr>
        <w:t>。</w:t>
      </w:r>
      <w:r>
        <w:rPr>
          <w:rFonts w:hint="eastAsia" w:ascii="楷体_GB2312" w:hAnsi="楷体_GB2312" w:eastAsia="楷体_GB2312" w:cs="楷体_GB2312"/>
          <w:sz w:val="32"/>
        </w:rPr>
        <w:t>（</w:t>
      </w:r>
      <w:r>
        <w:rPr>
          <w:rFonts w:hint="eastAsia" w:ascii="楷体_GB2312" w:hAnsi="楷体_GB2312" w:eastAsia="楷体_GB2312" w:cs="楷体_GB2312"/>
          <w:sz w:val="32"/>
          <w:lang w:eastAsia="zh-CN"/>
        </w:rPr>
        <w:t>市</w:t>
      </w:r>
      <w:r>
        <w:rPr>
          <w:rFonts w:hint="eastAsia" w:ascii="楷体_GB2312" w:hAnsi="楷体_GB2312" w:eastAsia="楷体_GB2312" w:cs="楷体_GB2312"/>
          <w:sz w:val="32"/>
        </w:rPr>
        <w:t>生态环境</w:t>
      </w:r>
      <w:r>
        <w:rPr>
          <w:rFonts w:hint="eastAsia" w:ascii="楷体_GB2312" w:hAnsi="楷体_GB2312" w:eastAsia="楷体_GB2312" w:cs="楷体_GB2312"/>
          <w:sz w:val="32"/>
          <w:lang w:eastAsia="zh-CN"/>
        </w:rPr>
        <w:t>局</w:t>
      </w:r>
      <w:r>
        <w:rPr>
          <w:rFonts w:hint="eastAsia" w:ascii="楷体_GB2312" w:hAnsi="楷体_GB2312" w:eastAsia="楷体_GB2312" w:cs="楷体_GB2312"/>
          <w:sz w:val="32"/>
        </w:rPr>
        <w:t>牵头，</w:t>
      </w:r>
      <w:r>
        <w:rPr>
          <w:rFonts w:hint="eastAsia" w:ascii="楷体_GB2312" w:hAnsi="楷体_GB2312" w:eastAsia="楷体_GB2312" w:cs="楷体_GB2312"/>
          <w:sz w:val="32"/>
          <w:lang w:eastAsia="zh-CN"/>
        </w:rPr>
        <w:t>市</w:t>
      </w:r>
      <w:r>
        <w:rPr>
          <w:rFonts w:hint="eastAsia" w:ascii="楷体_GB2312" w:hAnsi="楷体_GB2312" w:eastAsia="楷体_GB2312" w:cs="楷体_GB2312"/>
          <w:sz w:val="32"/>
        </w:rPr>
        <w:t>农业农村</w:t>
      </w:r>
      <w:r>
        <w:rPr>
          <w:rFonts w:hint="eastAsia" w:ascii="楷体_GB2312" w:hAnsi="楷体_GB2312" w:eastAsia="楷体_GB2312" w:cs="楷体_GB2312"/>
          <w:sz w:val="32"/>
          <w:lang w:eastAsia="zh-CN"/>
        </w:rPr>
        <w:t>局</w:t>
      </w:r>
      <w:r>
        <w:rPr>
          <w:rFonts w:hint="eastAsia" w:ascii="楷体_GB2312" w:hAnsi="楷体_GB2312" w:eastAsia="楷体_GB2312" w:cs="楷体_GB2312"/>
          <w:sz w:val="32"/>
        </w:rPr>
        <w:t>、自然资源</w:t>
      </w:r>
      <w:r>
        <w:rPr>
          <w:rFonts w:hint="eastAsia" w:ascii="楷体_GB2312" w:hAnsi="楷体_GB2312" w:eastAsia="楷体_GB2312" w:cs="楷体_GB2312"/>
          <w:sz w:val="32"/>
          <w:lang w:eastAsia="zh-CN"/>
        </w:rPr>
        <w:t>局</w:t>
      </w:r>
      <w:r>
        <w:rPr>
          <w:rFonts w:hint="eastAsia" w:ascii="楷体_GB2312" w:hAnsi="楷体_GB2312" w:eastAsia="楷体_GB2312" w:cs="楷体_GB2312"/>
          <w:sz w:val="32"/>
        </w:rPr>
        <w:t>参与）</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w:t>
      </w:r>
      <w:r>
        <w:rPr>
          <w:rFonts w:hint="eastAsia" w:ascii="楷体_GB2312" w:hAnsi="楷体_GB2312" w:eastAsia="楷体_GB2312" w:cs="楷体_GB2312"/>
          <w:lang w:eastAsia="zh-CN"/>
        </w:rPr>
        <w:t>八</w:t>
      </w:r>
      <w:r>
        <w:rPr>
          <w:rFonts w:hint="eastAsia" w:ascii="楷体_GB2312" w:hAnsi="楷体_GB2312" w:eastAsia="楷体_GB2312" w:cs="楷体_GB2312"/>
        </w:rPr>
        <w:t>）</w:t>
      </w:r>
      <w:r>
        <w:rPr>
          <w:rFonts w:hint="eastAsia" w:ascii="楷体_GB2312" w:hAnsi="楷体_GB2312" w:eastAsia="楷体_GB2312" w:cs="楷体_GB2312"/>
          <w:lang w:eastAsia="zh-CN"/>
        </w:rPr>
        <w:t>稳步推进</w:t>
      </w:r>
      <w:r>
        <w:rPr>
          <w:rFonts w:hint="eastAsia" w:ascii="楷体_GB2312" w:hAnsi="楷体_GB2312" w:eastAsia="楷体_GB2312" w:cs="楷体_GB2312"/>
        </w:rPr>
        <w:t>农村生活污水治理。</w:t>
      </w:r>
    </w:p>
    <w:p>
      <w:pPr>
        <w:pStyle w:val="11"/>
        <w:keepNext w:val="0"/>
        <w:keepLines w:val="0"/>
        <w:pageBreakBefore w:val="0"/>
        <w:widowControl w:val="0"/>
        <w:kinsoku/>
        <w:wordWrap/>
        <w:overflowPunct/>
        <w:topLinePunct w:val="0"/>
        <w:autoSpaceDE/>
        <w:autoSpaceDN/>
        <w:bidi w:val="0"/>
        <w:adjustRightInd/>
        <w:snapToGrid/>
        <w:spacing w:after="0"/>
        <w:ind w:left="0" w:leftChars="0" w:firstLine="592"/>
        <w:textAlignment w:val="auto"/>
        <w:rPr>
          <w:rFonts w:hint="eastAsia" w:ascii="Times New Roman" w:hAnsi="Times New Roman" w:eastAsia="仿宋_GB2312" w:cstheme="minorBidi"/>
          <w:sz w:val="32"/>
          <w:lang w:eastAsia="zh-CN"/>
        </w:rPr>
      </w:pPr>
      <w:r>
        <w:rPr>
          <w:rFonts w:hint="eastAsia" w:cstheme="minorBidi"/>
          <w:sz w:val="32"/>
          <w:lang w:eastAsia="zh-CN"/>
        </w:rPr>
        <w:t>全市</w:t>
      </w:r>
      <w:r>
        <w:rPr>
          <w:rFonts w:hint="eastAsia" w:ascii="Times New Roman" w:hAnsi="Times New Roman" w:eastAsia="仿宋_GB2312" w:cstheme="minorBidi"/>
          <w:sz w:val="32"/>
          <w:lang w:eastAsia="zh-CN"/>
        </w:rPr>
        <w:t>因地制宜、</w:t>
      </w:r>
      <w:r>
        <w:rPr>
          <w:rFonts w:hint="eastAsia" w:cstheme="minorBidi"/>
          <w:sz w:val="32"/>
          <w:lang w:eastAsia="zh-CN"/>
        </w:rPr>
        <w:t>稳步</w:t>
      </w:r>
      <w:r>
        <w:rPr>
          <w:rFonts w:hint="eastAsia" w:ascii="Times New Roman" w:hAnsi="Times New Roman" w:eastAsia="仿宋_GB2312" w:cstheme="minorBidi"/>
          <w:sz w:val="32"/>
          <w:lang w:eastAsia="zh-CN"/>
        </w:rPr>
        <w:t>推进农村生活污水治理，</w:t>
      </w:r>
      <w:r>
        <w:rPr>
          <w:rFonts w:hint="eastAsia" w:cstheme="minorBidi"/>
          <w:sz w:val="32"/>
          <w:lang w:eastAsia="zh-CN"/>
        </w:rPr>
        <w:t>制定本市</w:t>
      </w:r>
      <w:r>
        <w:rPr>
          <w:rFonts w:hint="eastAsia" w:ascii="Times New Roman" w:hAnsi="Times New Roman" w:eastAsia="仿宋_GB2312" w:cstheme="minorBidi"/>
          <w:sz w:val="32"/>
          <w:lang w:eastAsia="zh-CN"/>
        </w:rPr>
        <w:t>农村生活污水治理攻坚行动方案</w:t>
      </w:r>
      <w:r>
        <w:rPr>
          <w:rFonts w:hint="eastAsia" w:cstheme="minorBidi"/>
          <w:sz w:val="32"/>
          <w:lang w:eastAsia="zh-CN"/>
        </w:rPr>
        <w:t>；各县（市、区）于</w:t>
      </w:r>
      <w:r>
        <w:rPr>
          <w:rFonts w:hint="eastAsia" w:ascii="Times New Roman" w:hAnsi="Times New Roman" w:eastAsia="仿宋_GB2312" w:cstheme="minorBidi"/>
          <w:sz w:val="32"/>
          <w:lang w:eastAsia="zh-CN"/>
        </w:rPr>
        <w:t>6月底前公开县域农村生活污水治理专项规划</w:t>
      </w:r>
      <w:r>
        <w:rPr>
          <w:rFonts w:hint="eastAsia" w:cstheme="minorBidi"/>
          <w:sz w:val="32"/>
          <w:lang w:eastAsia="zh-CN"/>
        </w:rPr>
        <w:t>；</w:t>
      </w:r>
      <w:r>
        <w:rPr>
          <w:rFonts w:hint="eastAsia" w:ascii="Times New Roman" w:hAnsi="Times New Roman" w:eastAsia="仿宋_GB2312" w:cstheme="minorBidi"/>
          <w:sz w:val="32"/>
          <w:lang w:eastAsia="zh-CN"/>
        </w:rPr>
        <w:t>建立健全运行维护管理机制，</w:t>
      </w:r>
      <w:r>
        <w:rPr>
          <w:rFonts w:hint="eastAsia" w:cstheme="minorBidi"/>
          <w:sz w:val="32"/>
          <w:lang w:eastAsia="zh-CN"/>
        </w:rPr>
        <w:t>各县（市、区）于</w:t>
      </w:r>
      <w:r>
        <w:rPr>
          <w:rFonts w:hint="eastAsia" w:ascii="Times New Roman" w:hAnsi="Times New Roman" w:eastAsia="仿宋_GB2312" w:cstheme="minorBidi"/>
          <w:sz w:val="32"/>
          <w:lang w:eastAsia="zh-CN"/>
        </w:rPr>
        <w:t>6月底前制</w:t>
      </w:r>
      <w:r>
        <w:rPr>
          <w:rFonts w:hint="eastAsia" w:cstheme="minorBidi"/>
          <w:sz w:val="32"/>
          <w:lang w:eastAsia="zh-CN"/>
        </w:rPr>
        <w:t>定</w:t>
      </w:r>
      <w:r>
        <w:rPr>
          <w:rFonts w:hint="eastAsia" w:ascii="Times New Roman" w:hAnsi="Times New Roman" w:eastAsia="仿宋_GB2312" w:cstheme="minorBidi"/>
          <w:sz w:val="32"/>
          <w:lang w:eastAsia="zh-CN"/>
        </w:rPr>
        <w:t>农村生活污水治理设施运行维护管理办法（或方案），推进日处理20吨及以上农村生活处理设施出水水质监测。</w:t>
      </w:r>
      <w:r>
        <w:rPr>
          <w:rFonts w:hint="eastAsia" w:cstheme="minorBidi"/>
          <w:sz w:val="32"/>
          <w:lang w:eastAsia="zh-CN"/>
        </w:rPr>
        <w:t>保质保量完成年度民生实事任务，</w:t>
      </w:r>
      <w:r>
        <w:rPr>
          <w:rFonts w:hint="eastAsia" w:ascii="Times New Roman" w:hAnsi="Times New Roman" w:eastAsia="仿宋_GB2312" w:cstheme="minorBidi"/>
          <w:sz w:val="32"/>
          <w:lang w:eastAsia="zh-CN"/>
        </w:rPr>
        <w:t>年底前新增</w:t>
      </w:r>
      <w:r>
        <w:rPr>
          <w:rFonts w:hint="eastAsia" w:cstheme="minorBidi"/>
          <w:sz w:val="32"/>
          <w:lang w:val="en-US" w:eastAsia="zh-CN"/>
        </w:rPr>
        <w:t>72</w:t>
      </w:r>
      <w:r>
        <w:rPr>
          <w:rFonts w:hint="eastAsia" w:ascii="Times New Roman" w:hAnsi="Times New Roman" w:eastAsia="仿宋_GB2312" w:cstheme="minorBidi"/>
          <w:sz w:val="32"/>
          <w:lang w:eastAsia="zh-CN"/>
        </w:rPr>
        <w:t>个以上自然村完成生活污水治理工作，全</w:t>
      </w:r>
      <w:r>
        <w:rPr>
          <w:rFonts w:hint="eastAsia" w:cstheme="minorBidi"/>
          <w:sz w:val="32"/>
          <w:lang w:eastAsia="zh-CN"/>
        </w:rPr>
        <w:t>市</w:t>
      </w:r>
      <w:r>
        <w:rPr>
          <w:rFonts w:hint="eastAsia" w:ascii="Times New Roman" w:hAnsi="Times New Roman" w:eastAsia="仿宋_GB2312" w:cstheme="minorBidi"/>
          <w:sz w:val="32"/>
          <w:lang w:eastAsia="zh-CN"/>
        </w:rPr>
        <w:t>农村生活污水治理率达到50%以上。</w:t>
      </w:r>
      <w:r>
        <w:rPr>
          <w:rFonts w:hint="eastAsia" w:ascii="楷体_GB2312" w:hAnsi="楷体_GB2312" w:eastAsia="楷体_GB2312" w:cs="楷体_GB2312"/>
        </w:rPr>
        <w:t>（</w:t>
      </w:r>
      <w:r>
        <w:rPr>
          <w:rFonts w:hint="eastAsia" w:ascii="楷体_GB2312" w:hAnsi="楷体_GB2312" w:eastAsia="楷体_GB2312" w:cs="楷体_GB2312"/>
          <w:sz w:val="32"/>
          <w:lang w:eastAsia="zh-CN"/>
        </w:rPr>
        <w:t>市</w:t>
      </w:r>
      <w:r>
        <w:rPr>
          <w:rFonts w:hint="eastAsia" w:ascii="楷体_GB2312" w:hAnsi="楷体_GB2312" w:eastAsia="楷体_GB2312" w:cs="楷体_GB2312"/>
          <w:sz w:val="32"/>
        </w:rPr>
        <w:t>生态环境</w:t>
      </w:r>
      <w:r>
        <w:rPr>
          <w:rFonts w:hint="eastAsia" w:ascii="楷体_GB2312" w:hAnsi="楷体_GB2312" w:eastAsia="楷体_GB2312" w:cs="楷体_GB2312"/>
          <w:sz w:val="32"/>
          <w:lang w:eastAsia="zh-CN"/>
        </w:rPr>
        <w:t>局</w:t>
      </w:r>
      <w:r>
        <w:rPr>
          <w:rFonts w:hint="eastAsia" w:ascii="楷体_GB2312" w:hAnsi="楷体_GB2312" w:eastAsia="楷体_GB2312" w:cs="楷体_GB2312"/>
          <w:sz w:val="32"/>
        </w:rPr>
        <w:t>牵头，</w:t>
      </w:r>
      <w:r>
        <w:rPr>
          <w:rFonts w:hint="eastAsia" w:ascii="楷体_GB2312" w:hAnsi="楷体_GB2312" w:eastAsia="楷体_GB2312" w:cs="楷体_GB2312"/>
          <w:sz w:val="32"/>
          <w:lang w:eastAsia="zh-CN"/>
        </w:rPr>
        <w:t>市</w:t>
      </w:r>
      <w:r>
        <w:rPr>
          <w:rFonts w:hint="eastAsia" w:ascii="楷体_GB2312" w:hAnsi="楷体_GB2312" w:eastAsia="楷体_GB2312" w:cs="楷体_GB2312"/>
          <w:sz w:val="32"/>
        </w:rPr>
        <w:t>农业农村</w:t>
      </w:r>
      <w:r>
        <w:rPr>
          <w:rFonts w:hint="eastAsia" w:ascii="楷体_GB2312" w:hAnsi="楷体_GB2312" w:eastAsia="楷体_GB2312" w:cs="楷体_GB2312"/>
          <w:sz w:val="32"/>
          <w:lang w:eastAsia="zh-CN"/>
        </w:rPr>
        <w:t>局</w:t>
      </w:r>
      <w:r>
        <w:rPr>
          <w:rFonts w:hint="eastAsia" w:ascii="楷体_GB2312" w:hAnsi="楷体_GB2312" w:eastAsia="楷体_GB2312" w:cs="楷体_GB2312"/>
          <w:sz w:val="32"/>
        </w:rPr>
        <w:t>、住房城乡建设</w:t>
      </w:r>
      <w:r>
        <w:rPr>
          <w:rFonts w:hint="eastAsia" w:ascii="楷体_GB2312" w:hAnsi="楷体_GB2312" w:eastAsia="楷体_GB2312" w:cs="楷体_GB2312"/>
          <w:sz w:val="32"/>
          <w:lang w:eastAsia="zh-CN"/>
        </w:rPr>
        <w:t>局、</w:t>
      </w:r>
      <w:r>
        <w:rPr>
          <w:rFonts w:hint="eastAsia" w:ascii="楷体_GB2312" w:hAnsi="楷体_GB2312" w:eastAsia="楷体_GB2312" w:cs="楷体_GB2312"/>
          <w:sz w:val="32"/>
        </w:rPr>
        <w:t>水</w:t>
      </w:r>
      <w:r>
        <w:rPr>
          <w:rFonts w:hint="eastAsia" w:ascii="楷体_GB2312" w:hAnsi="楷体_GB2312" w:eastAsia="楷体_GB2312" w:cs="楷体_GB2312"/>
          <w:sz w:val="32"/>
          <w:lang w:eastAsia="zh-CN"/>
        </w:rPr>
        <w:t>务局</w:t>
      </w:r>
      <w:r>
        <w:rPr>
          <w:rFonts w:hint="eastAsia" w:ascii="楷体_GB2312" w:hAnsi="楷体_GB2312" w:eastAsia="楷体_GB2312" w:cs="楷体_GB2312"/>
          <w:sz w:val="32"/>
        </w:rPr>
        <w:t>、财政</w:t>
      </w:r>
      <w:r>
        <w:rPr>
          <w:rFonts w:hint="eastAsia" w:ascii="楷体_GB2312" w:hAnsi="楷体_GB2312" w:eastAsia="楷体_GB2312" w:cs="楷体_GB2312"/>
          <w:sz w:val="32"/>
          <w:lang w:eastAsia="zh-CN"/>
        </w:rPr>
        <w:t>局</w:t>
      </w:r>
      <w:r>
        <w:rPr>
          <w:rFonts w:hint="eastAsia" w:ascii="楷体_GB2312" w:hAnsi="楷体_GB2312" w:eastAsia="楷体_GB2312" w:cs="楷体_GB2312"/>
          <w:sz w:val="32"/>
        </w:rPr>
        <w:t>参与</w:t>
      </w:r>
      <w:r>
        <w:rPr>
          <w:rFonts w:hint="eastAsia" w:ascii="楷体_GB2312" w:hAnsi="楷体_GB2312" w:eastAsia="楷体_GB2312" w:cs="楷体_GB231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w:t>
      </w:r>
      <w:r>
        <w:rPr>
          <w:rFonts w:hint="eastAsia" w:ascii="楷体_GB2312" w:hAnsi="楷体_GB2312" w:eastAsia="楷体_GB2312" w:cs="楷体_GB2312"/>
          <w:lang w:eastAsia="zh-CN"/>
        </w:rPr>
        <w:t>九</w:t>
      </w:r>
      <w:r>
        <w:rPr>
          <w:rFonts w:hint="eastAsia" w:ascii="楷体_GB2312" w:hAnsi="楷体_GB2312" w:eastAsia="楷体_GB2312" w:cs="楷体_GB2312"/>
        </w:rPr>
        <w:t>）强化船舶污染治理。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lang w:val="en-US" w:eastAsia="zh-CN"/>
        </w:rPr>
        <w:t>全面落实《广东省深化治理港口船舶水污染物工作方案》，推进</w:t>
      </w:r>
      <w:r>
        <w:rPr>
          <w:rFonts w:hint="eastAsia"/>
        </w:rPr>
        <w:t>400总吨以上不满足排放要求的船舶应强制配备符合排放标准的水污染物储存或处理设施，400总吨以下</w:t>
      </w:r>
      <w:r>
        <w:rPr>
          <w:rFonts w:hint="eastAsia"/>
          <w:lang w:eastAsia="zh-CN"/>
        </w:rPr>
        <w:t>不满足排放要求的</w:t>
      </w:r>
      <w:r>
        <w:rPr>
          <w:rFonts w:hint="eastAsia"/>
        </w:rPr>
        <w:t>内河船舶于5月底前完成</w:t>
      </w:r>
      <w:r>
        <w:rPr>
          <w:rFonts w:hint="eastAsia"/>
          <w:lang w:eastAsia="zh-CN"/>
        </w:rPr>
        <w:t>改造</w:t>
      </w:r>
      <w:r>
        <w:rPr>
          <w:rFonts w:hint="eastAsia"/>
        </w:rPr>
        <w:t>。</w:t>
      </w:r>
      <w:r>
        <w:rPr>
          <w:rFonts w:hint="eastAsia" w:ascii="楷体_GB2312" w:hAnsi="楷体_GB2312" w:eastAsia="楷体_GB2312" w:cs="楷体_GB2312"/>
        </w:rPr>
        <w:t>（</w:t>
      </w:r>
      <w:r>
        <w:rPr>
          <w:rFonts w:hint="eastAsia" w:ascii="楷体_GB2312" w:hAnsi="楷体_GB2312" w:eastAsia="楷体_GB2312" w:cs="楷体_GB2312"/>
          <w:lang w:eastAsia="zh-CN"/>
        </w:rPr>
        <w:t>汕尾</w:t>
      </w:r>
      <w:r>
        <w:rPr>
          <w:rFonts w:hint="eastAsia" w:ascii="楷体_GB2312" w:hAnsi="楷体_GB2312" w:eastAsia="楷体_GB2312" w:cs="楷体_GB2312"/>
        </w:rPr>
        <w:t>海事局</w:t>
      </w:r>
      <w:r>
        <w:rPr>
          <w:rFonts w:hint="eastAsia" w:ascii="楷体_GB2312" w:hAnsi="楷体_GB2312" w:eastAsia="楷体_GB2312" w:cs="楷体_GB2312"/>
          <w:lang w:eastAsia="zh-CN"/>
        </w:rPr>
        <w:t>、</w:t>
      </w:r>
      <w:r>
        <w:rPr>
          <w:rFonts w:hint="eastAsia" w:ascii="楷体_GB2312" w:hAnsi="楷体_GB2312" w:eastAsia="楷体_GB2312" w:cs="楷体_GB2312"/>
          <w:color w:val="FF0000"/>
          <w:lang w:eastAsia="zh-CN"/>
        </w:rPr>
        <w:t>市农业农村局</w:t>
      </w:r>
      <w:r>
        <w:rPr>
          <w:rFonts w:hint="eastAsia" w:ascii="楷体_GB2312" w:hAnsi="楷体_GB2312" w:eastAsia="楷体_GB2312" w:cs="楷体_GB2312"/>
        </w:rPr>
        <w:t>牵头，</w:t>
      </w:r>
      <w:r>
        <w:rPr>
          <w:rFonts w:hint="eastAsia" w:ascii="楷体_GB2312" w:hAnsi="楷体_GB2312" w:eastAsia="楷体_GB2312" w:cs="楷体_GB2312"/>
          <w:lang w:eastAsia="zh-CN"/>
        </w:rPr>
        <w:t>市</w:t>
      </w:r>
      <w:r>
        <w:rPr>
          <w:rFonts w:hint="eastAsia" w:ascii="楷体_GB2312" w:hAnsi="楷体_GB2312" w:eastAsia="楷体_GB2312" w:cs="楷体_GB2312"/>
        </w:rPr>
        <w:t>交通运输</w:t>
      </w:r>
      <w:r>
        <w:rPr>
          <w:rFonts w:hint="eastAsia" w:ascii="楷体_GB2312" w:hAnsi="楷体_GB2312" w:eastAsia="楷体_GB2312" w:cs="楷体_GB2312"/>
          <w:lang w:eastAsia="zh-CN"/>
        </w:rPr>
        <w:t>局</w:t>
      </w:r>
      <w:r>
        <w:rPr>
          <w:rFonts w:hint="eastAsia" w:ascii="楷体_GB2312" w:hAnsi="楷体_GB2312" w:eastAsia="楷体_GB2312" w:cs="楷体_GB2312"/>
        </w:rPr>
        <w:t>、住房城乡建设</w:t>
      </w:r>
      <w:r>
        <w:rPr>
          <w:rFonts w:hint="eastAsia" w:ascii="楷体_GB2312" w:hAnsi="楷体_GB2312" w:eastAsia="楷体_GB2312" w:cs="楷体_GB2312"/>
          <w:lang w:eastAsia="zh-CN"/>
        </w:rPr>
        <w:t>局</w:t>
      </w:r>
      <w:r>
        <w:rPr>
          <w:rFonts w:hint="eastAsia" w:ascii="楷体_GB2312" w:hAnsi="楷体_GB2312" w:eastAsia="楷体_GB2312" w:cs="楷体_GB2312"/>
        </w:rPr>
        <w:t>、生态环境</w:t>
      </w:r>
      <w:r>
        <w:rPr>
          <w:rFonts w:hint="eastAsia" w:ascii="楷体_GB2312" w:hAnsi="楷体_GB2312" w:eastAsia="楷体_GB2312" w:cs="楷体_GB2312"/>
          <w:lang w:eastAsia="zh-CN"/>
        </w:rPr>
        <w:t>局</w:t>
      </w:r>
      <w:r>
        <w:rPr>
          <w:rFonts w:hint="eastAsia" w:ascii="楷体_GB2312" w:hAnsi="楷体_GB2312" w:eastAsia="楷体_GB2312" w:cs="楷体_GB2312"/>
        </w:rPr>
        <w:t>参与）</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rPr>
      </w:pPr>
      <w:r>
        <w:rPr>
          <w:rFonts w:hint="eastAsia"/>
          <w:lang w:eastAsia="zh-CN"/>
        </w:rPr>
        <w:t>沿海</w:t>
      </w:r>
      <w:r>
        <w:rPr>
          <w:rFonts w:hint="eastAsia"/>
        </w:rPr>
        <w:t>港口所在</w:t>
      </w:r>
      <w:r>
        <w:rPr>
          <w:rFonts w:hint="eastAsia"/>
          <w:lang w:eastAsia="zh-CN"/>
        </w:rPr>
        <w:t>县（市、区）</w:t>
      </w:r>
      <w:r>
        <w:rPr>
          <w:rFonts w:hint="eastAsia"/>
        </w:rPr>
        <w:t>要在</w:t>
      </w:r>
      <w:r>
        <w:rPr>
          <w:rFonts w:hint="eastAsia"/>
          <w:lang w:eastAsia="zh-CN"/>
        </w:rPr>
        <w:t>年底</w:t>
      </w:r>
      <w:r>
        <w:rPr>
          <w:rFonts w:hint="eastAsia"/>
        </w:rPr>
        <w:t>前建成船舶含油污水处理扩容设施，满足本地到港船舶含油污水的处理需求。各</w:t>
      </w:r>
      <w:r>
        <w:rPr>
          <w:rFonts w:hint="eastAsia"/>
          <w:lang w:eastAsia="zh-CN"/>
        </w:rPr>
        <w:t>县（市、区）</w:t>
      </w:r>
      <w:r>
        <w:rPr>
          <w:rFonts w:hint="eastAsia"/>
        </w:rPr>
        <w:t>内河港口船舶水污染物接收能力达100%。</w:t>
      </w:r>
      <w:r>
        <w:rPr>
          <w:rFonts w:hint="eastAsia" w:ascii="楷体_GB2312" w:hAnsi="楷体_GB2312" w:eastAsia="楷体_GB2312" w:cs="楷体_GB2312"/>
        </w:rPr>
        <w:t>（</w:t>
      </w:r>
      <w:r>
        <w:rPr>
          <w:rFonts w:hint="eastAsia" w:ascii="楷体_GB2312" w:hAnsi="楷体_GB2312" w:eastAsia="楷体_GB2312" w:cs="楷体_GB2312"/>
          <w:lang w:eastAsia="zh-CN"/>
        </w:rPr>
        <w:t>市</w:t>
      </w:r>
      <w:r>
        <w:rPr>
          <w:rFonts w:hint="eastAsia" w:ascii="楷体_GB2312" w:hAnsi="楷体_GB2312" w:eastAsia="楷体_GB2312" w:cs="楷体_GB2312"/>
        </w:rPr>
        <w:t>交通运输</w:t>
      </w:r>
      <w:r>
        <w:rPr>
          <w:rFonts w:hint="eastAsia" w:ascii="楷体_GB2312" w:hAnsi="楷体_GB2312" w:eastAsia="楷体_GB2312" w:cs="楷体_GB2312"/>
          <w:lang w:eastAsia="zh-CN"/>
        </w:rPr>
        <w:t>局</w:t>
      </w:r>
      <w:r>
        <w:rPr>
          <w:rFonts w:hint="eastAsia" w:ascii="楷体_GB2312" w:hAnsi="楷体_GB2312" w:eastAsia="楷体_GB2312" w:cs="楷体_GB2312"/>
        </w:rPr>
        <w:t>牵头，</w:t>
      </w:r>
      <w:r>
        <w:rPr>
          <w:rFonts w:hint="eastAsia" w:ascii="楷体_GB2312" w:hAnsi="楷体_GB2312" w:eastAsia="楷体_GB2312" w:cs="楷体_GB2312"/>
          <w:lang w:eastAsia="zh-CN"/>
        </w:rPr>
        <w:t>市</w:t>
      </w:r>
      <w:r>
        <w:rPr>
          <w:rFonts w:hint="eastAsia" w:ascii="楷体_GB2312" w:hAnsi="楷体_GB2312" w:eastAsia="楷体_GB2312" w:cs="楷体_GB2312"/>
        </w:rPr>
        <w:t>生态环境</w:t>
      </w:r>
      <w:r>
        <w:rPr>
          <w:rFonts w:hint="eastAsia" w:ascii="楷体_GB2312" w:hAnsi="楷体_GB2312" w:eastAsia="楷体_GB2312" w:cs="楷体_GB2312"/>
          <w:lang w:eastAsia="zh-CN"/>
        </w:rPr>
        <w:t>局</w:t>
      </w:r>
      <w:r>
        <w:rPr>
          <w:rFonts w:hint="eastAsia" w:ascii="楷体_GB2312" w:hAnsi="楷体_GB2312" w:eastAsia="楷体_GB2312" w:cs="楷体_GB2312"/>
        </w:rPr>
        <w:t>、住房城乡建设</w:t>
      </w:r>
      <w:r>
        <w:rPr>
          <w:rFonts w:hint="eastAsia" w:ascii="楷体_GB2312" w:hAnsi="楷体_GB2312" w:eastAsia="楷体_GB2312" w:cs="楷体_GB2312"/>
          <w:lang w:eastAsia="zh-CN"/>
        </w:rPr>
        <w:t>局</w:t>
      </w:r>
      <w:r>
        <w:rPr>
          <w:rFonts w:hint="eastAsia" w:ascii="楷体_GB2312" w:hAnsi="楷体_GB2312" w:eastAsia="楷体_GB2312" w:cs="楷体_GB2312"/>
        </w:rPr>
        <w:t>，</w:t>
      </w:r>
      <w:r>
        <w:rPr>
          <w:rFonts w:hint="eastAsia" w:ascii="楷体_GB2312" w:hAnsi="楷体_GB2312" w:eastAsia="楷体_GB2312" w:cs="楷体_GB2312"/>
          <w:lang w:eastAsia="zh-CN"/>
        </w:rPr>
        <w:t>汕尾</w:t>
      </w:r>
      <w:r>
        <w:rPr>
          <w:rFonts w:hint="eastAsia" w:ascii="楷体_GB2312" w:hAnsi="楷体_GB2312" w:eastAsia="楷体_GB2312" w:cs="楷体_GB2312"/>
        </w:rPr>
        <w:t>海事局参与）</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lang w:val="en-US" w:eastAsia="zh-CN"/>
        </w:rPr>
        <w:t>（十）深入开展</w:t>
      </w:r>
      <w:r>
        <w:rPr>
          <w:rFonts w:hint="eastAsia" w:ascii="楷体_GB2312" w:hAnsi="楷体_GB2312" w:eastAsia="楷体_GB2312" w:cs="楷体_GB2312"/>
        </w:rPr>
        <w:t>入河排污口排查整治。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rPr>
      </w:pPr>
      <w:r>
        <w:rPr>
          <w:rFonts w:hint="eastAsia"/>
          <w:lang w:val="en-US" w:eastAsia="zh-CN"/>
        </w:rPr>
        <w:t>贯彻落实《国务院办公厅关于加强入河入海排污口监督管理工作的实施意见》，认真谋划做好全市排污口排查整治工作谋划部署，各县（市、区）要制定排污口排查整治工作实施方案，开展</w:t>
      </w:r>
      <w:r>
        <w:rPr>
          <w:rFonts w:hint="eastAsia"/>
        </w:rPr>
        <w:t>流域面积100平方公里以下重点水体的排污口排查</w:t>
      </w:r>
      <w:r>
        <w:rPr>
          <w:rFonts w:hint="eastAsia"/>
          <w:lang w:eastAsia="zh-CN"/>
        </w:rPr>
        <w:t>，逐步实施溯源整治</w:t>
      </w:r>
      <w:r>
        <w:rPr>
          <w:rFonts w:hint="eastAsia"/>
        </w:rPr>
        <w:t>。动态</w:t>
      </w:r>
      <w:r>
        <w:rPr>
          <w:rFonts w:hint="eastAsia"/>
          <w:lang w:eastAsia="zh-CN"/>
        </w:rPr>
        <w:t>更新</w:t>
      </w:r>
      <w:r>
        <w:rPr>
          <w:rFonts w:hint="eastAsia"/>
        </w:rPr>
        <w:t>重点监管排污口名录，定期开展</w:t>
      </w:r>
      <w:r>
        <w:rPr>
          <w:rFonts w:hint="eastAsia"/>
          <w:lang w:eastAsia="zh-CN"/>
        </w:rPr>
        <w:t>监督检查</w:t>
      </w:r>
      <w:r>
        <w:rPr>
          <w:rFonts w:hint="eastAsia"/>
        </w:rPr>
        <w:t>，纳入“双随机、一公开”监管，逐步完善“一口一档”信息。优先整治</w:t>
      </w:r>
      <w:r>
        <w:rPr>
          <w:rFonts w:hint="eastAsia"/>
          <w:lang w:eastAsia="zh-CN"/>
        </w:rPr>
        <w:t>存在</w:t>
      </w:r>
      <w:r>
        <w:rPr>
          <w:rFonts w:hint="eastAsia"/>
        </w:rPr>
        <w:t>违法违规</w:t>
      </w:r>
      <w:r>
        <w:rPr>
          <w:rFonts w:hint="eastAsia"/>
          <w:lang w:eastAsia="zh-CN"/>
        </w:rPr>
        <w:t>情形</w:t>
      </w:r>
      <w:r>
        <w:rPr>
          <w:rFonts w:hint="eastAsia"/>
        </w:rPr>
        <w:t>和突出影响水质的问题排污口</w:t>
      </w:r>
      <w:r>
        <w:rPr>
          <w:rFonts w:hint="eastAsia"/>
          <w:lang w:eastAsia="zh-CN"/>
        </w:rPr>
        <w:t>，推进列入</w:t>
      </w:r>
      <w:r>
        <w:rPr>
          <w:rFonts w:hint="eastAsia"/>
          <w:lang w:val="en-US" w:eastAsia="zh-CN"/>
        </w:rPr>
        <w:t>拟整治</w:t>
      </w:r>
      <w:r>
        <w:rPr>
          <w:rFonts w:hint="eastAsia"/>
          <w:lang w:eastAsia="zh-CN"/>
        </w:rPr>
        <w:t>清单问题排污口的</w:t>
      </w:r>
      <w:r>
        <w:rPr>
          <w:rFonts w:hint="eastAsia"/>
        </w:rPr>
        <w:t>整治，</w:t>
      </w:r>
      <w:r>
        <w:rPr>
          <w:rFonts w:hint="eastAsia"/>
          <w:lang w:eastAsia="zh-CN"/>
        </w:rPr>
        <w:t>东溪河流域</w:t>
      </w:r>
      <w:r>
        <w:rPr>
          <w:rFonts w:hint="eastAsia"/>
        </w:rPr>
        <w:t>确保整治完成率达</w:t>
      </w:r>
      <w:r>
        <w:rPr>
          <w:rFonts w:hint="eastAsia"/>
          <w:lang w:val="en-US" w:eastAsia="zh-CN"/>
        </w:rPr>
        <w:t>10</w:t>
      </w:r>
      <w:r>
        <w:rPr>
          <w:rFonts w:hint="eastAsia"/>
        </w:rPr>
        <w:t>0%，其</w:t>
      </w:r>
      <w:r>
        <w:rPr>
          <w:rFonts w:hint="eastAsia"/>
          <w:lang w:eastAsia="zh-CN"/>
        </w:rPr>
        <w:t>他地区</w:t>
      </w:r>
      <w:r>
        <w:rPr>
          <w:rFonts w:hint="eastAsia"/>
        </w:rPr>
        <w:t>力争整治完成率达70%。</w:t>
      </w:r>
      <w:r>
        <w:rPr>
          <w:rFonts w:hint="eastAsia" w:ascii="楷体_GB2312" w:hAnsi="楷体_GB2312" w:eastAsia="楷体_GB2312" w:cs="楷体_GB2312"/>
        </w:rPr>
        <w:t>（</w:t>
      </w:r>
      <w:r>
        <w:rPr>
          <w:rFonts w:hint="eastAsia" w:ascii="楷体_GB2312" w:hAnsi="楷体_GB2312" w:eastAsia="楷体_GB2312" w:cs="楷体_GB2312"/>
          <w:lang w:eastAsia="zh-CN"/>
        </w:rPr>
        <w:t>市</w:t>
      </w:r>
      <w:r>
        <w:rPr>
          <w:rFonts w:hint="eastAsia" w:ascii="楷体_GB2312" w:hAnsi="楷体_GB2312" w:eastAsia="楷体_GB2312" w:cs="楷体_GB2312"/>
        </w:rPr>
        <w:t>生态环境</w:t>
      </w:r>
      <w:r>
        <w:rPr>
          <w:rFonts w:hint="eastAsia" w:ascii="楷体_GB2312" w:hAnsi="楷体_GB2312" w:eastAsia="楷体_GB2312" w:cs="楷体_GB2312"/>
          <w:lang w:eastAsia="zh-CN"/>
        </w:rPr>
        <w:t>局</w:t>
      </w:r>
      <w:r>
        <w:rPr>
          <w:rFonts w:hint="eastAsia" w:ascii="楷体_GB2312" w:hAnsi="楷体_GB2312" w:eastAsia="楷体_GB2312" w:cs="楷体_GB2312"/>
        </w:rPr>
        <w:t>牵头，</w:t>
      </w:r>
      <w:r>
        <w:rPr>
          <w:rFonts w:hint="eastAsia" w:ascii="楷体_GB2312" w:hAnsi="楷体_GB2312" w:eastAsia="楷体_GB2312" w:cs="楷体_GB2312"/>
          <w:lang w:eastAsia="zh-CN"/>
        </w:rPr>
        <w:t>市</w:t>
      </w:r>
      <w:r>
        <w:rPr>
          <w:rFonts w:hint="eastAsia" w:ascii="楷体_GB2312" w:hAnsi="楷体_GB2312" w:eastAsia="楷体_GB2312" w:cs="楷体_GB2312"/>
        </w:rPr>
        <w:t>住房城乡建设</w:t>
      </w:r>
      <w:r>
        <w:rPr>
          <w:rFonts w:hint="eastAsia" w:ascii="楷体_GB2312" w:hAnsi="楷体_GB2312" w:eastAsia="楷体_GB2312" w:cs="楷体_GB2312"/>
          <w:lang w:eastAsia="zh-CN"/>
        </w:rPr>
        <w:t>局</w:t>
      </w:r>
      <w:r>
        <w:rPr>
          <w:rFonts w:hint="eastAsia" w:ascii="楷体_GB2312" w:hAnsi="楷体_GB2312" w:eastAsia="楷体_GB2312" w:cs="楷体_GB2312"/>
        </w:rPr>
        <w:t>、农业农村</w:t>
      </w:r>
      <w:r>
        <w:rPr>
          <w:rFonts w:hint="eastAsia" w:ascii="楷体_GB2312" w:hAnsi="楷体_GB2312" w:eastAsia="楷体_GB2312" w:cs="楷体_GB2312"/>
          <w:lang w:eastAsia="zh-CN"/>
        </w:rPr>
        <w:t>局</w:t>
      </w:r>
      <w:r>
        <w:rPr>
          <w:rFonts w:hint="eastAsia" w:ascii="楷体_GB2312" w:hAnsi="楷体_GB2312" w:eastAsia="楷体_GB2312" w:cs="楷体_GB2312"/>
        </w:rPr>
        <w:t>、水</w:t>
      </w:r>
      <w:r>
        <w:rPr>
          <w:rFonts w:hint="eastAsia" w:ascii="楷体_GB2312" w:hAnsi="楷体_GB2312" w:eastAsia="楷体_GB2312" w:cs="楷体_GB2312"/>
          <w:lang w:eastAsia="zh-CN"/>
        </w:rPr>
        <w:t>务局</w:t>
      </w:r>
      <w:r>
        <w:rPr>
          <w:rFonts w:hint="eastAsia" w:ascii="楷体_GB2312" w:hAnsi="楷体_GB2312" w:eastAsia="楷体_GB2312" w:cs="楷体_GB2312"/>
        </w:rPr>
        <w:t>参与）</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（十一）强化水资源调度管控。</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rPr>
      </w:pPr>
      <w:r>
        <w:rPr>
          <w:rFonts w:hint="eastAsia"/>
        </w:rPr>
        <w:t>优化全</w:t>
      </w:r>
      <w:r>
        <w:rPr>
          <w:rFonts w:hint="eastAsia"/>
          <w:lang w:eastAsia="zh-CN"/>
        </w:rPr>
        <w:t>市</w:t>
      </w:r>
      <w:r>
        <w:rPr>
          <w:rFonts w:hint="eastAsia"/>
        </w:rPr>
        <w:t>水资源配置格局，加快谋划实施</w:t>
      </w:r>
      <w:r>
        <w:rPr>
          <w:rFonts w:hint="eastAsia"/>
          <w:lang w:eastAsia="zh-CN"/>
        </w:rPr>
        <w:t>螺河</w:t>
      </w:r>
      <w:r>
        <w:rPr>
          <w:rFonts w:hint="eastAsia"/>
          <w:lang w:val="en-US" w:eastAsia="zh-CN"/>
        </w:rPr>
        <w:t>-黄江</w:t>
      </w:r>
      <w:r>
        <w:rPr>
          <w:rFonts w:hint="eastAsia"/>
        </w:rPr>
        <w:t>水系连通工程建设。</w:t>
      </w:r>
      <w:r>
        <w:rPr>
          <w:rFonts w:hint="eastAsia"/>
          <w:lang w:eastAsia="zh-CN"/>
        </w:rPr>
        <w:t>全面落实第一批、第二批重点河湖生态流量保障方案，</w:t>
      </w:r>
      <w:r>
        <w:rPr>
          <w:rFonts w:hint="eastAsia"/>
        </w:rPr>
        <w:t>进一步落实国考断面所在河流生态流量目标，重点保障黄江河</w:t>
      </w:r>
      <w:r>
        <w:rPr>
          <w:rFonts w:hint="eastAsia"/>
          <w:lang w:eastAsia="zh-CN"/>
        </w:rPr>
        <w:t>、东溪河</w:t>
      </w:r>
      <w:r>
        <w:rPr>
          <w:rFonts w:hint="eastAsia"/>
        </w:rPr>
        <w:t>等流域枯水期下泄流量。</w:t>
      </w:r>
      <w:r>
        <w:rPr>
          <w:rFonts w:hint="eastAsia"/>
          <w:lang w:eastAsia="zh-CN"/>
        </w:rPr>
        <w:t>积极稳妥推进</w:t>
      </w:r>
      <w:r>
        <w:rPr>
          <w:rFonts w:hint="eastAsia"/>
        </w:rPr>
        <w:t>小水电清退整改</w:t>
      </w:r>
      <w:r>
        <w:rPr>
          <w:rFonts w:hint="eastAsia"/>
          <w:highlight w:val="none"/>
          <w:lang w:eastAsia="zh-CN"/>
        </w:rPr>
        <w:t>，</w:t>
      </w:r>
      <w:r>
        <w:rPr>
          <w:rFonts w:hint="eastAsia"/>
          <w:highlight w:val="none"/>
          <w:lang w:val="en-US" w:eastAsia="zh-CN"/>
        </w:rPr>
        <w:t>促进小水电绿色发展，保护和修复河流生态系统</w:t>
      </w:r>
      <w:r>
        <w:rPr>
          <w:rFonts w:hint="eastAsia"/>
        </w:rPr>
        <w:t>。</w:t>
      </w:r>
      <w:r>
        <w:rPr>
          <w:rFonts w:hint="eastAsia" w:ascii="楷体_GB2312" w:hAnsi="楷体_GB2312" w:eastAsia="楷体_GB2312" w:cs="楷体_GB2312"/>
        </w:rPr>
        <w:t>（</w:t>
      </w:r>
      <w:r>
        <w:rPr>
          <w:rFonts w:hint="eastAsia" w:ascii="楷体_GB2312" w:hAnsi="楷体_GB2312" w:eastAsia="楷体_GB2312" w:cs="楷体_GB2312"/>
          <w:lang w:eastAsia="zh-CN"/>
        </w:rPr>
        <w:t>市</w:t>
      </w:r>
      <w:r>
        <w:rPr>
          <w:rFonts w:hint="eastAsia" w:ascii="楷体_GB2312" w:hAnsi="楷体_GB2312" w:eastAsia="楷体_GB2312" w:cs="楷体_GB2312"/>
        </w:rPr>
        <w:t>水</w:t>
      </w:r>
      <w:r>
        <w:rPr>
          <w:rFonts w:hint="eastAsia" w:ascii="楷体_GB2312" w:hAnsi="楷体_GB2312" w:eastAsia="楷体_GB2312" w:cs="楷体_GB2312"/>
          <w:lang w:eastAsia="zh-CN"/>
        </w:rPr>
        <w:t>务局</w:t>
      </w:r>
      <w:r>
        <w:rPr>
          <w:rFonts w:hint="eastAsia" w:ascii="楷体_GB2312" w:hAnsi="楷体_GB2312" w:eastAsia="楷体_GB2312" w:cs="楷体_GB2312"/>
        </w:rPr>
        <w:t>牵头，</w:t>
      </w:r>
      <w:r>
        <w:rPr>
          <w:rFonts w:hint="eastAsia" w:ascii="楷体_GB2312" w:hAnsi="楷体_GB2312" w:eastAsia="楷体_GB2312" w:cs="楷体_GB2312"/>
          <w:lang w:eastAsia="zh-CN"/>
        </w:rPr>
        <w:t>市</w:t>
      </w:r>
      <w:r>
        <w:rPr>
          <w:rFonts w:hint="eastAsia" w:ascii="楷体_GB2312" w:hAnsi="楷体_GB2312" w:eastAsia="楷体_GB2312" w:cs="楷体_GB2312"/>
        </w:rPr>
        <w:t>自然资源</w:t>
      </w:r>
      <w:r>
        <w:rPr>
          <w:rFonts w:hint="eastAsia" w:ascii="楷体_GB2312" w:hAnsi="楷体_GB2312" w:eastAsia="楷体_GB2312" w:cs="楷体_GB2312"/>
          <w:lang w:eastAsia="zh-CN"/>
        </w:rPr>
        <w:t>局</w:t>
      </w:r>
      <w:r>
        <w:rPr>
          <w:rFonts w:hint="eastAsia" w:ascii="楷体_GB2312" w:hAnsi="楷体_GB2312" w:eastAsia="楷体_GB2312" w:cs="楷体_GB2312"/>
        </w:rPr>
        <w:t>、生态环境</w:t>
      </w:r>
      <w:r>
        <w:rPr>
          <w:rFonts w:hint="eastAsia" w:ascii="楷体_GB2312" w:hAnsi="楷体_GB2312" w:eastAsia="楷体_GB2312" w:cs="楷体_GB2312"/>
          <w:lang w:eastAsia="zh-CN"/>
        </w:rPr>
        <w:t>局</w:t>
      </w:r>
      <w:r>
        <w:rPr>
          <w:rFonts w:hint="eastAsia" w:ascii="楷体_GB2312" w:hAnsi="楷体_GB2312" w:eastAsia="楷体_GB2312" w:cs="楷体_GB2312"/>
        </w:rPr>
        <w:t>、住房城乡建设</w:t>
      </w:r>
      <w:r>
        <w:rPr>
          <w:rFonts w:hint="eastAsia" w:ascii="楷体_GB2312" w:hAnsi="楷体_GB2312" w:eastAsia="楷体_GB2312" w:cs="楷体_GB2312"/>
          <w:lang w:eastAsia="zh-CN"/>
        </w:rPr>
        <w:t>局</w:t>
      </w:r>
      <w:r>
        <w:rPr>
          <w:rFonts w:hint="eastAsia" w:ascii="楷体_GB2312" w:hAnsi="楷体_GB2312" w:eastAsia="楷体_GB2312" w:cs="楷体_GB2312"/>
        </w:rPr>
        <w:t>、农业农村</w:t>
      </w:r>
      <w:r>
        <w:rPr>
          <w:rFonts w:hint="eastAsia" w:ascii="楷体_GB2312" w:hAnsi="楷体_GB2312" w:eastAsia="楷体_GB2312" w:cs="楷体_GB2312"/>
          <w:lang w:eastAsia="zh-CN"/>
        </w:rPr>
        <w:t>局</w:t>
      </w:r>
      <w:r>
        <w:rPr>
          <w:rFonts w:hint="eastAsia" w:ascii="楷体_GB2312" w:hAnsi="楷体_GB2312" w:eastAsia="楷体_GB2312" w:cs="楷体_GB2312"/>
          <w:lang w:val="en-US" w:eastAsia="zh-CN"/>
        </w:rPr>
        <w:t>等单位</w:t>
      </w:r>
      <w:r>
        <w:rPr>
          <w:rFonts w:hint="eastAsia" w:ascii="楷体_GB2312" w:hAnsi="楷体_GB2312" w:eastAsia="楷体_GB2312" w:cs="楷体_GB2312"/>
        </w:rPr>
        <w:t>参与）</w:t>
      </w:r>
    </w:p>
    <w:p>
      <w:pPr>
        <w:pStyle w:val="2"/>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textAlignment w:val="auto"/>
        <w:rPr>
          <w:rFonts w:hint="eastAsia" w:ascii="Times New Roman" w:eastAsia="仿宋_GB2312"/>
          <w:sz w:val="32"/>
          <w:szCs w:val="24"/>
        </w:rPr>
      </w:pPr>
      <w:r>
        <w:rPr>
          <w:rFonts w:hint="eastAsia" w:ascii="Times New Roman" w:eastAsia="仿宋_GB2312"/>
          <w:sz w:val="32"/>
          <w:szCs w:val="24"/>
        </w:rPr>
        <w:t>深入实施“三线一单”生态环境分区管控，动态更新“三线一单”成果，不断优化水环境分区管控要求</w:t>
      </w:r>
      <w:r>
        <w:rPr>
          <w:rFonts w:hint="eastAsia" w:ascii="Times New Roman" w:eastAsia="仿宋_GB2312"/>
          <w:sz w:val="32"/>
          <w:szCs w:val="24"/>
          <w:lang w:eastAsia="zh-CN"/>
        </w:rPr>
        <w:t>。</w:t>
      </w:r>
      <w:r>
        <w:rPr>
          <w:rFonts w:hint="eastAsia" w:ascii="楷体_GB2312" w:hAnsi="楷体_GB2312" w:eastAsia="楷体_GB2312" w:cs="楷体_GB2312"/>
          <w:sz w:val="32"/>
          <w:szCs w:val="36"/>
        </w:rPr>
        <w:t>（</w:t>
      </w:r>
      <w:r>
        <w:rPr>
          <w:rFonts w:hint="eastAsia" w:ascii="楷体_GB2312" w:hAnsi="楷体_GB2312" w:eastAsia="楷体_GB2312" w:cs="楷体_GB2312"/>
          <w:kern w:val="2"/>
          <w:sz w:val="32"/>
          <w:szCs w:val="24"/>
          <w:lang w:val="en-US" w:eastAsia="zh-CN" w:bidi="ar-SA"/>
        </w:rPr>
        <w:t>市生态环境局牵头，市水务局、自然资源局、住房城乡建设局参与</w:t>
      </w:r>
      <w:r>
        <w:rPr>
          <w:rFonts w:hint="eastAsia" w:ascii="楷体_GB2312" w:hAnsi="楷体_GB2312" w:eastAsia="楷体_GB2312" w:cs="楷体_GB2312"/>
          <w:sz w:val="32"/>
          <w:szCs w:val="36"/>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（十二）稳步推进河湖生态修复。</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rPr>
      </w:pPr>
      <w:r>
        <w:rPr>
          <w:rFonts w:hint="eastAsia"/>
          <w:lang w:eastAsia="zh-CN"/>
        </w:rPr>
        <w:t>优化水环境分区管控要求，动态更新“三线一单”成果，</w:t>
      </w:r>
      <w:r>
        <w:rPr>
          <w:rFonts w:hint="eastAsia"/>
        </w:rPr>
        <w:t>开展水生态环境调查评估，7月底前完成</w:t>
      </w:r>
      <w:r>
        <w:rPr>
          <w:rFonts w:hint="eastAsia"/>
          <w:lang w:eastAsia="zh-CN"/>
        </w:rPr>
        <w:t>全市</w:t>
      </w:r>
      <w:r>
        <w:rPr>
          <w:rFonts w:hint="eastAsia"/>
        </w:rPr>
        <w:t>第一轮水生态环境调查监测工作</w:t>
      </w:r>
      <w:r>
        <w:rPr>
          <w:rFonts w:hint="eastAsia"/>
          <w:lang w:eastAsia="zh-CN"/>
        </w:rPr>
        <w:t>，</w:t>
      </w:r>
      <w:r>
        <w:rPr>
          <w:rFonts w:hint="eastAsia"/>
        </w:rPr>
        <w:t>10月底前</w:t>
      </w:r>
      <w:r>
        <w:rPr>
          <w:rFonts w:hint="eastAsia"/>
          <w:lang w:eastAsia="zh-CN"/>
        </w:rPr>
        <w:t>将</w:t>
      </w:r>
      <w:r>
        <w:rPr>
          <w:rFonts w:hint="eastAsia"/>
        </w:rPr>
        <w:t>调查评估分析</w:t>
      </w:r>
      <w:r>
        <w:rPr>
          <w:rFonts w:hint="eastAsia"/>
          <w:lang w:eastAsia="zh-CN"/>
        </w:rPr>
        <w:t>结果报省生态环境厅</w:t>
      </w:r>
      <w:r>
        <w:rPr>
          <w:rFonts w:hint="eastAsia"/>
        </w:rPr>
        <w:t>。</w:t>
      </w:r>
      <w:r>
        <w:rPr>
          <w:rFonts w:hint="eastAsia"/>
          <w:lang w:eastAsia="zh-CN"/>
        </w:rPr>
        <w:t>鼓励</w:t>
      </w:r>
      <w:r>
        <w:rPr>
          <w:rFonts w:hint="eastAsia"/>
          <w:lang w:val="en-US" w:eastAsia="zh-CN"/>
        </w:rPr>
        <w:t>开展</w:t>
      </w:r>
      <w:r>
        <w:rPr>
          <w:rFonts w:hint="eastAsia"/>
        </w:rPr>
        <w:t>河湖生态缓冲带划定</w:t>
      </w:r>
      <w:r>
        <w:rPr>
          <w:rFonts w:hint="eastAsia"/>
          <w:lang w:eastAsia="zh-CN"/>
        </w:rPr>
        <w:t>工作</w:t>
      </w:r>
      <w:r>
        <w:rPr>
          <w:rFonts w:hint="eastAsia"/>
        </w:rPr>
        <w:t>。探索在</w:t>
      </w:r>
      <w:r>
        <w:rPr>
          <w:rFonts w:hint="eastAsia"/>
          <w:lang w:eastAsia="zh-CN"/>
        </w:rPr>
        <w:t>黄江河等流域</w:t>
      </w:r>
      <w:r>
        <w:rPr>
          <w:rFonts w:hint="eastAsia"/>
        </w:rPr>
        <w:t>实施一批水生态修复示范工程</w:t>
      </w:r>
      <w:r>
        <w:rPr>
          <w:rFonts w:hint="eastAsia"/>
          <w:lang w:eastAsia="zh-CN"/>
        </w:rPr>
        <w:t>。争取建设</w:t>
      </w:r>
      <w:r>
        <w:rPr>
          <w:rFonts w:hint="eastAsia"/>
        </w:rPr>
        <w:t>省级“美丽河湖”优秀案例</w:t>
      </w:r>
      <w:r>
        <w:rPr>
          <w:rFonts w:hint="eastAsia"/>
          <w:lang w:eastAsia="zh-CN"/>
        </w:rPr>
        <w:t>零突破</w:t>
      </w:r>
      <w:r>
        <w:rPr>
          <w:rFonts w:hint="eastAsia"/>
        </w:rPr>
        <w:t>。</w:t>
      </w:r>
      <w:r>
        <w:rPr>
          <w:rFonts w:hint="eastAsia" w:ascii="楷体_GB2312" w:hAnsi="楷体_GB2312" w:eastAsia="楷体_GB2312" w:cs="楷体_GB2312"/>
        </w:rPr>
        <w:t>（</w:t>
      </w:r>
      <w:r>
        <w:rPr>
          <w:rFonts w:hint="eastAsia" w:ascii="楷体_GB2312" w:hAnsi="楷体_GB2312" w:eastAsia="楷体_GB2312" w:cs="楷体_GB2312"/>
          <w:lang w:eastAsia="zh-CN"/>
        </w:rPr>
        <w:t>市</w:t>
      </w:r>
      <w:r>
        <w:rPr>
          <w:rFonts w:hint="eastAsia" w:ascii="楷体_GB2312" w:hAnsi="楷体_GB2312" w:eastAsia="楷体_GB2312" w:cs="楷体_GB2312"/>
        </w:rPr>
        <w:t>生态环境</w:t>
      </w:r>
      <w:r>
        <w:rPr>
          <w:rFonts w:hint="eastAsia" w:ascii="楷体_GB2312" w:hAnsi="楷体_GB2312" w:eastAsia="楷体_GB2312" w:cs="楷体_GB2312"/>
          <w:lang w:eastAsia="zh-CN"/>
        </w:rPr>
        <w:t>局</w:t>
      </w:r>
      <w:r>
        <w:rPr>
          <w:rFonts w:hint="eastAsia" w:ascii="楷体_GB2312" w:hAnsi="楷体_GB2312" w:eastAsia="楷体_GB2312" w:cs="楷体_GB2312"/>
        </w:rPr>
        <w:t>牵头，</w:t>
      </w:r>
      <w:r>
        <w:rPr>
          <w:rFonts w:hint="eastAsia" w:ascii="楷体_GB2312" w:hAnsi="楷体_GB2312" w:eastAsia="楷体_GB2312" w:cs="楷体_GB2312"/>
          <w:lang w:eastAsia="zh-CN"/>
        </w:rPr>
        <w:t>市</w:t>
      </w:r>
      <w:r>
        <w:rPr>
          <w:rFonts w:hint="eastAsia" w:ascii="楷体_GB2312" w:hAnsi="楷体_GB2312" w:eastAsia="楷体_GB2312" w:cs="楷体_GB2312"/>
        </w:rPr>
        <w:t>自然资源</w:t>
      </w:r>
      <w:r>
        <w:rPr>
          <w:rFonts w:hint="eastAsia" w:ascii="楷体_GB2312" w:hAnsi="楷体_GB2312" w:eastAsia="楷体_GB2312" w:cs="楷体_GB2312"/>
          <w:lang w:eastAsia="zh-CN"/>
        </w:rPr>
        <w:t>局</w:t>
      </w:r>
      <w:r>
        <w:rPr>
          <w:rFonts w:hint="eastAsia" w:ascii="楷体_GB2312" w:hAnsi="楷体_GB2312" w:eastAsia="楷体_GB2312" w:cs="楷体_GB2312"/>
        </w:rPr>
        <w:t>、住房城乡建设</w:t>
      </w:r>
      <w:r>
        <w:rPr>
          <w:rFonts w:hint="eastAsia" w:ascii="楷体_GB2312" w:hAnsi="楷体_GB2312" w:eastAsia="楷体_GB2312" w:cs="楷体_GB2312"/>
          <w:lang w:eastAsia="zh-CN"/>
        </w:rPr>
        <w:t>局</w:t>
      </w:r>
      <w:r>
        <w:rPr>
          <w:rFonts w:hint="eastAsia" w:ascii="楷体_GB2312" w:hAnsi="楷体_GB2312" w:eastAsia="楷体_GB2312" w:cs="楷体_GB2312"/>
        </w:rPr>
        <w:t>、水</w:t>
      </w:r>
      <w:r>
        <w:rPr>
          <w:rFonts w:hint="eastAsia" w:ascii="楷体_GB2312" w:hAnsi="楷体_GB2312" w:eastAsia="楷体_GB2312" w:cs="楷体_GB2312"/>
          <w:lang w:eastAsia="zh-CN"/>
        </w:rPr>
        <w:t>务局</w:t>
      </w:r>
      <w:r>
        <w:rPr>
          <w:rFonts w:hint="eastAsia" w:ascii="楷体_GB2312" w:hAnsi="楷体_GB2312" w:eastAsia="楷体_GB2312" w:cs="楷体_GB2312"/>
        </w:rPr>
        <w:t>、农业农村</w:t>
      </w:r>
      <w:r>
        <w:rPr>
          <w:rFonts w:hint="eastAsia" w:ascii="楷体_GB2312" w:hAnsi="楷体_GB2312" w:eastAsia="楷体_GB2312" w:cs="楷体_GB2312"/>
          <w:lang w:eastAsia="zh-CN"/>
        </w:rPr>
        <w:t>局</w:t>
      </w:r>
      <w:r>
        <w:rPr>
          <w:rFonts w:hint="eastAsia" w:ascii="楷体_GB2312" w:hAnsi="楷体_GB2312" w:eastAsia="楷体_GB2312" w:cs="楷体_GB2312"/>
        </w:rPr>
        <w:t>参与）</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（十三）健全科技支撑体系。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rPr>
      </w:pPr>
      <w:r>
        <w:rPr>
          <w:rFonts w:hint="eastAsia"/>
          <w:lang w:val="en-US" w:eastAsia="zh-CN"/>
        </w:rPr>
        <w:t>各县（市、区）要将流域</w:t>
      </w:r>
      <w:r>
        <w:rPr>
          <w:rFonts w:hint="eastAsia"/>
          <w:lang w:val="en-US" w:eastAsia="zh-Hans"/>
        </w:rPr>
        <w:t>综合治理的</w:t>
      </w:r>
      <w:r>
        <w:rPr>
          <w:rFonts w:hint="eastAsia"/>
          <w:lang w:val="en-US" w:eastAsia="zh-CN"/>
        </w:rPr>
        <w:t>重大科技需求纳入重点研发计划</w:t>
      </w:r>
      <w:r>
        <w:rPr>
          <w:rFonts w:hint="default"/>
          <w:lang w:eastAsia="zh-CN"/>
        </w:rPr>
        <w:t>，</w:t>
      </w:r>
      <w:r>
        <w:rPr>
          <w:rFonts w:hint="eastAsia"/>
          <w:lang w:eastAsia="zh-CN"/>
        </w:rPr>
        <w:t>鼓励开展</w:t>
      </w:r>
      <w:r>
        <w:rPr>
          <w:rFonts w:hint="eastAsia"/>
        </w:rPr>
        <w:t>典型流域及河口区氮磷及溶解氧</w:t>
      </w:r>
      <w:r>
        <w:rPr>
          <w:rFonts w:hint="eastAsia"/>
          <w:lang w:eastAsia="zh-CN"/>
        </w:rPr>
        <w:t>浓度控制</w:t>
      </w:r>
      <w:r>
        <w:rPr>
          <w:rFonts w:hint="eastAsia"/>
        </w:rPr>
        <w:t>研究</w:t>
      </w:r>
      <w:r>
        <w:rPr>
          <w:rFonts w:hint="eastAsia"/>
          <w:lang w:eastAsia="zh-CN"/>
        </w:rPr>
        <w:t>。海丰县和陆丰市要加强东溪等重点河流</w:t>
      </w:r>
      <w:r>
        <w:rPr>
          <w:rFonts w:hint="eastAsia"/>
        </w:rPr>
        <w:t>主要污染物通量监测及水质污染溯源监测，开展</w:t>
      </w:r>
      <w:r>
        <w:rPr>
          <w:rFonts w:hint="eastAsia"/>
          <w:lang w:eastAsia="zh-CN"/>
        </w:rPr>
        <w:t>东溪水闸</w:t>
      </w:r>
      <w:r>
        <w:rPr>
          <w:rFonts w:hint="eastAsia"/>
        </w:rPr>
        <w:t>重点攻坚断面干支流加密监测，并逐步延伸至二级支流。健全预警通报和信息公开等工作机制，加强国考断面水质分析研判，强化水质异常分析和应对能力。</w:t>
      </w:r>
      <w:r>
        <w:rPr>
          <w:rFonts w:hint="eastAsia" w:ascii="楷体_GB2312" w:hAnsi="楷体_GB2312" w:eastAsia="楷体_GB2312" w:cs="楷体_GB2312"/>
        </w:rPr>
        <w:t>（</w:t>
      </w:r>
      <w:r>
        <w:rPr>
          <w:rFonts w:hint="eastAsia" w:ascii="楷体_GB2312" w:hAnsi="楷体_GB2312" w:eastAsia="楷体_GB2312" w:cs="楷体_GB2312"/>
          <w:lang w:eastAsia="zh-CN"/>
        </w:rPr>
        <w:t>市</w:t>
      </w:r>
      <w:r>
        <w:rPr>
          <w:rFonts w:hint="eastAsia" w:ascii="楷体_GB2312" w:hAnsi="楷体_GB2312" w:eastAsia="楷体_GB2312" w:cs="楷体_GB2312"/>
        </w:rPr>
        <w:t>生态环境</w:t>
      </w:r>
      <w:r>
        <w:rPr>
          <w:rFonts w:hint="eastAsia" w:ascii="楷体_GB2312" w:hAnsi="楷体_GB2312" w:eastAsia="楷体_GB2312" w:cs="楷体_GB2312"/>
          <w:lang w:eastAsia="zh-CN"/>
        </w:rPr>
        <w:t>局</w:t>
      </w:r>
      <w:r>
        <w:rPr>
          <w:rFonts w:hint="eastAsia" w:ascii="楷体_GB2312" w:hAnsi="楷体_GB2312" w:eastAsia="楷体_GB2312" w:cs="楷体_GB2312"/>
        </w:rPr>
        <w:t>牵头，</w:t>
      </w:r>
      <w:r>
        <w:rPr>
          <w:rFonts w:hint="eastAsia" w:ascii="楷体_GB2312" w:hAnsi="楷体_GB2312" w:eastAsia="楷体_GB2312" w:cs="楷体_GB2312"/>
          <w:lang w:eastAsia="zh-CN"/>
        </w:rPr>
        <w:t>市</w:t>
      </w:r>
      <w:r>
        <w:rPr>
          <w:rFonts w:hint="eastAsia" w:ascii="楷体_GB2312" w:hAnsi="楷体_GB2312" w:eastAsia="楷体_GB2312" w:cs="楷体_GB2312"/>
        </w:rPr>
        <w:t>科技</w:t>
      </w:r>
      <w:r>
        <w:rPr>
          <w:rFonts w:hint="eastAsia" w:ascii="楷体_GB2312" w:hAnsi="楷体_GB2312" w:eastAsia="楷体_GB2312" w:cs="楷体_GB2312"/>
          <w:lang w:eastAsia="zh-CN"/>
        </w:rPr>
        <w:t>局</w:t>
      </w:r>
      <w:r>
        <w:rPr>
          <w:rFonts w:hint="eastAsia" w:ascii="楷体_GB2312" w:hAnsi="楷体_GB2312" w:eastAsia="楷体_GB2312" w:cs="楷体_GB2312"/>
        </w:rPr>
        <w:t>、住房城乡建设</w:t>
      </w:r>
      <w:r>
        <w:rPr>
          <w:rFonts w:hint="eastAsia" w:ascii="楷体_GB2312" w:hAnsi="楷体_GB2312" w:eastAsia="楷体_GB2312" w:cs="楷体_GB2312"/>
          <w:lang w:eastAsia="zh-CN"/>
        </w:rPr>
        <w:t>局</w:t>
      </w:r>
      <w:r>
        <w:rPr>
          <w:rFonts w:hint="eastAsia" w:ascii="楷体_GB2312" w:hAnsi="楷体_GB2312" w:eastAsia="楷体_GB2312" w:cs="楷体_GB2312"/>
        </w:rPr>
        <w:t>、水</w:t>
      </w:r>
      <w:r>
        <w:rPr>
          <w:rFonts w:hint="eastAsia" w:ascii="楷体_GB2312" w:hAnsi="楷体_GB2312" w:eastAsia="楷体_GB2312" w:cs="楷体_GB2312"/>
          <w:lang w:eastAsia="zh-CN"/>
        </w:rPr>
        <w:t>务局</w:t>
      </w:r>
      <w:r>
        <w:rPr>
          <w:rFonts w:hint="eastAsia" w:ascii="楷体_GB2312" w:hAnsi="楷体_GB2312" w:eastAsia="楷体_GB2312" w:cs="楷体_GB2312"/>
        </w:rPr>
        <w:t>、农业农村</w:t>
      </w:r>
      <w:r>
        <w:rPr>
          <w:rFonts w:hint="eastAsia" w:ascii="楷体_GB2312" w:hAnsi="楷体_GB2312" w:eastAsia="楷体_GB2312" w:cs="楷体_GB2312"/>
          <w:lang w:eastAsia="zh-CN"/>
        </w:rPr>
        <w:t>局</w:t>
      </w:r>
      <w:r>
        <w:rPr>
          <w:rFonts w:hint="eastAsia" w:ascii="楷体_GB2312" w:hAnsi="楷体_GB2312" w:eastAsia="楷体_GB2312" w:cs="楷体_GB2312"/>
        </w:rPr>
        <w:t>参与）</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（十</w:t>
      </w:r>
      <w:r>
        <w:rPr>
          <w:rFonts w:hint="eastAsia" w:ascii="楷体_GB2312" w:hAnsi="楷体_GB2312" w:eastAsia="楷体_GB2312" w:cs="楷体_GB2312"/>
          <w:lang w:eastAsia="zh-CN"/>
        </w:rPr>
        <w:t>四</w:t>
      </w:r>
      <w:r>
        <w:rPr>
          <w:rFonts w:hint="eastAsia" w:ascii="楷体_GB2312" w:hAnsi="楷体_GB2312" w:eastAsia="楷体_GB2312" w:cs="楷体_GB2312"/>
        </w:rPr>
        <w:t>）健全预警督办机制。</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lang w:eastAsia="zh-CN"/>
        </w:rPr>
        <w:t>各县（市、区）建立</w:t>
      </w:r>
      <w:r>
        <w:rPr>
          <w:rFonts w:hint="eastAsia"/>
        </w:rPr>
        <w:t>完善水生态环境问题发现和推动解决工作机制，实施水生态环境问题闭环管理。坚决抓好第二轮第四批中央生态环境保护督察反馈问题整改，加强涉水问题整改工作的统筹调度。对水质严重恶化或水污染防治工作进展严重滞后的</w:t>
      </w:r>
      <w:r>
        <w:rPr>
          <w:rFonts w:hint="eastAsia"/>
          <w:lang w:eastAsia="zh-CN"/>
        </w:rPr>
        <w:t>区域</w:t>
      </w:r>
      <w:r>
        <w:rPr>
          <w:rFonts w:hint="eastAsia"/>
        </w:rPr>
        <w:t>，</w:t>
      </w:r>
      <w:r>
        <w:rPr>
          <w:rFonts w:hint="eastAsia"/>
          <w:lang w:eastAsia="zh-CN"/>
        </w:rPr>
        <w:t>要</w:t>
      </w:r>
      <w:r>
        <w:rPr>
          <w:rFonts w:hint="eastAsia"/>
        </w:rPr>
        <w:t>通过</w:t>
      </w:r>
      <w:r>
        <w:rPr>
          <w:rFonts w:hint="eastAsia"/>
          <w:lang w:eastAsia="zh-CN"/>
        </w:rPr>
        <w:t>提醒</w:t>
      </w:r>
      <w:r>
        <w:rPr>
          <w:rFonts w:hint="eastAsia"/>
        </w:rPr>
        <w:t>约谈等方式，督促问题整改和措施落实，确保顺利完成各项目标任务。</w:t>
      </w:r>
      <w:r>
        <w:rPr>
          <w:rFonts w:hint="eastAsia" w:ascii="楷体_GB2312" w:hAnsi="楷体_GB2312" w:eastAsia="楷体_GB2312" w:cs="楷体_GB2312"/>
        </w:rPr>
        <w:t>（</w:t>
      </w:r>
      <w:r>
        <w:rPr>
          <w:rFonts w:hint="eastAsia" w:ascii="楷体_GB2312" w:hAnsi="楷体_GB2312" w:eastAsia="楷体_GB2312" w:cs="楷体_GB2312"/>
          <w:lang w:eastAsia="zh-CN"/>
        </w:rPr>
        <w:t>市</w:t>
      </w:r>
      <w:r>
        <w:rPr>
          <w:rFonts w:hint="eastAsia" w:ascii="楷体_GB2312" w:hAnsi="楷体_GB2312" w:eastAsia="楷体_GB2312" w:cs="楷体_GB2312"/>
        </w:rPr>
        <w:t>生态环境</w:t>
      </w:r>
      <w:r>
        <w:rPr>
          <w:rFonts w:hint="eastAsia" w:ascii="楷体_GB2312" w:hAnsi="楷体_GB2312" w:eastAsia="楷体_GB2312" w:cs="楷体_GB2312"/>
          <w:lang w:eastAsia="zh-CN"/>
        </w:rPr>
        <w:t>局</w:t>
      </w:r>
      <w:r>
        <w:rPr>
          <w:rFonts w:hint="eastAsia" w:ascii="楷体_GB2312" w:hAnsi="楷体_GB2312" w:eastAsia="楷体_GB2312" w:cs="楷体_GB2312"/>
        </w:rPr>
        <w:t>牵头，</w:t>
      </w:r>
      <w:r>
        <w:rPr>
          <w:rFonts w:hint="eastAsia" w:ascii="楷体_GB2312" w:hAnsi="楷体_GB2312" w:eastAsia="楷体_GB2312" w:cs="楷体_GB2312"/>
          <w:lang w:eastAsia="zh-CN"/>
        </w:rPr>
        <w:t>市</w:t>
      </w:r>
      <w:r>
        <w:rPr>
          <w:rFonts w:hint="eastAsia" w:ascii="楷体_GB2312" w:hAnsi="楷体_GB2312" w:eastAsia="楷体_GB2312" w:cs="楷体_GB2312"/>
        </w:rPr>
        <w:t>工业和信息化</w:t>
      </w:r>
      <w:r>
        <w:rPr>
          <w:rFonts w:hint="eastAsia" w:ascii="楷体_GB2312" w:hAnsi="楷体_GB2312" w:eastAsia="楷体_GB2312" w:cs="楷体_GB2312"/>
          <w:lang w:eastAsia="zh-CN"/>
        </w:rPr>
        <w:t>局</w:t>
      </w:r>
      <w:r>
        <w:rPr>
          <w:rFonts w:hint="eastAsia" w:ascii="楷体_GB2312" w:hAnsi="楷体_GB2312" w:eastAsia="楷体_GB2312" w:cs="楷体_GB2312"/>
        </w:rPr>
        <w:t>、财政</w:t>
      </w:r>
      <w:r>
        <w:rPr>
          <w:rFonts w:hint="eastAsia" w:ascii="楷体_GB2312" w:hAnsi="楷体_GB2312" w:eastAsia="楷体_GB2312" w:cs="楷体_GB2312"/>
          <w:lang w:eastAsia="zh-CN"/>
        </w:rPr>
        <w:t>局</w:t>
      </w:r>
      <w:r>
        <w:rPr>
          <w:rFonts w:hint="eastAsia" w:ascii="楷体_GB2312" w:hAnsi="楷体_GB2312" w:eastAsia="楷体_GB2312" w:cs="楷体_GB2312"/>
        </w:rPr>
        <w:t>、自然资源</w:t>
      </w:r>
      <w:r>
        <w:rPr>
          <w:rFonts w:hint="eastAsia" w:ascii="楷体_GB2312" w:hAnsi="楷体_GB2312" w:eastAsia="楷体_GB2312" w:cs="楷体_GB2312"/>
          <w:lang w:eastAsia="zh-CN"/>
        </w:rPr>
        <w:t>局</w:t>
      </w:r>
      <w:r>
        <w:rPr>
          <w:rFonts w:hint="eastAsia" w:ascii="楷体_GB2312" w:hAnsi="楷体_GB2312" w:eastAsia="楷体_GB2312" w:cs="楷体_GB2312"/>
        </w:rPr>
        <w:t>、住房城乡建设</w:t>
      </w:r>
      <w:r>
        <w:rPr>
          <w:rFonts w:hint="eastAsia" w:ascii="楷体_GB2312" w:hAnsi="楷体_GB2312" w:eastAsia="楷体_GB2312" w:cs="楷体_GB2312"/>
          <w:lang w:eastAsia="zh-CN"/>
        </w:rPr>
        <w:t>局</w:t>
      </w:r>
      <w:r>
        <w:rPr>
          <w:rFonts w:hint="eastAsia" w:ascii="楷体_GB2312" w:hAnsi="楷体_GB2312" w:eastAsia="楷体_GB2312" w:cs="楷体_GB2312"/>
        </w:rPr>
        <w:t>、交通运输</w:t>
      </w:r>
      <w:r>
        <w:rPr>
          <w:rFonts w:hint="eastAsia" w:ascii="楷体_GB2312" w:hAnsi="楷体_GB2312" w:eastAsia="楷体_GB2312" w:cs="楷体_GB2312"/>
          <w:lang w:eastAsia="zh-CN"/>
        </w:rPr>
        <w:t>局</w:t>
      </w:r>
      <w:r>
        <w:rPr>
          <w:rFonts w:hint="eastAsia" w:ascii="楷体_GB2312" w:hAnsi="楷体_GB2312" w:eastAsia="楷体_GB2312" w:cs="楷体_GB2312"/>
        </w:rPr>
        <w:t>、水</w:t>
      </w:r>
      <w:r>
        <w:rPr>
          <w:rFonts w:hint="eastAsia" w:ascii="楷体_GB2312" w:hAnsi="楷体_GB2312" w:eastAsia="楷体_GB2312" w:cs="楷体_GB2312"/>
          <w:lang w:eastAsia="zh-CN"/>
        </w:rPr>
        <w:t>务局</w:t>
      </w:r>
      <w:r>
        <w:rPr>
          <w:rFonts w:hint="eastAsia" w:ascii="楷体_GB2312" w:hAnsi="楷体_GB2312" w:eastAsia="楷体_GB2312" w:cs="楷体_GB2312"/>
        </w:rPr>
        <w:t>、农业农村</w:t>
      </w:r>
      <w:r>
        <w:rPr>
          <w:rFonts w:hint="eastAsia" w:ascii="楷体_GB2312" w:hAnsi="楷体_GB2312" w:eastAsia="楷体_GB2312" w:cs="楷体_GB2312"/>
          <w:lang w:eastAsia="zh-CN"/>
        </w:rPr>
        <w:t>局</w:t>
      </w:r>
      <w:r>
        <w:rPr>
          <w:rFonts w:hint="eastAsia" w:ascii="楷体_GB2312" w:hAnsi="楷体_GB2312" w:eastAsia="楷体_GB2312" w:cs="楷体_GB2312"/>
        </w:rPr>
        <w:t>，</w:t>
      </w:r>
      <w:r>
        <w:rPr>
          <w:rFonts w:hint="eastAsia" w:ascii="楷体_GB2312" w:hAnsi="楷体_GB2312" w:eastAsia="楷体_GB2312" w:cs="楷体_GB2312"/>
          <w:lang w:eastAsia="zh-CN"/>
        </w:rPr>
        <w:t>汕尾</w:t>
      </w:r>
      <w:r>
        <w:rPr>
          <w:rFonts w:hint="eastAsia" w:ascii="楷体_GB2312" w:hAnsi="楷体_GB2312" w:eastAsia="楷体_GB2312" w:cs="楷体_GB2312"/>
        </w:rPr>
        <w:t>海事局参与）</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黑体" w:hAnsi="黑体" w:eastAsia="黑体" w:cs="黑体"/>
        </w:rPr>
      </w:pPr>
      <w:r>
        <w:rPr>
          <w:rFonts w:hint="eastAsia" w:ascii="黑体" w:hAnsi="黑体" w:eastAsia="黑体" w:cs="黑体"/>
          <w:lang w:eastAsia="zh-CN"/>
        </w:rPr>
        <w:t>三</w:t>
      </w:r>
      <w:r>
        <w:rPr>
          <w:rFonts w:hint="eastAsia" w:ascii="黑体" w:hAnsi="黑体" w:eastAsia="黑体" w:cs="黑体"/>
        </w:rPr>
        <w:t>、保障措施</w:t>
      </w:r>
    </w:p>
    <w:p>
      <w:pPr>
        <w:keepNext w:val="0"/>
        <w:keepLines w:val="0"/>
        <w:pageBreakBefore w:val="0"/>
        <w:widowControl w:val="0"/>
        <w:shd w:val="clear"/>
        <w:kinsoku/>
        <w:wordWrap/>
        <w:overflowPunct/>
        <w:topLinePunct w:val="0"/>
        <w:autoSpaceDE/>
        <w:autoSpaceDN/>
        <w:bidi w:val="0"/>
        <w:adjustRightInd/>
        <w:snapToGrid/>
        <w:ind w:firstLine="632" w:firstLineChars="200"/>
        <w:textAlignment w:val="auto"/>
        <w:rPr>
          <w:rFonts w:hint="eastAsia" w:eastAsia="仿宋_GB2312"/>
          <w:highlight w:val="none"/>
          <w:lang w:eastAsia="zh-CN"/>
        </w:rPr>
      </w:pPr>
      <w:r>
        <w:rPr>
          <w:rFonts w:hint="eastAsia" w:ascii="楷体_GB2312" w:hAnsi="楷体_GB2312" w:eastAsia="楷体_GB2312" w:cs="楷体_GB2312"/>
          <w:highlight w:val="none"/>
        </w:rPr>
        <w:t>（一）强化组织领导。</w:t>
      </w:r>
      <w:r>
        <w:rPr>
          <w:rFonts w:hint="eastAsia"/>
          <w:highlight w:val="none"/>
          <w:lang w:eastAsia="zh-CN"/>
        </w:rPr>
        <w:t>各级党委和政府要坚决扛起生态文明建设政治责任，强化市县两级生态环境保护委员会统筹协调作用，</w:t>
      </w:r>
      <w:r>
        <w:rPr>
          <w:rFonts w:hint="eastAsia"/>
          <w:highlight w:val="none"/>
          <w:lang w:val="en-US" w:eastAsia="zh-CN"/>
        </w:rPr>
        <w:t>将本工作方案的各项目标和任务逐</w:t>
      </w:r>
      <w:r>
        <w:rPr>
          <w:rFonts w:hint="eastAsia"/>
          <w:highlight w:val="none"/>
          <w:lang w:val="en-US" w:eastAsia="zh-Hans"/>
        </w:rPr>
        <w:t>一</w:t>
      </w:r>
      <w:r>
        <w:rPr>
          <w:rFonts w:hint="eastAsia"/>
          <w:highlight w:val="none"/>
          <w:lang w:val="en-US" w:eastAsia="zh-CN"/>
        </w:rPr>
        <w:t>分解，层层压实责任</w:t>
      </w:r>
      <w:r>
        <w:rPr>
          <w:rFonts w:hint="eastAsia"/>
          <w:highlight w:val="none"/>
        </w:rPr>
        <w:t>。</w:t>
      </w:r>
      <w:r>
        <w:rPr>
          <w:rFonts w:hint="eastAsia"/>
          <w:highlight w:val="none"/>
          <w:lang w:eastAsia="zh-CN"/>
        </w:rPr>
        <w:t>市有关部门要结合职责分工，加强对各县（市、区）工作的业务指导，协调推动解决问题。市生态环境局要发挥牵头作用，优化督导服务机制，强化技术帮扶。各县（市、区）要运用先进科技手段，加强水质分析研判，实施科学精准治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eastAsia="仿宋_GB2312"/>
          <w:lang w:eastAsia="zh-CN"/>
        </w:rPr>
      </w:pPr>
      <w:r>
        <w:rPr>
          <w:rFonts w:hint="eastAsia" w:ascii="楷体_GB2312" w:hAnsi="楷体_GB2312" w:eastAsia="楷体_GB2312" w:cs="楷体_GB2312"/>
        </w:rPr>
        <w:t>（二）</w:t>
      </w:r>
      <w:r>
        <w:rPr>
          <w:rFonts w:hint="eastAsia" w:ascii="楷体_GB2312" w:hAnsi="楷体_GB2312" w:eastAsia="楷体_GB2312" w:cs="楷体_GB2312"/>
          <w:lang w:eastAsia="zh-CN"/>
        </w:rPr>
        <w:t>强化</w:t>
      </w:r>
      <w:r>
        <w:rPr>
          <w:rFonts w:hint="eastAsia" w:ascii="楷体_GB2312" w:hAnsi="楷体_GB2312" w:eastAsia="楷体_GB2312" w:cs="楷体_GB2312"/>
        </w:rPr>
        <w:t>信息调度。</w:t>
      </w:r>
      <w:r>
        <w:rPr>
          <w:rFonts w:hint="eastAsia"/>
          <w:lang w:eastAsia="zh-CN"/>
        </w:rPr>
        <w:t>各县（市、区）</w:t>
      </w:r>
      <w:r>
        <w:rPr>
          <w:rFonts w:hint="eastAsia"/>
          <w:lang w:val="en-US" w:eastAsia="zh-CN"/>
        </w:rPr>
        <w:t>要</w:t>
      </w:r>
      <w:r>
        <w:rPr>
          <w:rFonts w:hint="eastAsia"/>
        </w:rPr>
        <w:t>围绕水质达标和水污染防治重点任务制定年度工作方案，</w:t>
      </w:r>
      <w:r>
        <w:rPr>
          <w:rFonts w:hint="eastAsia"/>
          <w:lang w:val="en-US" w:eastAsia="zh-CN"/>
        </w:rPr>
        <w:t>海丰县和陆丰市要围绕东溪水闸</w:t>
      </w:r>
      <w:r>
        <w:rPr>
          <w:rFonts w:hint="eastAsia"/>
        </w:rPr>
        <w:t>重点攻坚</w:t>
      </w:r>
      <w:r>
        <w:rPr>
          <w:rFonts w:hint="eastAsia"/>
          <w:lang w:eastAsia="zh-CN"/>
        </w:rPr>
        <w:t>国考</w:t>
      </w:r>
      <w:r>
        <w:rPr>
          <w:rFonts w:hint="eastAsia"/>
        </w:rPr>
        <w:t>断面细化主要任务和工程清单，明确完成时限和责任单位，</w:t>
      </w:r>
      <w:r>
        <w:rPr>
          <w:rFonts w:hint="eastAsia"/>
          <w:lang w:val="en-US" w:eastAsia="zh-CN"/>
        </w:rPr>
        <w:t>5</w:t>
      </w:r>
      <w:r>
        <w:rPr>
          <w:rFonts w:hint="eastAsia"/>
        </w:rPr>
        <w:t>月底前报</w:t>
      </w:r>
      <w:r>
        <w:rPr>
          <w:rFonts w:hint="eastAsia"/>
          <w:lang w:eastAsia="zh-CN"/>
        </w:rPr>
        <w:t>市</w:t>
      </w:r>
      <w:r>
        <w:rPr>
          <w:rFonts w:hint="eastAsia"/>
        </w:rPr>
        <w:t>生态环境</w:t>
      </w:r>
      <w:r>
        <w:rPr>
          <w:rFonts w:hint="eastAsia"/>
          <w:lang w:eastAsia="zh-CN"/>
        </w:rPr>
        <w:t>局</w:t>
      </w:r>
      <w:r>
        <w:rPr>
          <w:rFonts w:hint="eastAsia"/>
        </w:rPr>
        <w:t>备案</w:t>
      </w:r>
      <w:r>
        <w:rPr>
          <w:rFonts w:hint="eastAsia"/>
          <w:lang w:eastAsia="zh-CN"/>
        </w:rPr>
        <w:t>，并按照省、市的调度要求在</w:t>
      </w:r>
      <w:r>
        <w:rPr>
          <w:rFonts w:hint="eastAsia"/>
        </w:rPr>
        <w:t>“一网统管”水污染防治子专题</w:t>
      </w:r>
      <w:r>
        <w:rPr>
          <w:rFonts w:hint="eastAsia"/>
          <w:lang w:eastAsia="zh-CN"/>
        </w:rPr>
        <w:t>及时填报重点工程进展。</w:t>
      </w:r>
      <w:r>
        <w:rPr>
          <w:rFonts w:hint="eastAsia"/>
        </w:rPr>
        <w:t>各</w:t>
      </w:r>
      <w:r>
        <w:rPr>
          <w:rFonts w:hint="eastAsia"/>
          <w:lang w:eastAsia="zh-CN"/>
        </w:rPr>
        <w:t>县（</w:t>
      </w:r>
      <w:r>
        <w:rPr>
          <w:rFonts w:hint="eastAsia"/>
        </w:rPr>
        <w:t>市</w:t>
      </w:r>
      <w:r>
        <w:rPr>
          <w:rFonts w:hint="eastAsia"/>
          <w:lang w:eastAsia="zh-CN"/>
        </w:rPr>
        <w:t>、区）</w:t>
      </w:r>
      <w:r>
        <w:rPr>
          <w:rFonts w:hint="eastAsia"/>
        </w:rPr>
        <w:t>半年工作总结、全年工作总结及下年度工作计划</w:t>
      </w:r>
      <w:r>
        <w:rPr>
          <w:rFonts w:hint="eastAsia"/>
          <w:lang w:eastAsia="zh-CN"/>
        </w:rPr>
        <w:t>分别</w:t>
      </w:r>
      <w:r>
        <w:rPr>
          <w:rFonts w:hint="eastAsia"/>
        </w:rPr>
        <w:t>于7月1</w:t>
      </w:r>
      <w:r>
        <w:rPr>
          <w:rFonts w:hint="eastAsia"/>
          <w:lang w:val="en-US" w:eastAsia="zh-CN"/>
        </w:rPr>
        <w:t>0</w:t>
      </w:r>
      <w:r>
        <w:rPr>
          <w:rFonts w:hint="eastAsia"/>
        </w:rPr>
        <w:t>日前及次年1月</w:t>
      </w:r>
      <w:r>
        <w:rPr>
          <w:rFonts w:hint="eastAsia"/>
          <w:lang w:val="en-US" w:eastAsia="zh-CN"/>
        </w:rPr>
        <w:t>10</w:t>
      </w:r>
      <w:r>
        <w:rPr>
          <w:rFonts w:hint="eastAsia"/>
        </w:rPr>
        <w:t>日前函送</w:t>
      </w:r>
      <w:r>
        <w:rPr>
          <w:rFonts w:hint="eastAsia"/>
          <w:lang w:eastAsia="zh-CN"/>
        </w:rPr>
        <w:t>市</w:t>
      </w:r>
      <w:r>
        <w:rPr>
          <w:rFonts w:hint="eastAsia"/>
        </w:rPr>
        <w:t>生态环境</w:t>
      </w:r>
      <w:r>
        <w:rPr>
          <w:rFonts w:hint="eastAsia"/>
          <w:lang w:eastAsia="zh-CN"/>
        </w:rPr>
        <w:t>局</w:t>
      </w:r>
      <w:r>
        <w:rPr>
          <w:rFonts w:hint="eastAsia"/>
        </w:rPr>
        <w:t>。</w:t>
      </w:r>
    </w:p>
    <w:p>
      <w:pPr>
        <w:keepNext w:val="0"/>
        <w:keepLines w:val="0"/>
        <w:pageBreakBefore w:val="0"/>
        <w:widowControl w:val="0"/>
        <w:numPr>
          <w:ilvl w:val="-1"/>
          <w:numId w:val="0"/>
        </w:numPr>
        <w:kinsoku/>
        <w:wordWrap/>
        <w:overflowPunct/>
        <w:topLinePunct w:val="0"/>
        <w:autoSpaceDE/>
        <w:autoSpaceDN/>
        <w:bidi w:val="0"/>
        <w:adjustRightInd/>
        <w:snapToGrid/>
        <w:ind w:firstLine="632" w:firstLineChars="200"/>
        <w:textAlignment w:val="auto"/>
        <w:rPr>
          <w:rFonts w:hint="eastAsia"/>
        </w:rPr>
      </w:pPr>
      <w:r>
        <w:rPr>
          <w:rFonts w:hint="eastAsia" w:ascii="楷体_GB2312" w:hAnsi="楷体_GB2312" w:eastAsia="楷体_GB2312" w:cs="楷体_GB2312"/>
        </w:rPr>
        <w:t>（三）强化资金保障。</w:t>
      </w:r>
      <w:r>
        <w:rPr>
          <w:rFonts w:hint="eastAsia"/>
        </w:rPr>
        <w:t>各级政府要</w:t>
      </w:r>
      <w:r>
        <w:rPr>
          <w:rFonts w:hint="eastAsia"/>
          <w:lang w:val="en-US" w:eastAsia="zh-CN"/>
        </w:rPr>
        <w:t>做好水污染防治资金保障工作，</w:t>
      </w:r>
      <w:r>
        <w:rPr>
          <w:rFonts w:hint="eastAsia"/>
        </w:rPr>
        <w:t>积极</w:t>
      </w:r>
      <w:r>
        <w:rPr>
          <w:rFonts w:hint="eastAsia"/>
          <w:lang w:eastAsia="zh-CN"/>
        </w:rPr>
        <w:t>组织</w:t>
      </w:r>
      <w:r>
        <w:rPr>
          <w:rFonts w:hint="eastAsia"/>
        </w:rPr>
        <w:t>谋划项目申请入库，争取中央和省级专项资金以及专项债项目资金支持。建立多元化投入模式，</w:t>
      </w:r>
      <w:r>
        <w:rPr>
          <w:rFonts w:hint="eastAsia"/>
          <w:lang w:val="en-US" w:eastAsia="zh-CN"/>
        </w:rPr>
        <w:t>鼓励并规范通过政府和社会资本合作、政府购买服务、环境污染第三方治理、生态环境导向的开发（EOD）模式等方式，吸引社会资本参与攻坚</w:t>
      </w:r>
      <w:r>
        <w:rPr>
          <w:rFonts w:hint="eastAsia"/>
          <w:lang w:eastAsia="zh-CN"/>
        </w:rPr>
        <w:t>。</w:t>
      </w:r>
      <w:r>
        <w:rPr>
          <w:rFonts w:hint="eastAsia"/>
        </w:rPr>
        <w:t>鼓励国有企业发挥技术、资金、管理等优势参与建设运营，履行社会责任。</w:t>
      </w:r>
      <w:bookmarkStart w:id="0" w:name="_GoBack"/>
      <w:bookmarkEnd w:id="0"/>
    </w:p>
    <w:p>
      <w:pPr>
        <w:keepNext w:val="0"/>
        <w:keepLines w:val="0"/>
        <w:pageBreakBefore w:val="0"/>
        <w:widowControl w:val="0"/>
        <w:numPr>
          <w:ilvl w:val="-1"/>
          <w:numId w:val="0"/>
        </w:numPr>
        <w:kinsoku/>
        <w:wordWrap/>
        <w:overflowPunct/>
        <w:topLinePunct w:val="0"/>
        <w:autoSpaceDE/>
        <w:autoSpaceDN/>
        <w:bidi w:val="0"/>
        <w:adjustRightInd/>
        <w:snapToGrid/>
        <w:ind w:firstLine="632" w:firstLineChars="200"/>
        <w:textAlignment w:val="auto"/>
        <w:rPr>
          <w:rFonts w:hint="eastAsia"/>
        </w:rPr>
      </w:pPr>
      <w:r>
        <w:rPr>
          <w:rFonts w:hint="eastAsia" w:ascii="楷体_GB2312" w:hAnsi="楷体_GB2312" w:eastAsia="楷体_GB2312" w:cs="楷体_GB2312"/>
          <w:lang w:eastAsia="zh-CN"/>
        </w:rPr>
        <w:t>（四）加强公众参与。</w:t>
      </w:r>
      <w:r>
        <w:rPr>
          <w:rFonts w:hint="eastAsia"/>
          <w:lang w:eastAsia="zh-CN"/>
        </w:rPr>
        <w:t>加强生态文明宣传教育，提高全社会生态文明意识，定期向社会公布水生态环境质量状况，接受社会监督。</w:t>
      </w:r>
      <w:r>
        <w:rPr>
          <w:rFonts w:hint="eastAsia"/>
        </w:rPr>
        <w:t>结合</w:t>
      </w:r>
      <w:r>
        <w:rPr>
          <w:rFonts w:hint="eastAsia"/>
          <w:color w:val="FF0000"/>
          <w:lang w:eastAsia="zh-CN"/>
        </w:rPr>
        <w:t>“</w:t>
      </w:r>
      <w:r>
        <w:rPr>
          <w:rFonts w:hint="eastAsia"/>
          <w:color w:val="FF0000"/>
        </w:rPr>
        <w:t>六五环境日</w:t>
      </w:r>
      <w:r>
        <w:rPr>
          <w:rFonts w:hint="eastAsia"/>
          <w:color w:val="FF0000"/>
          <w:lang w:eastAsia="zh-CN"/>
        </w:rPr>
        <w:t>”</w:t>
      </w:r>
      <w:r>
        <w:rPr>
          <w:rFonts w:hint="eastAsia"/>
          <w:color w:val="FF0000"/>
        </w:rPr>
        <w:t>宣传活动</w:t>
      </w:r>
      <w:r>
        <w:rPr>
          <w:rFonts w:hint="eastAsia"/>
        </w:rPr>
        <w:t>、环境教育基地创建等，加大</w:t>
      </w:r>
      <w:r>
        <w:rPr>
          <w:rFonts w:hint="eastAsia"/>
          <w:lang w:eastAsia="zh-CN"/>
        </w:rPr>
        <w:t>水污染防治工作</w:t>
      </w:r>
      <w:r>
        <w:rPr>
          <w:rFonts w:hint="eastAsia"/>
        </w:rPr>
        <w:t>宣</w:t>
      </w:r>
      <w:r>
        <w:rPr>
          <w:rFonts w:hint="eastAsia"/>
          <w:lang w:eastAsia="zh-CN"/>
        </w:rPr>
        <w:t>传</w:t>
      </w:r>
      <w:r>
        <w:rPr>
          <w:rFonts w:hint="eastAsia"/>
        </w:rPr>
        <w:t>力度。</w:t>
      </w:r>
    </w:p>
    <w:p>
      <w:pPr>
        <w:pStyle w:val="11"/>
        <w:numPr>
          <w:ilvl w:val="0"/>
          <w:numId w:val="1"/>
        </w:numPr>
        <w:ind w:left="0" w:leftChars="0" w:firstLine="592" w:firstLineChars="200"/>
        <w:sectPr>
          <w:footerReference r:id="rId3" w:type="default"/>
          <w:pgSz w:w="11906" w:h="16838"/>
          <w:pgMar w:top="2098" w:right="1474" w:bottom="1984" w:left="1587" w:header="851" w:footer="1417" w:gutter="0"/>
          <w:pgBorders>
            <w:top w:val="none" w:sz="0" w:space="0"/>
            <w:left w:val="none" w:sz="0" w:space="0"/>
            <w:bottom w:val="none" w:sz="0" w:space="0"/>
            <w:right w:val="none" w:sz="0" w:space="0"/>
          </w:pgBorders>
          <w:pgNumType w:fmt="decimal"/>
          <w:cols w:space="0" w:num="1"/>
          <w:rtlGutter w:val="0"/>
          <w:docGrid w:type="linesAndChars" w:linePitch="580" w:charSpace="-1024"/>
        </w:sectPr>
      </w:pPr>
    </w:p>
    <w:p>
      <w:pPr>
        <w:pStyle w:val="3"/>
        <w:ind w:firstLine="0" w:firstLineChars="0"/>
        <w:rPr>
          <w:rFonts w:ascii="Times New Roman" w:hAnsi="Times New Roman" w:cs="Times New Roman"/>
        </w:rPr>
      </w:pPr>
      <w:r>
        <w:rPr>
          <w:rFonts w:ascii="Times New Roman" w:hAnsi="Times New Roman" w:cs="Times New Roman"/>
        </w:rPr>
        <w:t>附件1</w:t>
      </w:r>
    </w:p>
    <w:p>
      <w:pPr>
        <w:pStyle w:val="3"/>
        <w:ind w:firstLine="0" w:firstLineChars="0"/>
        <w:jc w:val="center"/>
        <w:rPr>
          <w:rFonts w:ascii="Times New Roman" w:hAnsi="Times New Roman" w:cs="Times New Roman"/>
        </w:rPr>
      </w:pPr>
      <w:r>
        <w:rPr>
          <w:rFonts w:hint="eastAsia" w:ascii="Times New Roman" w:hAnsi="Times New Roman" w:cs="Times New Roman"/>
        </w:rPr>
        <w:t>各</w:t>
      </w:r>
      <w:r>
        <w:rPr>
          <w:rFonts w:hint="eastAsia" w:cs="Times New Roman"/>
          <w:lang w:eastAsia="zh-CN"/>
        </w:rPr>
        <w:t>县（</w:t>
      </w:r>
      <w:r>
        <w:rPr>
          <w:rFonts w:hint="eastAsia" w:ascii="Times New Roman" w:hAnsi="Times New Roman" w:cs="Times New Roman"/>
        </w:rPr>
        <w:t>市</w:t>
      </w:r>
      <w:r>
        <w:rPr>
          <w:rFonts w:hint="eastAsia" w:cs="Times New Roman"/>
          <w:lang w:eastAsia="zh-CN"/>
        </w:rPr>
        <w:t>、区）</w:t>
      </w:r>
      <w:r>
        <w:rPr>
          <w:rFonts w:hint="eastAsia" w:ascii="Times New Roman" w:hAnsi="Times New Roman" w:cs="Times New Roman"/>
        </w:rPr>
        <w:t>2022年水污染防治工作</w:t>
      </w:r>
      <w:r>
        <w:rPr>
          <w:rFonts w:ascii="Times New Roman" w:hAnsi="Times New Roman" w:cs="Times New Roman"/>
        </w:rPr>
        <w:t>目标表</w:t>
      </w:r>
    </w:p>
    <w:p>
      <w:pPr>
        <w:pStyle w:val="15"/>
        <w:adjustRightInd w:val="0"/>
        <w:snapToGrid w:val="0"/>
        <w:ind w:left="0" w:leftChars="0" w:firstLine="0" w:firstLineChars="0"/>
        <w:rPr>
          <w:rFonts w:hint="default" w:ascii="Times New Roman" w:hAnsi="Times New Roman" w:eastAsia="楷体_GB2312" w:cs="Times New Roman"/>
          <w:sz w:val="24"/>
          <w:szCs w:val="24"/>
        </w:rPr>
      </w:pPr>
    </w:p>
    <w:tbl>
      <w:tblPr>
        <w:tblStyle w:val="13"/>
        <w:tblW w:w="9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033"/>
        <w:gridCol w:w="1892"/>
        <w:gridCol w:w="1162"/>
        <w:gridCol w:w="1463"/>
        <w:gridCol w:w="1819"/>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05" w:type="dxa"/>
            <w:vMerge w:val="restart"/>
            <w:vAlign w:val="center"/>
          </w:tcPr>
          <w:p>
            <w:pPr>
              <w:widowControl/>
              <w:adjustRightInd w:val="0"/>
              <w:snapToGrid w:val="0"/>
              <w:jc w:val="center"/>
              <w:rPr>
                <w:rFonts w:ascii="Times New Roman" w:hAnsi="Times New Roman" w:eastAsia="楷体_GB2312" w:cs="Times New Roman"/>
                <w:b/>
                <w:bCs/>
                <w:color w:val="000000"/>
                <w:kern w:val="0"/>
                <w:sz w:val="24"/>
              </w:rPr>
            </w:pPr>
            <w:r>
              <w:rPr>
                <w:rFonts w:ascii="Times New Roman" w:hAnsi="Times New Roman" w:eastAsia="楷体_GB2312" w:cs="Times New Roman"/>
                <w:b/>
                <w:bCs/>
                <w:color w:val="000000"/>
                <w:kern w:val="0"/>
                <w:sz w:val="24"/>
              </w:rPr>
              <w:t>序号</w:t>
            </w:r>
          </w:p>
        </w:tc>
        <w:tc>
          <w:tcPr>
            <w:tcW w:w="1033" w:type="dxa"/>
            <w:vMerge w:val="restart"/>
            <w:vAlign w:val="center"/>
          </w:tcPr>
          <w:p>
            <w:pPr>
              <w:widowControl/>
              <w:adjustRightInd w:val="0"/>
              <w:snapToGrid w:val="0"/>
              <w:jc w:val="center"/>
              <w:rPr>
                <w:rFonts w:hint="eastAsia" w:ascii="Times New Roman" w:hAnsi="Times New Roman" w:eastAsia="楷体_GB2312" w:cs="Times New Roman"/>
                <w:b/>
                <w:bCs/>
                <w:color w:val="000000"/>
                <w:kern w:val="0"/>
                <w:sz w:val="24"/>
                <w:lang w:eastAsia="zh-CN"/>
              </w:rPr>
            </w:pPr>
            <w:r>
              <w:rPr>
                <w:rFonts w:hint="eastAsia" w:eastAsia="楷体_GB2312" w:cs="Times New Roman"/>
                <w:b/>
                <w:bCs/>
                <w:color w:val="000000"/>
                <w:kern w:val="0"/>
                <w:sz w:val="24"/>
                <w:lang w:eastAsia="zh-CN"/>
              </w:rPr>
              <w:t>县（市、区）</w:t>
            </w:r>
          </w:p>
        </w:tc>
        <w:tc>
          <w:tcPr>
            <w:tcW w:w="3054" w:type="dxa"/>
            <w:gridSpan w:val="2"/>
            <w:vAlign w:val="center"/>
          </w:tcPr>
          <w:p>
            <w:pPr>
              <w:widowControl/>
              <w:adjustRightInd w:val="0"/>
              <w:snapToGrid w:val="0"/>
              <w:jc w:val="center"/>
              <w:rPr>
                <w:rFonts w:hint="eastAsia" w:ascii="Times New Roman" w:hAnsi="Times New Roman" w:eastAsia="楷体_GB2312" w:cs="Times New Roman"/>
                <w:b/>
                <w:bCs/>
                <w:color w:val="000000"/>
                <w:kern w:val="0"/>
                <w:sz w:val="24"/>
                <w:lang w:eastAsia="zh-CN"/>
              </w:rPr>
            </w:pPr>
            <w:r>
              <w:rPr>
                <w:rStyle w:val="20"/>
                <w:rFonts w:eastAsia="楷体_GB2312"/>
                <w:b/>
                <w:bCs/>
                <w:sz w:val="24"/>
                <w:szCs w:val="24"/>
                <w:lang w:bidi="ar"/>
              </w:rPr>
              <w:t>地表水国</w:t>
            </w:r>
            <w:r>
              <w:rPr>
                <w:rStyle w:val="20"/>
                <w:rFonts w:hint="eastAsia" w:eastAsia="楷体_GB2312"/>
                <w:b/>
                <w:bCs/>
                <w:sz w:val="24"/>
                <w:szCs w:val="24"/>
                <w:lang w:eastAsia="zh-CN" w:bidi="ar"/>
              </w:rPr>
              <w:t>考</w:t>
            </w:r>
            <w:r>
              <w:rPr>
                <w:rStyle w:val="20"/>
                <w:rFonts w:eastAsia="楷体_GB2312"/>
                <w:b/>
                <w:bCs/>
                <w:sz w:val="24"/>
                <w:szCs w:val="24"/>
                <w:lang w:bidi="ar"/>
              </w:rPr>
              <w:t>断面</w:t>
            </w:r>
          </w:p>
        </w:tc>
        <w:tc>
          <w:tcPr>
            <w:tcW w:w="1463" w:type="dxa"/>
            <w:vMerge w:val="restart"/>
            <w:vAlign w:val="center"/>
          </w:tcPr>
          <w:p>
            <w:pPr>
              <w:widowControl/>
              <w:adjustRightInd w:val="0"/>
              <w:snapToGrid w:val="0"/>
              <w:jc w:val="center"/>
              <w:rPr>
                <w:rStyle w:val="20"/>
                <w:rFonts w:hint="eastAsia" w:eastAsia="楷体_GB2312"/>
                <w:b/>
                <w:bCs/>
                <w:sz w:val="24"/>
                <w:szCs w:val="24"/>
                <w:lang w:eastAsia="zh-CN" w:bidi="ar"/>
              </w:rPr>
            </w:pPr>
            <w:r>
              <w:rPr>
                <w:rStyle w:val="20"/>
                <w:rFonts w:eastAsia="楷体_GB2312"/>
                <w:b/>
                <w:bCs/>
                <w:sz w:val="24"/>
                <w:szCs w:val="24"/>
                <w:lang w:bidi="ar"/>
              </w:rPr>
              <w:t>县级及以上集中式饮用水水源地</w:t>
            </w:r>
            <w:r>
              <w:rPr>
                <w:rStyle w:val="20"/>
                <w:rFonts w:hint="eastAsia" w:eastAsia="楷体_GB2312"/>
                <w:b/>
                <w:bCs/>
                <w:sz w:val="24"/>
                <w:szCs w:val="24"/>
                <w:lang w:eastAsia="zh-CN" w:bidi="ar"/>
              </w:rPr>
              <w:t>水质达标率</w:t>
            </w:r>
          </w:p>
        </w:tc>
        <w:tc>
          <w:tcPr>
            <w:tcW w:w="1819" w:type="dxa"/>
            <w:vMerge w:val="restart"/>
            <w:vAlign w:val="center"/>
          </w:tcPr>
          <w:p>
            <w:pPr>
              <w:widowControl/>
              <w:adjustRightInd w:val="0"/>
              <w:snapToGrid w:val="0"/>
              <w:jc w:val="center"/>
              <w:rPr>
                <w:rStyle w:val="20"/>
                <w:rFonts w:eastAsia="楷体_GB2312"/>
                <w:b/>
                <w:bCs/>
                <w:sz w:val="24"/>
                <w:szCs w:val="24"/>
                <w:lang w:bidi="ar"/>
              </w:rPr>
            </w:pPr>
            <w:r>
              <w:rPr>
                <w:rStyle w:val="20"/>
                <w:rFonts w:hint="default" w:eastAsia="楷体_GB2312"/>
                <w:b/>
                <w:bCs/>
                <w:sz w:val="24"/>
                <w:szCs w:val="24"/>
                <w:lang w:eastAsia="zh-CN" w:bidi="ar"/>
              </w:rPr>
              <w:t>2022年农村生活污水治理民生实事重点区域范围示范村任务数</w:t>
            </w:r>
            <w:r>
              <w:rPr>
                <w:rStyle w:val="20"/>
                <w:rFonts w:hint="eastAsia" w:eastAsia="楷体_GB2312"/>
                <w:b/>
                <w:bCs/>
                <w:sz w:val="24"/>
                <w:szCs w:val="24"/>
                <w:lang w:eastAsia="zh-CN" w:bidi="ar"/>
              </w:rPr>
              <w:t>（个）</w:t>
            </w:r>
          </w:p>
        </w:tc>
        <w:tc>
          <w:tcPr>
            <w:tcW w:w="1443" w:type="dxa"/>
            <w:vMerge w:val="restart"/>
            <w:vAlign w:val="center"/>
          </w:tcPr>
          <w:p>
            <w:pPr>
              <w:widowControl/>
              <w:adjustRightInd w:val="0"/>
              <w:snapToGrid w:val="0"/>
              <w:jc w:val="center"/>
              <w:rPr>
                <w:rStyle w:val="20"/>
                <w:rFonts w:hint="default" w:eastAsia="楷体_GB2312"/>
                <w:b/>
                <w:bCs/>
                <w:sz w:val="24"/>
                <w:szCs w:val="24"/>
                <w:lang w:eastAsia="zh-CN" w:bidi="ar"/>
              </w:rPr>
            </w:pPr>
            <w:r>
              <w:rPr>
                <w:rStyle w:val="20"/>
                <w:rFonts w:hint="default" w:eastAsia="楷体_GB2312"/>
                <w:b/>
                <w:bCs/>
                <w:sz w:val="24"/>
                <w:szCs w:val="24"/>
                <w:lang w:eastAsia="zh-CN" w:bidi="ar"/>
              </w:rPr>
              <w:t>2022年农村</w:t>
            </w:r>
            <w:r>
              <w:rPr>
                <w:rStyle w:val="20"/>
                <w:rFonts w:hint="eastAsia" w:eastAsia="楷体_GB2312"/>
                <w:b/>
                <w:bCs/>
                <w:sz w:val="24"/>
                <w:szCs w:val="24"/>
                <w:lang w:eastAsia="zh-CN" w:bidi="ar"/>
              </w:rPr>
              <w:t>黑臭水体整治民生实事任务（个）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trPr>
        <w:tc>
          <w:tcPr>
            <w:tcW w:w="705" w:type="dxa"/>
            <w:vMerge w:val="continue"/>
            <w:vAlign w:val="center"/>
          </w:tcPr>
          <w:p>
            <w:pPr>
              <w:widowControl/>
              <w:adjustRightInd w:val="0"/>
              <w:snapToGrid w:val="0"/>
              <w:jc w:val="center"/>
              <w:rPr>
                <w:rFonts w:ascii="Times New Roman" w:hAnsi="Times New Roman" w:cs="Times New Roman"/>
                <w:sz w:val="24"/>
              </w:rPr>
            </w:pPr>
          </w:p>
        </w:tc>
        <w:tc>
          <w:tcPr>
            <w:tcW w:w="1033" w:type="dxa"/>
            <w:vMerge w:val="continue"/>
            <w:vAlign w:val="center"/>
          </w:tcPr>
          <w:p>
            <w:pPr>
              <w:widowControl/>
              <w:adjustRightInd w:val="0"/>
              <w:snapToGrid w:val="0"/>
              <w:jc w:val="center"/>
              <w:rPr>
                <w:rFonts w:ascii="Times New Roman" w:hAnsi="Times New Roman" w:cs="Times New Roman"/>
                <w:sz w:val="24"/>
              </w:rPr>
            </w:pPr>
          </w:p>
        </w:tc>
        <w:tc>
          <w:tcPr>
            <w:tcW w:w="1892" w:type="dxa"/>
            <w:vAlign w:val="center"/>
          </w:tcPr>
          <w:p>
            <w:pPr>
              <w:widowControl/>
              <w:adjustRightInd w:val="0"/>
              <w:snapToGrid w:val="0"/>
              <w:jc w:val="center"/>
              <w:textAlignment w:val="center"/>
              <w:rPr>
                <w:rStyle w:val="20"/>
                <w:rFonts w:eastAsia="楷体_GB2312"/>
                <w:b/>
                <w:bCs/>
                <w:sz w:val="24"/>
                <w:szCs w:val="24"/>
                <w:lang w:bidi="ar"/>
              </w:rPr>
            </w:pPr>
            <w:r>
              <w:rPr>
                <w:rStyle w:val="20"/>
                <w:rFonts w:eastAsia="楷体_GB2312"/>
                <w:b/>
                <w:bCs/>
                <w:sz w:val="24"/>
                <w:szCs w:val="24"/>
                <w:lang w:bidi="ar"/>
              </w:rPr>
              <w:t>优良</w:t>
            </w:r>
          </w:p>
          <w:p>
            <w:pPr>
              <w:widowControl/>
              <w:adjustRightInd w:val="0"/>
              <w:snapToGrid w:val="0"/>
              <w:jc w:val="center"/>
              <w:rPr>
                <w:rFonts w:ascii="Times New Roman" w:hAnsi="Times New Roman" w:cs="Times New Roman"/>
                <w:sz w:val="24"/>
              </w:rPr>
            </w:pPr>
            <w:r>
              <w:rPr>
                <w:rStyle w:val="20"/>
                <w:rFonts w:eastAsia="楷体_GB2312"/>
                <w:b/>
                <w:bCs/>
                <w:sz w:val="24"/>
                <w:szCs w:val="24"/>
                <w:lang w:bidi="ar"/>
              </w:rPr>
              <w:t>（达到或优于Ⅲ类）比例</w:t>
            </w:r>
          </w:p>
        </w:tc>
        <w:tc>
          <w:tcPr>
            <w:tcW w:w="1162" w:type="dxa"/>
            <w:vAlign w:val="center"/>
          </w:tcPr>
          <w:p>
            <w:pPr>
              <w:widowControl/>
              <w:adjustRightInd w:val="0"/>
              <w:snapToGrid w:val="0"/>
              <w:jc w:val="center"/>
              <w:rPr>
                <w:rFonts w:ascii="Times New Roman" w:hAnsi="Times New Roman" w:cs="Times New Roman"/>
                <w:sz w:val="24"/>
              </w:rPr>
            </w:pPr>
            <w:r>
              <w:rPr>
                <w:rStyle w:val="20"/>
                <w:rFonts w:eastAsia="楷体_GB2312"/>
                <w:b/>
                <w:bCs/>
                <w:sz w:val="24"/>
                <w:szCs w:val="24"/>
                <w:lang w:bidi="ar"/>
              </w:rPr>
              <w:t>劣Ⅴ类水体比例</w:t>
            </w:r>
          </w:p>
        </w:tc>
        <w:tc>
          <w:tcPr>
            <w:tcW w:w="1463" w:type="dxa"/>
            <w:vMerge w:val="continue"/>
            <w:vAlign w:val="center"/>
          </w:tcPr>
          <w:p>
            <w:pPr>
              <w:widowControl/>
              <w:adjustRightInd w:val="0"/>
              <w:snapToGrid w:val="0"/>
              <w:jc w:val="center"/>
              <w:rPr>
                <w:rStyle w:val="20"/>
                <w:rFonts w:eastAsia="楷体_GB2312"/>
                <w:b/>
                <w:bCs/>
                <w:sz w:val="24"/>
                <w:szCs w:val="24"/>
                <w:lang w:bidi="ar"/>
              </w:rPr>
            </w:pPr>
          </w:p>
        </w:tc>
        <w:tc>
          <w:tcPr>
            <w:tcW w:w="1819" w:type="dxa"/>
            <w:vMerge w:val="continue"/>
            <w:vAlign w:val="center"/>
          </w:tcPr>
          <w:p>
            <w:pPr>
              <w:widowControl/>
              <w:adjustRightInd w:val="0"/>
              <w:snapToGrid w:val="0"/>
              <w:jc w:val="center"/>
              <w:rPr>
                <w:rStyle w:val="20"/>
                <w:rFonts w:eastAsia="楷体_GB2312"/>
                <w:b/>
                <w:bCs/>
                <w:sz w:val="24"/>
                <w:szCs w:val="24"/>
                <w:lang w:bidi="ar"/>
              </w:rPr>
            </w:pPr>
          </w:p>
        </w:tc>
        <w:tc>
          <w:tcPr>
            <w:tcW w:w="1443" w:type="dxa"/>
            <w:vMerge w:val="continue"/>
            <w:tcBorders/>
            <w:vAlign w:val="center"/>
          </w:tcPr>
          <w:p>
            <w:pPr>
              <w:widowControl/>
              <w:adjustRightInd w:val="0"/>
              <w:snapToGrid w:val="0"/>
              <w:jc w:val="center"/>
              <w:rPr>
                <w:rStyle w:val="20"/>
                <w:rFonts w:eastAsia="楷体_GB2312"/>
                <w:b/>
                <w:bCs/>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5" w:type="dxa"/>
            <w:vAlign w:val="center"/>
          </w:tcPr>
          <w:p>
            <w:pPr>
              <w:numPr>
                <w:ilvl w:val="0"/>
                <w:numId w:val="2"/>
              </w:numPr>
              <w:adjustRightInd w:val="0"/>
              <w:snapToGrid w:val="0"/>
              <w:ind w:left="425" w:leftChars="0" w:hanging="425" w:firstLineChars="0"/>
              <w:jc w:val="center"/>
              <w:rPr>
                <w:rFonts w:ascii="Times New Roman" w:hAnsi="Times New Roman" w:eastAsia="楷体_GB2312" w:cs="Times New Roman"/>
                <w:sz w:val="24"/>
              </w:rPr>
            </w:pPr>
          </w:p>
        </w:tc>
        <w:tc>
          <w:tcPr>
            <w:tcW w:w="1033" w:type="dxa"/>
            <w:vAlign w:val="center"/>
          </w:tcPr>
          <w:p>
            <w:pPr>
              <w:widowControl/>
              <w:adjustRightInd w:val="0"/>
              <w:snapToGrid w:val="0"/>
              <w:jc w:val="center"/>
              <w:textAlignment w:val="center"/>
              <w:rPr>
                <w:rFonts w:hint="eastAsia" w:ascii="Times New Roman" w:hAnsi="Times New Roman" w:eastAsia="楷体_GB2312" w:cs="Times New Roman"/>
                <w:sz w:val="24"/>
                <w:lang w:eastAsia="zh-CN"/>
              </w:rPr>
            </w:pPr>
            <w:r>
              <w:rPr>
                <w:rFonts w:ascii="Times New Roman" w:hAnsi="Times New Roman" w:eastAsia="楷体_GB2312" w:cs="Times New Roman"/>
                <w:color w:val="000000"/>
                <w:kern w:val="0"/>
                <w:sz w:val="24"/>
                <w:lang w:bidi="ar"/>
              </w:rPr>
              <w:t>市</w:t>
            </w:r>
            <w:r>
              <w:rPr>
                <w:rFonts w:hint="eastAsia" w:eastAsia="楷体_GB2312" w:cs="Times New Roman"/>
                <w:color w:val="000000"/>
                <w:kern w:val="0"/>
                <w:sz w:val="24"/>
                <w:lang w:eastAsia="zh-CN" w:bidi="ar"/>
              </w:rPr>
              <w:t>城区</w:t>
            </w:r>
          </w:p>
        </w:tc>
        <w:tc>
          <w:tcPr>
            <w:tcW w:w="1892" w:type="dxa"/>
            <w:vAlign w:val="center"/>
          </w:tcPr>
          <w:p>
            <w:pPr>
              <w:widowControl/>
              <w:spacing w:line="300" w:lineRule="exact"/>
              <w:jc w:val="center"/>
              <w:textAlignment w:val="center"/>
              <w:rPr>
                <w:rFonts w:hint="default" w:ascii="Times New Roman" w:hAnsi="Times New Roman" w:eastAsia="楷体_GB2312" w:cs="Times New Roman"/>
                <w:color w:val="000000"/>
                <w:sz w:val="24"/>
                <w:highlight w:val="none"/>
                <w:lang w:val="en-US" w:eastAsia="zh-CN"/>
              </w:rPr>
            </w:pPr>
            <w:r>
              <w:rPr>
                <w:rFonts w:hint="eastAsia" w:eastAsia="楷体_GB2312" w:cs="Times New Roman"/>
                <w:color w:val="000000"/>
                <w:sz w:val="24"/>
                <w:highlight w:val="none"/>
                <w:lang w:val="en-US" w:eastAsia="zh-CN"/>
              </w:rPr>
              <w:t>--</w:t>
            </w:r>
          </w:p>
        </w:tc>
        <w:tc>
          <w:tcPr>
            <w:tcW w:w="1162" w:type="dxa"/>
            <w:vAlign w:val="center"/>
          </w:tcPr>
          <w:p>
            <w:pPr>
              <w:widowControl/>
              <w:adjustRightInd w:val="0"/>
              <w:snapToGrid w:val="0"/>
              <w:jc w:val="center"/>
              <w:textAlignment w:val="center"/>
              <w:rPr>
                <w:rFonts w:ascii="Times New Roman" w:hAnsi="Times New Roman" w:eastAsia="楷体_GB2312" w:cs="Times New Roman"/>
                <w:color w:val="000000"/>
                <w:sz w:val="24"/>
                <w:lang w:bidi="ar"/>
              </w:rPr>
            </w:pPr>
            <w:r>
              <w:rPr>
                <w:rFonts w:hint="eastAsia" w:ascii="Times New Roman" w:hAnsi="Times New Roman" w:eastAsia="楷体_GB2312" w:cs="Times New Roman"/>
                <w:color w:val="000000"/>
                <w:kern w:val="0"/>
                <w:sz w:val="24"/>
                <w:lang w:val="en-US" w:eastAsia="zh-CN" w:bidi="ar"/>
              </w:rPr>
              <w:t>0</w:t>
            </w:r>
          </w:p>
        </w:tc>
        <w:tc>
          <w:tcPr>
            <w:tcW w:w="1463" w:type="dxa"/>
            <w:vAlign w:val="center"/>
          </w:tcPr>
          <w:p>
            <w:pPr>
              <w:adjustRightInd w:val="0"/>
              <w:snapToGrid w:val="0"/>
              <w:jc w:val="center"/>
              <w:rPr>
                <w:rFonts w:ascii="Times New Roman" w:hAnsi="Times New Roman" w:eastAsia="楷体_GB2312" w:cs="Times New Roman"/>
                <w:sz w:val="24"/>
              </w:rPr>
            </w:pPr>
            <w:r>
              <w:rPr>
                <w:rFonts w:hint="eastAsia" w:ascii="Times New Roman" w:hAnsi="Times New Roman" w:eastAsia="楷体_GB2312" w:cs="Times New Roman"/>
                <w:sz w:val="24"/>
              </w:rPr>
              <w:t>100%</w:t>
            </w:r>
          </w:p>
        </w:tc>
        <w:tc>
          <w:tcPr>
            <w:tcW w:w="1819" w:type="dxa"/>
            <w:vAlign w:val="center"/>
          </w:tcPr>
          <w:p>
            <w:pPr>
              <w:adjustRightInd w:val="0"/>
              <w:snapToGrid w:val="0"/>
              <w:jc w:val="center"/>
              <w:rPr>
                <w:rFonts w:hint="eastAsia" w:ascii="Times New Roman" w:hAnsi="Times New Roman" w:eastAsia="楷体_GB2312" w:cs="Times New Roman"/>
                <w:sz w:val="24"/>
                <w:lang w:val="en-US" w:eastAsia="zh-CN"/>
              </w:rPr>
            </w:pPr>
            <w:r>
              <w:rPr>
                <w:rFonts w:hint="eastAsia" w:eastAsia="楷体_GB2312" w:cs="Times New Roman"/>
                <w:sz w:val="24"/>
                <w:lang w:val="en-US" w:eastAsia="zh-CN"/>
              </w:rPr>
              <w:t>6</w:t>
            </w:r>
          </w:p>
        </w:tc>
        <w:tc>
          <w:tcPr>
            <w:tcW w:w="1443" w:type="dxa"/>
            <w:vAlign w:val="center"/>
          </w:tcPr>
          <w:p>
            <w:pPr>
              <w:adjustRightInd w:val="0"/>
              <w:snapToGrid w:val="0"/>
              <w:jc w:val="center"/>
              <w:rPr>
                <w:rFonts w:hint="eastAsia" w:eastAsia="楷体_GB2312" w:cs="Times New Roman"/>
                <w:sz w:val="24"/>
                <w:lang w:val="en-US" w:eastAsia="zh-CN"/>
              </w:rPr>
            </w:pPr>
            <w:r>
              <w:rPr>
                <w:rFonts w:hint="eastAsia" w:eastAsia="楷体_GB2312" w:cs="Times New Roman"/>
                <w:color w:val="00000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5" w:type="dxa"/>
            <w:vAlign w:val="center"/>
          </w:tcPr>
          <w:p>
            <w:pPr>
              <w:numPr>
                <w:ilvl w:val="0"/>
                <w:numId w:val="2"/>
              </w:numPr>
              <w:adjustRightInd w:val="0"/>
              <w:snapToGrid w:val="0"/>
              <w:ind w:left="425" w:leftChars="0" w:hanging="425" w:firstLineChars="0"/>
              <w:jc w:val="center"/>
              <w:rPr>
                <w:rFonts w:ascii="Times New Roman" w:hAnsi="Times New Roman" w:eastAsia="楷体_GB2312" w:cs="Times New Roman"/>
                <w:sz w:val="24"/>
              </w:rPr>
            </w:pPr>
          </w:p>
        </w:tc>
        <w:tc>
          <w:tcPr>
            <w:tcW w:w="1033" w:type="dxa"/>
            <w:vAlign w:val="center"/>
          </w:tcPr>
          <w:p>
            <w:pPr>
              <w:widowControl/>
              <w:adjustRightInd w:val="0"/>
              <w:snapToGrid w:val="0"/>
              <w:jc w:val="center"/>
              <w:textAlignment w:val="center"/>
              <w:rPr>
                <w:rFonts w:hint="eastAsia" w:ascii="Times New Roman" w:hAnsi="Times New Roman" w:eastAsia="楷体_GB2312" w:cs="Times New Roman"/>
                <w:sz w:val="24"/>
                <w:lang w:eastAsia="zh-CN"/>
              </w:rPr>
            </w:pPr>
            <w:r>
              <w:rPr>
                <w:rFonts w:hint="eastAsia" w:eastAsia="楷体_GB2312" w:cs="Times New Roman"/>
                <w:sz w:val="24"/>
                <w:lang w:eastAsia="zh-CN"/>
              </w:rPr>
              <w:t>陆丰市</w:t>
            </w:r>
          </w:p>
        </w:tc>
        <w:tc>
          <w:tcPr>
            <w:tcW w:w="1892" w:type="dxa"/>
            <w:vAlign w:val="center"/>
          </w:tcPr>
          <w:p>
            <w:pPr>
              <w:widowControl/>
              <w:spacing w:line="300" w:lineRule="exact"/>
              <w:jc w:val="center"/>
              <w:textAlignment w:val="center"/>
              <w:rPr>
                <w:rFonts w:ascii="Times New Roman" w:hAnsi="Times New Roman" w:eastAsia="楷体_GB2312" w:cs="Times New Roman"/>
                <w:color w:val="000000"/>
                <w:sz w:val="24"/>
                <w:highlight w:val="none"/>
              </w:rPr>
            </w:pPr>
            <w:r>
              <w:rPr>
                <w:rFonts w:ascii="Times New Roman" w:hAnsi="Times New Roman" w:eastAsia="楷体_GB2312" w:cs="Times New Roman"/>
                <w:i w:val="0"/>
                <w:iCs w:val="0"/>
                <w:strike w:val="0"/>
                <w:dstrike w:val="0"/>
                <w:color w:val="000000"/>
                <w:kern w:val="0"/>
                <w:sz w:val="24"/>
                <w:u w:val="none"/>
                <w:lang w:bidi="ar"/>
              </w:rPr>
              <w:t>100.0%</w:t>
            </w:r>
          </w:p>
        </w:tc>
        <w:tc>
          <w:tcPr>
            <w:tcW w:w="1162" w:type="dxa"/>
            <w:vAlign w:val="center"/>
          </w:tcPr>
          <w:p>
            <w:pPr>
              <w:widowControl/>
              <w:adjustRightInd w:val="0"/>
              <w:snapToGrid w:val="0"/>
              <w:jc w:val="center"/>
              <w:textAlignment w:val="center"/>
              <w:rPr>
                <w:rFonts w:ascii="Times New Roman" w:hAnsi="Times New Roman" w:eastAsia="楷体_GB2312" w:cs="Times New Roman"/>
                <w:color w:val="000000"/>
                <w:sz w:val="24"/>
                <w:lang w:bidi="ar"/>
              </w:rPr>
            </w:pPr>
            <w:r>
              <w:rPr>
                <w:rFonts w:hint="eastAsia" w:ascii="Times New Roman" w:hAnsi="Times New Roman" w:eastAsia="楷体_GB2312" w:cs="Times New Roman"/>
                <w:color w:val="000000"/>
                <w:kern w:val="0"/>
                <w:sz w:val="24"/>
                <w:lang w:val="en-US" w:eastAsia="zh-CN" w:bidi="ar"/>
              </w:rPr>
              <w:t>0</w:t>
            </w:r>
          </w:p>
        </w:tc>
        <w:tc>
          <w:tcPr>
            <w:tcW w:w="1463" w:type="dxa"/>
            <w:vAlign w:val="center"/>
          </w:tcPr>
          <w:p>
            <w:pPr>
              <w:adjustRightInd w:val="0"/>
              <w:snapToGrid w:val="0"/>
              <w:jc w:val="center"/>
              <w:rPr>
                <w:rFonts w:ascii="Times New Roman" w:hAnsi="Times New Roman" w:eastAsia="楷体_GB2312" w:cs="Times New Roman"/>
                <w:sz w:val="24"/>
              </w:rPr>
            </w:pPr>
            <w:r>
              <w:rPr>
                <w:rFonts w:hint="eastAsia" w:ascii="Times New Roman" w:hAnsi="Times New Roman" w:eastAsia="楷体_GB2312" w:cs="Times New Roman"/>
                <w:sz w:val="24"/>
              </w:rPr>
              <w:t>100%</w:t>
            </w:r>
          </w:p>
        </w:tc>
        <w:tc>
          <w:tcPr>
            <w:tcW w:w="1819" w:type="dxa"/>
            <w:vAlign w:val="center"/>
          </w:tcPr>
          <w:p>
            <w:pPr>
              <w:adjustRightInd w:val="0"/>
              <w:snapToGrid w:val="0"/>
              <w:jc w:val="center"/>
              <w:rPr>
                <w:rFonts w:hint="default" w:ascii="Times New Roman" w:hAnsi="Times New Roman" w:eastAsia="楷体_GB2312" w:cs="Times New Roman"/>
                <w:sz w:val="24"/>
                <w:lang w:val="en-US" w:eastAsia="zh-CN"/>
              </w:rPr>
            </w:pPr>
            <w:r>
              <w:rPr>
                <w:rFonts w:hint="eastAsia" w:eastAsia="楷体_GB2312" w:cs="Times New Roman"/>
                <w:sz w:val="24"/>
                <w:lang w:val="en-US" w:eastAsia="zh-CN"/>
              </w:rPr>
              <w:t>22</w:t>
            </w:r>
          </w:p>
        </w:tc>
        <w:tc>
          <w:tcPr>
            <w:tcW w:w="1443" w:type="dxa"/>
            <w:vAlign w:val="center"/>
          </w:tcPr>
          <w:p>
            <w:pPr>
              <w:adjustRightInd w:val="0"/>
              <w:snapToGrid w:val="0"/>
              <w:jc w:val="center"/>
              <w:rPr>
                <w:rFonts w:hint="default" w:eastAsia="楷体_GB2312" w:cs="Times New Roman"/>
                <w:sz w:val="24"/>
                <w:lang w:val="en-US" w:eastAsia="zh-CN"/>
              </w:rPr>
            </w:pPr>
            <w:r>
              <w:rPr>
                <w:rFonts w:hint="eastAsia" w:eastAsia="楷体_GB2312" w:cs="Times New Roman"/>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5" w:type="dxa"/>
            <w:vAlign w:val="center"/>
          </w:tcPr>
          <w:p>
            <w:pPr>
              <w:numPr>
                <w:ilvl w:val="0"/>
                <w:numId w:val="2"/>
              </w:numPr>
              <w:adjustRightInd w:val="0"/>
              <w:snapToGrid w:val="0"/>
              <w:ind w:left="425" w:leftChars="0" w:hanging="425" w:firstLineChars="0"/>
              <w:jc w:val="center"/>
              <w:rPr>
                <w:rFonts w:ascii="Times New Roman" w:hAnsi="Times New Roman" w:eastAsia="楷体_GB2312" w:cs="Times New Roman"/>
                <w:sz w:val="24"/>
              </w:rPr>
            </w:pPr>
          </w:p>
        </w:tc>
        <w:tc>
          <w:tcPr>
            <w:tcW w:w="1033" w:type="dxa"/>
            <w:vAlign w:val="center"/>
          </w:tcPr>
          <w:p>
            <w:pPr>
              <w:widowControl/>
              <w:adjustRightInd w:val="0"/>
              <w:snapToGrid w:val="0"/>
              <w:jc w:val="center"/>
              <w:textAlignment w:val="center"/>
              <w:rPr>
                <w:rFonts w:hint="eastAsia" w:ascii="Times New Roman" w:hAnsi="Times New Roman" w:eastAsia="楷体_GB2312" w:cs="Times New Roman"/>
                <w:sz w:val="24"/>
                <w:lang w:eastAsia="zh-CN"/>
              </w:rPr>
            </w:pPr>
            <w:r>
              <w:rPr>
                <w:rFonts w:hint="eastAsia" w:eastAsia="楷体_GB2312" w:cs="Times New Roman"/>
                <w:sz w:val="24"/>
                <w:lang w:eastAsia="zh-CN"/>
              </w:rPr>
              <w:t>海丰县</w:t>
            </w:r>
          </w:p>
        </w:tc>
        <w:tc>
          <w:tcPr>
            <w:tcW w:w="1892" w:type="dxa"/>
            <w:vAlign w:val="center"/>
          </w:tcPr>
          <w:p>
            <w:pPr>
              <w:widowControl/>
              <w:spacing w:line="300" w:lineRule="exact"/>
              <w:jc w:val="center"/>
              <w:textAlignment w:val="center"/>
              <w:rPr>
                <w:rFonts w:ascii="Times New Roman" w:hAnsi="Times New Roman" w:eastAsia="楷体_GB2312" w:cs="Times New Roman"/>
                <w:color w:val="000000"/>
                <w:sz w:val="24"/>
                <w:highlight w:val="none"/>
              </w:rPr>
            </w:pPr>
            <w:r>
              <w:rPr>
                <w:rFonts w:ascii="Times New Roman" w:hAnsi="Times New Roman" w:eastAsia="楷体_GB2312" w:cs="Times New Roman"/>
                <w:i w:val="0"/>
                <w:iCs w:val="0"/>
                <w:strike w:val="0"/>
                <w:dstrike w:val="0"/>
                <w:color w:val="000000"/>
                <w:kern w:val="0"/>
                <w:sz w:val="24"/>
                <w:u w:val="none"/>
                <w:lang w:bidi="ar"/>
              </w:rPr>
              <w:t>100.0%</w:t>
            </w:r>
          </w:p>
        </w:tc>
        <w:tc>
          <w:tcPr>
            <w:tcW w:w="1162" w:type="dxa"/>
            <w:vAlign w:val="center"/>
          </w:tcPr>
          <w:p>
            <w:pPr>
              <w:widowControl/>
              <w:adjustRightInd w:val="0"/>
              <w:snapToGrid w:val="0"/>
              <w:jc w:val="center"/>
              <w:textAlignment w:val="center"/>
              <w:rPr>
                <w:rFonts w:ascii="Times New Roman" w:hAnsi="Times New Roman" w:eastAsia="楷体_GB2312" w:cs="Times New Roman"/>
                <w:color w:val="000000"/>
                <w:sz w:val="24"/>
                <w:lang w:bidi="ar"/>
              </w:rPr>
            </w:pPr>
            <w:r>
              <w:rPr>
                <w:rFonts w:hint="eastAsia" w:ascii="Times New Roman" w:hAnsi="Times New Roman" w:eastAsia="楷体_GB2312" w:cs="Times New Roman"/>
                <w:color w:val="000000"/>
                <w:kern w:val="0"/>
                <w:sz w:val="24"/>
                <w:lang w:val="en-US" w:eastAsia="zh-CN" w:bidi="ar"/>
              </w:rPr>
              <w:t>0</w:t>
            </w:r>
          </w:p>
        </w:tc>
        <w:tc>
          <w:tcPr>
            <w:tcW w:w="1463" w:type="dxa"/>
            <w:vAlign w:val="center"/>
          </w:tcPr>
          <w:p>
            <w:pPr>
              <w:adjustRightInd w:val="0"/>
              <w:snapToGrid w:val="0"/>
              <w:jc w:val="center"/>
              <w:rPr>
                <w:rFonts w:ascii="Times New Roman" w:hAnsi="Times New Roman" w:eastAsia="楷体_GB2312" w:cs="Times New Roman"/>
                <w:sz w:val="24"/>
              </w:rPr>
            </w:pPr>
            <w:r>
              <w:rPr>
                <w:rFonts w:hint="eastAsia" w:ascii="Times New Roman" w:hAnsi="Times New Roman" w:eastAsia="楷体_GB2312" w:cs="Times New Roman"/>
                <w:sz w:val="24"/>
              </w:rPr>
              <w:t>100%</w:t>
            </w:r>
          </w:p>
        </w:tc>
        <w:tc>
          <w:tcPr>
            <w:tcW w:w="1819" w:type="dxa"/>
            <w:vAlign w:val="center"/>
          </w:tcPr>
          <w:p>
            <w:pPr>
              <w:adjustRightInd w:val="0"/>
              <w:snapToGrid w:val="0"/>
              <w:jc w:val="center"/>
              <w:rPr>
                <w:rFonts w:hint="default" w:ascii="Times New Roman" w:hAnsi="Times New Roman" w:eastAsia="楷体_GB2312" w:cs="Times New Roman"/>
                <w:sz w:val="24"/>
                <w:lang w:val="en-US" w:eastAsia="zh-CN"/>
              </w:rPr>
            </w:pPr>
            <w:r>
              <w:rPr>
                <w:rFonts w:hint="eastAsia" w:eastAsia="楷体_GB2312" w:cs="Times New Roman"/>
                <w:sz w:val="24"/>
                <w:lang w:val="en-US" w:eastAsia="zh-CN"/>
              </w:rPr>
              <w:t>22</w:t>
            </w:r>
          </w:p>
        </w:tc>
        <w:tc>
          <w:tcPr>
            <w:tcW w:w="1443" w:type="dxa"/>
            <w:vAlign w:val="center"/>
          </w:tcPr>
          <w:p>
            <w:pPr>
              <w:adjustRightInd w:val="0"/>
              <w:snapToGrid w:val="0"/>
              <w:jc w:val="center"/>
              <w:rPr>
                <w:rFonts w:hint="eastAsia" w:eastAsia="楷体_GB2312" w:cs="Times New Roman"/>
                <w:sz w:val="24"/>
                <w:lang w:val="en-US" w:eastAsia="zh-CN"/>
              </w:rPr>
            </w:pPr>
            <w:r>
              <w:rPr>
                <w:rFonts w:hint="eastAsia" w:eastAsia="楷体_GB2312" w:cs="Times New Roman"/>
                <w:color w:val="00000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5" w:type="dxa"/>
            <w:vAlign w:val="center"/>
          </w:tcPr>
          <w:p>
            <w:pPr>
              <w:numPr>
                <w:ilvl w:val="0"/>
                <w:numId w:val="2"/>
              </w:numPr>
              <w:adjustRightInd w:val="0"/>
              <w:snapToGrid w:val="0"/>
              <w:ind w:left="425" w:leftChars="0" w:hanging="425" w:firstLineChars="0"/>
              <w:jc w:val="center"/>
              <w:rPr>
                <w:rFonts w:ascii="Times New Roman" w:hAnsi="Times New Roman" w:eastAsia="楷体_GB2312" w:cs="Times New Roman"/>
                <w:sz w:val="24"/>
              </w:rPr>
            </w:pPr>
          </w:p>
        </w:tc>
        <w:tc>
          <w:tcPr>
            <w:tcW w:w="1033" w:type="dxa"/>
            <w:vAlign w:val="center"/>
          </w:tcPr>
          <w:p>
            <w:pPr>
              <w:widowControl/>
              <w:adjustRightInd w:val="0"/>
              <w:snapToGrid w:val="0"/>
              <w:jc w:val="center"/>
              <w:textAlignment w:val="center"/>
              <w:rPr>
                <w:rFonts w:hint="eastAsia" w:ascii="Times New Roman" w:hAnsi="Times New Roman" w:eastAsia="楷体_GB2312" w:cs="Times New Roman"/>
                <w:sz w:val="24"/>
                <w:lang w:eastAsia="zh-CN"/>
              </w:rPr>
            </w:pPr>
            <w:r>
              <w:rPr>
                <w:rFonts w:hint="eastAsia" w:eastAsia="楷体_GB2312" w:cs="Times New Roman"/>
                <w:sz w:val="24"/>
                <w:lang w:eastAsia="zh-CN"/>
              </w:rPr>
              <w:t>陆河县</w:t>
            </w:r>
          </w:p>
        </w:tc>
        <w:tc>
          <w:tcPr>
            <w:tcW w:w="1892" w:type="dxa"/>
            <w:vAlign w:val="center"/>
          </w:tcPr>
          <w:p>
            <w:pPr>
              <w:widowControl/>
              <w:spacing w:line="300" w:lineRule="exact"/>
              <w:jc w:val="center"/>
              <w:textAlignment w:val="center"/>
              <w:rPr>
                <w:rFonts w:ascii="Times New Roman" w:hAnsi="Times New Roman" w:eastAsia="楷体_GB2312" w:cs="Times New Roman"/>
                <w:color w:val="000000"/>
                <w:sz w:val="24"/>
                <w:highlight w:val="none"/>
              </w:rPr>
            </w:pPr>
            <w:r>
              <w:rPr>
                <w:rFonts w:ascii="Times New Roman" w:hAnsi="Times New Roman" w:eastAsia="楷体_GB2312" w:cs="Times New Roman"/>
                <w:i w:val="0"/>
                <w:iCs w:val="0"/>
                <w:strike w:val="0"/>
                <w:dstrike w:val="0"/>
                <w:color w:val="000000"/>
                <w:kern w:val="0"/>
                <w:sz w:val="24"/>
                <w:u w:val="none"/>
                <w:lang w:bidi="ar"/>
              </w:rPr>
              <w:t>100.0%</w:t>
            </w:r>
          </w:p>
        </w:tc>
        <w:tc>
          <w:tcPr>
            <w:tcW w:w="1162" w:type="dxa"/>
            <w:vAlign w:val="center"/>
          </w:tcPr>
          <w:p>
            <w:pPr>
              <w:widowControl/>
              <w:adjustRightInd w:val="0"/>
              <w:snapToGrid w:val="0"/>
              <w:jc w:val="center"/>
              <w:textAlignment w:val="center"/>
              <w:rPr>
                <w:rFonts w:ascii="Times New Roman" w:hAnsi="Times New Roman" w:eastAsia="楷体_GB2312" w:cs="Times New Roman"/>
                <w:color w:val="000000"/>
                <w:sz w:val="24"/>
                <w:lang w:bidi="ar"/>
              </w:rPr>
            </w:pPr>
            <w:r>
              <w:rPr>
                <w:rFonts w:hint="eastAsia" w:ascii="Times New Roman" w:hAnsi="Times New Roman" w:eastAsia="楷体_GB2312" w:cs="Times New Roman"/>
                <w:color w:val="000000"/>
                <w:kern w:val="0"/>
                <w:sz w:val="24"/>
                <w:lang w:val="en-US" w:eastAsia="zh-CN" w:bidi="ar"/>
              </w:rPr>
              <w:t>0</w:t>
            </w:r>
          </w:p>
        </w:tc>
        <w:tc>
          <w:tcPr>
            <w:tcW w:w="1463" w:type="dxa"/>
            <w:vAlign w:val="center"/>
          </w:tcPr>
          <w:p>
            <w:pPr>
              <w:adjustRightInd w:val="0"/>
              <w:snapToGrid w:val="0"/>
              <w:jc w:val="center"/>
              <w:rPr>
                <w:rFonts w:ascii="Times New Roman" w:hAnsi="Times New Roman" w:eastAsia="楷体_GB2312" w:cs="Times New Roman"/>
                <w:sz w:val="24"/>
              </w:rPr>
            </w:pPr>
            <w:r>
              <w:rPr>
                <w:rFonts w:hint="eastAsia" w:ascii="Times New Roman" w:hAnsi="Times New Roman" w:eastAsia="楷体_GB2312" w:cs="Times New Roman"/>
                <w:sz w:val="24"/>
              </w:rPr>
              <w:t>100%</w:t>
            </w:r>
          </w:p>
        </w:tc>
        <w:tc>
          <w:tcPr>
            <w:tcW w:w="1819" w:type="dxa"/>
            <w:vAlign w:val="center"/>
          </w:tcPr>
          <w:p>
            <w:pPr>
              <w:adjustRightInd w:val="0"/>
              <w:snapToGrid w:val="0"/>
              <w:jc w:val="center"/>
              <w:rPr>
                <w:rFonts w:hint="default" w:ascii="Times New Roman" w:hAnsi="Times New Roman" w:eastAsia="楷体_GB2312" w:cs="Times New Roman"/>
                <w:sz w:val="24"/>
                <w:lang w:val="en-US" w:eastAsia="zh-CN"/>
              </w:rPr>
            </w:pPr>
            <w:r>
              <w:rPr>
                <w:rFonts w:hint="eastAsia" w:eastAsia="楷体_GB2312" w:cs="Times New Roman"/>
                <w:sz w:val="24"/>
                <w:lang w:val="en-US" w:eastAsia="zh-CN"/>
              </w:rPr>
              <w:t>14</w:t>
            </w:r>
          </w:p>
        </w:tc>
        <w:tc>
          <w:tcPr>
            <w:tcW w:w="1443" w:type="dxa"/>
            <w:vAlign w:val="center"/>
          </w:tcPr>
          <w:p>
            <w:pPr>
              <w:adjustRightInd w:val="0"/>
              <w:snapToGrid w:val="0"/>
              <w:jc w:val="center"/>
              <w:rPr>
                <w:rFonts w:hint="eastAsia" w:eastAsia="楷体_GB2312" w:cs="Times New Roman"/>
                <w:sz w:val="24"/>
                <w:lang w:val="en-US" w:eastAsia="zh-CN"/>
              </w:rPr>
            </w:pPr>
            <w:r>
              <w:rPr>
                <w:rFonts w:hint="eastAsia" w:eastAsia="楷体_GB2312" w:cs="Times New Roman"/>
                <w:color w:val="00000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5" w:type="dxa"/>
            <w:vAlign w:val="center"/>
          </w:tcPr>
          <w:p>
            <w:pPr>
              <w:numPr>
                <w:ilvl w:val="0"/>
                <w:numId w:val="2"/>
              </w:numPr>
              <w:adjustRightInd w:val="0"/>
              <w:snapToGrid w:val="0"/>
              <w:ind w:left="425" w:leftChars="0" w:hanging="425" w:firstLineChars="0"/>
              <w:jc w:val="center"/>
              <w:rPr>
                <w:rFonts w:ascii="Times New Roman" w:hAnsi="Times New Roman" w:eastAsia="楷体_GB2312" w:cs="Times New Roman"/>
                <w:sz w:val="24"/>
              </w:rPr>
            </w:pPr>
          </w:p>
        </w:tc>
        <w:tc>
          <w:tcPr>
            <w:tcW w:w="1033" w:type="dxa"/>
            <w:vAlign w:val="center"/>
          </w:tcPr>
          <w:p>
            <w:pPr>
              <w:widowControl/>
              <w:adjustRightInd w:val="0"/>
              <w:snapToGrid w:val="0"/>
              <w:jc w:val="center"/>
              <w:textAlignment w:val="center"/>
              <w:rPr>
                <w:rFonts w:hint="eastAsia" w:ascii="Times New Roman" w:hAnsi="Times New Roman" w:eastAsia="楷体_GB2312" w:cs="Times New Roman"/>
                <w:sz w:val="24"/>
                <w:lang w:eastAsia="zh-CN"/>
              </w:rPr>
            </w:pPr>
            <w:r>
              <w:rPr>
                <w:rFonts w:hint="eastAsia" w:eastAsia="楷体_GB2312" w:cs="Times New Roman"/>
                <w:sz w:val="24"/>
                <w:lang w:eastAsia="zh-CN"/>
              </w:rPr>
              <w:t>红海湾开发区</w:t>
            </w:r>
          </w:p>
        </w:tc>
        <w:tc>
          <w:tcPr>
            <w:tcW w:w="1892" w:type="dxa"/>
            <w:vAlign w:val="center"/>
          </w:tcPr>
          <w:p>
            <w:pPr>
              <w:widowControl/>
              <w:spacing w:line="300" w:lineRule="exact"/>
              <w:jc w:val="center"/>
              <w:textAlignment w:val="center"/>
              <w:rPr>
                <w:rFonts w:hint="default" w:ascii="Times New Roman" w:hAnsi="Times New Roman" w:eastAsia="楷体_GB2312" w:cs="Times New Roman"/>
                <w:color w:val="000000"/>
                <w:sz w:val="24"/>
                <w:highlight w:val="none"/>
                <w:lang w:val="en-US" w:eastAsia="zh-CN"/>
              </w:rPr>
            </w:pPr>
            <w:r>
              <w:rPr>
                <w:rFonts w:hint="eastAsia" w:eastAsia="楷体_GB2312" w:cs="Times New Roman"/>
                <w:color w:val="000000"/>
                <w:sz w:val="24"/>
                <w:highlight w:val="none"/>
                <w:lang w:val="en-US" w:eastAsia="zh-CN"/>
              </w:rPr>
              <w:t>--</w:t>
            </w:r>
          </w:p>
        </w:tc>
        <w:tc>
          <w:tcPr>
            <w:tcW w:w="1162" w:type="dxa"/>
            <w:vAlign w:val="center"/>
          </w:tcPr>
          <w:p>
            <w:pPr>
              <w:widowControl/>
              <w:adjustRightInd w:val="0"/>
              <w:snapToGrid w:val="0"/>
              <w:jc w:val="center"/>
              <w:textAlignment w:val="center"/>
              <w:rPr>
                <w:rFonts w:ascii="Times New Roman" w:hAnsi="Times New Roman" w:eastAsia="楷体_GB2312" w:cs="Times New Roman"/>
                <w:color w:val="000000"/>
                <w:sz w:val="24"/>
                <w:lang w:bidi="ar"/>
              </w:rPr>
            </w:pPr>
            <w:r>
              <w:rPr>
                <w:rFonts w:hint="eastAsia" w:ascii="Times New Roman" w:hAnsi="Times New Roman" w:eastAsia="楷体_GB2312" w:cs="Times New Roman"/>
                <w:color w:val="000000"/>
                <w:kern w:val="0"/>
                <w:sz w:val="24"/>
                <w:lang w:val="en-US" w:eastAsia="zh-CN" w:bidi="ar"/>
              </w:rPr>
              <w:t>0</w:t>
            </w:r>
          </w:p>
        </w:tc>
        <w:tc>
          <w:tcPr>
            <w:tcW w:w="1463" w:type="dxa"/>
            <w:vAlign w:val="center"/>
          </w:tcPr>
          <w:p>
            <w:pPr>
              <w:adjustRightInd w:val="0"/>
              <w:snapToGrid w:val="0"/>
              <w:jc w:val="center"/>
              <w:rPr>
                <w:rFonts w:hint="default" w:ascii="Times New Roman" w:hAnsi="Times New Roman" w:eastAsia="楷体_GB2312" w:cs="Times New Roman"/>
                <w:sz w:val="24"/>
                <w:lang w:val="en-US" w:eastAsia="zh-CN"/>
              </w:rPr>
            </w:pPr>
            <w:r>
              <w:rPr>
                <w:rFonts w:hint="eastAsia" w:eastAsia="楷体_GB2312" w:cs="Times New Roman"/>
                <w:sz w:val="24"/>
                <w:lang w:val="en-US" w:eastAsia="zh-CN"/>
              </w:rPr>
              <w:t>--</w:t>
            </w:r>
          </w:p>
        </w:tc>
        <w:tc>
          <w:tcPr>
            <w:tcW w:w="1819" w:type="dxa"/>
            <w:vAlign w:val="center"/>
          </w:tcPr>
          <w:p>
            <w:pPr>
              <w:adjustRightInd w:val="0"/>
              <w:snapToGrid w:val="0"/>
              <w:jc w:val="center"/>
              <w:rPr>
                <w:rFonts w:hint="default" w:eastAsia="楷体_GB2312" w:cs="Times New Roman"/>
                <w:sz w:val="24"/>
                <w:lang w:val="en-US" w:eastAsia="zh-CN"/>
              </w:rPr>
            </w:pPr>
            <w:r>
              <w:rPr>
                <w:rFonts w:hint="eastAsia" w:eastAsia="楷体_GB2312" w:cs="Times New Roman"/>
                <w:sz w:val="24"/>
                <w:lang w:val="en-US" w:eastAsia="zh-CN"/>
              </w:rPr>
              <w:t>6</w:t>
            </w:r>
          </w:p>
        </w:tc>
        <w:tc>
          <w:tcPr>
            <w:tcW w:w="1443" w:type="dxa"/>
            <w:vAlign w:val="center"/>
          </w:tcPr>
          <w:p>
            <w:pPr>
              <w:adjustRightInd w:val="0"/>
              <w:snapToGrid w:val="0"/>
              <w:jc w:val="center"/>
              <w:rPr>
                <w:rFonts w:hint="eastAsia" w:eastAsia="楷体_GB2312" w:cs="Times New Roman"/>
                <w:sz w:val="24"/>
                <w:lang w:val="en-US" w:eastAsia="zh-CN"/>
              </w:rPr>
            </w:pPr>
            <w:r>
              <w:rPr>
                <w:rFonts w:hint="eastAsia" w:eastAsia="楷体_GB2312" w:cs="Times New Roman"/>
                <w:color w:val="00000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5" w:type="dxa"/>
            <w:vAlign w:val="center"/>
          </w:tcPr>
          <w:p>
            <w:pPr>
              <w:numPr>
                <w:ilvl w:val="0"/>
                <w:numId w:val="2"/>
              </w:numPr>
              <w:adjustRightInd w:val="0"/>
              <w:snapToGrid w:val="0"/>
              <w:ind w:left="425" w:leftChars="0" w:hanging="425" w:firstLineChars="0"/>
              <w:jc w:val="center"/>
              <w:rPr>
                <w:rFonts w:ascii="Times New Roman" w:hAnsi="Times New Roman" w:eastAsia="楷体_GB2312" w:cs="Times New Roman"/>
                <w:sz w:val="24"/>
              </w:rPr>
            </w:pPr>
          </w:p>
        </w:tc>
        <w:tc>
          <w:tcPr>
            <w:tcW w:w="1033" w:type="dxa"/>
            <w:vAlign w:val="center"/>
          </w:tcPr>
          <w:p>
            <w:pPr>
              <w:widowControl/>
              <w:adjustRightInd w:val="0"/>
              <w:snapToGrid w:val="0"/>
              <w:jc w:val="center"/>
              <w:textAlignment w:val="center"/>
              <w:rPr>
                <w:rFonts w:hint="eastAsia" w:ascii="Times New Roman" w:hAnsi="Times New Roman" w:eastAsia="楷体_GB2312" w:cs="Times New Roman"/>
                <w:sz w:val="24"/>
                <w:lang w:eastAsia="zh-CN"/>
              </w:rPr>
            </w:pPr>
            <w:r>
              <w:rPr>
                <w:rFonts w:hint="eastAsia" w:eastAsia="楷体_GB2312" w:cs="Times New Roman"/>
                <w:sz w:val="24"/>
                <w:lang w:eastAsia="zh-CN"/>
              </w:rPr>
              <w:t>华侨管理区</w:t>
            </w:r>
          </w:p>
        </w:tc>
        <w:tc>
          <w:tcPr>
            <w:tcW w:w="1892" w:type="dxa"/>
            <w:vAlign w:val="center"/>
          </w:tcPr>
          <w:p>
            <w:pPr>
              <w:widowControl/>
              <w:spacing w:line="300" w:lineRule="exact"/>
              <w:jc w:val="center"/>
              <w:textAlignment w:val="center"/>
              <w:rPr>
                <w:rFonts w:hint="default" w:ascii="Times New Roman" w:hAnsi="Times New Roman" w:eastAsia="楷体_GB2312" w:cs="Times New Roman"/>
                <w:color w:val="000000"/>
                <w:sz w:val="24"/>
                <w:highlight w:val="none"/>
                <w:lang w:val="en-US" w:eastAsia="zh-CN"/>
              </w:rPr>
            </w:pPr>
            <w:r>
              <w:rPr>
                <w:rFonts w:hint="eastAsia" w:eastAsia="楷体_GB2312" w:cs="Times New Roman"/>
                <w:color w:val="000000"/>
                <w:sz w:val="24"/>
                <w:highlight w:val="none"/>
                <w:lang w:val="en-US" w:eastAsia="zh-CN"/>
              </w:rPr>
              <w:t>--</w:t>
            </w:r>
          </w:p>
        </w:tc>
        <w:tc>
          <w:tcPr>
            <w:tcW w:w="1162" w:type="dxa"/>
            <w:vAlign w:val="center"/>
          </w:tcPr>
          <w:p>
            <w:pPr>
              <w:widowControl/>
              <w:adjustRightInd w:val="0"/>
              <w:snapToGrid w:val="0"/>
              <w:jc w:val="center"/>
              <w:textAlignment w:val="center"/>
              <w:rPr>
                <w:rFonts w:ascii="Times New Roman" w:hAnsi="Times New Roman" w:eastAsia="楷体_GB2312" w:cs="Times New Roman"/>
                <w:color w:val="000000"/>
                <w:sz w:val="24"/>
                <w:lang w:bidi="ar"/>
              </w:rPr>
            </w:pPr>
            <w:r>
              <w:rPr>
                <w:rFonts w:hint="eastAsia" w:ascii="Times New Roman" w:hAnsi="Times New Roman" w:eastAsia="楷体_GB2312" w:cs="Times New Roman"/>
                <w:color w:val="000000"/>
                <w:kern w:val="0"/>
                <w:sz w:val="24"/>
                <w:lang w:val="en-US" w:eastAsia="zh-CN" w:bidi="ar"/>
              </w:rPr>
              <w:t>0</w:t>
            </w:r>
          </w:p>
        </w:tc>
        <w:tc>
          <w:tcPr>
            <w:tcW w:w="1463" w:type="dxa"/>
            <w:vAlign w:val="center"/>
          </w:tcPr>
          <w:p>
            <w:pPr>
              <w:adjustRightInd w:val="0"/>
              <w:snapToGrid w:val="0"/>
              <w:jc w:val="center"/>
              <w:rPr>
                <w:rFonts w:hint="default" w:ascii="Times New Roman" w:hAnsi="Times New Roman" w:eastAsia="楷体_GB2312" w:cs="Times New Roman"/>
                <w:sz w:val="24"/>
                <w:lang w:val="en-US" w:eastAsia="zh-CN"/>
              </w:rPr>
            </w:pPr>
            <w:r>
              <w:rPr>
                <w:rFonts w:hint="eastAsia" w:eastAsia="楷体_GB2312" w:cs="Times New Roman"/>
                <w:sz w:val="24"/>
                <w:lang w:val="en-US" w:eastAsia="zh-CN"/>
              </w:rPr>
              <w:t>--</w:t>
            </w:r>
          </w:p>
        </w:tc>
        <w:tc>
          <w:tcPr>
            <w:tcW w:w="1819" w:type="dxa"/>
            <w:vAlign w:val="center"/>
          </w:tcPr>
          <w:p>
            <w:pPr>
              <w:adjustRightInd w:val="0"/>
              <w:snapToGrid w:val="0"/>
              <w:jc w:val="center"/>
              <w:rPr>
                <w:rFonts w:hint="default" w:eastAsia="楷体_GB2312" w:cs="Times New Roman"/>
                <w:sz w:val="24"/>
                <w:lang w:val="en-US" w:eastAsia="zh-CN"/>
              </w:rPr>
            </w:pPr>
            <w:r>
              <w:rPr>
                <w:rFonts w:hint="eastAsia" w:eastAsia="楷体_GB2312" w:cs="Times New Roman"/>
                <w:sz w:val="24"/>
                <w:lang w:val="en-US" w:eastAsia="zh-CN"/>
              </w:rPr>
              <w:t>2</w:t>
            </w:r>
          </w:p>
        </w:tc>
        <w:tc>
          <w:tcPr>
            <w:tcW w:w="1443" w:type="dxa"/>
            <w:vAlign w:val="center"/>
          </w:tcPr>
          <w:p>
            <w:pPr>
              <w:adjustRightInd w:val="0"/>
              <w:snapToGrid w:val="0"/>
              <w:jc w:val="center"/>
              <w:rPr>
                <w:rFonts w:hint="eastAsia" w:eastAsia="楷体_GB2312" w:cs="Times New Roman"/>
                <w:sz w:val="24"/>
                <w:lang w:val="en-US" w:eastAsia="zh-CN"/>
              </w:rPr>
            </w:pPr>
            <w:r>
              <w:rPr>
                <w:rFonts w:hint="eastAsia" w:eastAsia="楷体_GB2312" w:cs="Times New Roman"/>
                <w:color w:val="00000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38" w:type="dxa"/>
            <w:gridSpan w:val="2"/>
            <w:vAlign w:val="center"/>
          </w:tcPr>
          <w:p>
            <w:pPr>
              <w:adjustRightInd w:val="0"/>
              <w:snapToGrid w:val="0"/>
              <w:jc w:val="center"/>
              <w:rPr>
                <w:rFonts w:ascii="Times New Roman" w:hAnsi="Times New Roman" w:eastAsia="楷体_GB2312" w:cs="Times New Roman"/>
                <w:b/>
                <w:bCs/>
                <w:sz w:val="24"/>
              </w:rPr>
            </w:pPr>
            <w:r>
              <w:rPr>
                <w:rFonts w:ascii="Times New Roman" w:hAnsi="Times New Roman" w:eastAsia="楷体_GB2312" w:cs="Times New Roman"/>
                <w:b/>
                <w:bCs/>
                <w:sz w:val="24"/>
              </w:rPr>
              <w:t>合计</w:t>
            </w:r>
          </w:p>
        </w:tc>
        <w:tc>
          <w:tcPr>
            <w:tcW w:w="1892" w:type="dxa"/>
            <w:vAlign w:val="center"/>
          </w:tcPr>
          <w:p>
            <w:pPr>
              <w:widowControl/>
              <w:snapToGrid w:val="0"/>
              <w:spacing w:line="300" w:lineRule="exact"/>
              <w:jc w:val="center"/>
              <w:textAlignment w:val="center"/>
              <w:rPr>
                <w:rFonts w:hint="eastAsia" w:ascii="Times New Roman" w:hAnsi="Times New Roman" w:eastAsia="楷体_GB2312" w:cs="Times New Roman"/>
                <w:b/>
                <w:bCs/>
                <w:sz w:val="24"/>
                <w:highlight w:val="none"/>
                <w:lang w:eastAsia="zh-CN"/>
              </w:rPr>
            </w:pPr>
            <w:r>
              <w:rPr>
                <w:rFonts w:ascii="Times New Roman" w:hAnsi="Times New Roman" w:eastAsia="楷体_GB2312" w:cs="Times New Roman"/>
                <w:b/>
                <w:bCs/>
                <w:i w:val="0"/>
                <w:iCs w:val="0"/>
                <w:strike w:val="0"/>
                <w:dstrike w:val="0"/>
                <w:color w:val="000000"/>
                <w:kern w:val="0"/>
                <w:sz w:val="24"/>
                <w:u w:val="none"/>
                <w:lang w:bidi="ar"/>
              </w:rPr>
              <w:t>100.0%</w:t>
            </w:r>
          </w:p>
        </w:tc>
        <w:tc>
          <w:tcPr>
            <w:tcW w:w="1162" w:type="dxa"/>
            <w:vAlign w:val="center"/>
          </w:tcPr>
          <w:p>
            <w:pPr>
              <w:adjustRightInd w:val="0"/>
              <w:snapToGrid w:val="0"/>
              <w:jc w:val="center"/>
              <w:rPr>
                <w:rFonts w:ascii="Times New Roman" w:hAnsi="Times New Roman" w:eastAsia="楷体_GB2312" w:cs="Times New Roman"/>
                <w:b/>
                <w:bCs/>
                <w:sz w:val="24"/>
              </w:rPr>
            </w:pPr>
            <w:r>
              <w:rPr>
                <w:rFonts w:hint="eastAsia" w:ascii="Times New Roman" w:hAnsi="Times New Roman" w:eastAsia="楷体_GB2312" w:cs="Times New Roman"/>
                <w:b/>
                <w:bCs/>
                <w:color w:val="000000"/>
                <w:kern w:val="0"/>
                <w:sz w:val="24"/>
                <w:lang w:val="en-US" w:eastAsia="zh-CN" w:bidi="ar"/>
              </w:rPr>
              <w:t>0</w:t>
            </w:r>
          </w:p>
        </w:tc>
        <w:tc>
          <w:tcPr>
            <w:tcW w:w="1463" w:type="dxa"/>
            <w:vAlign w:val="center"/>
          </w:tcPr>
          <w:p>
            <w:pPr>
              <w:adjustRightInd w:val="0"/>
              <w:snapToGrid w:val="0"/>
              <w:jc w:val="center"/>
              <w:rPr>
                <w:rFonts w:ascii="Times New Roman" w:hAnsi="Times New Roman" w:eastAsia="楷体_GB2312" w:cs="Times New Roman"/>
                <w:b/>
                <w:bCs/>
                <w:sz w:val="24"/>
              </w:rPr>
            </w:pPr>
            <w:r>
              <w:rPr>
                <w:rFonts w:hint="eastAsia" w:ascii="Times New Roman" w:hAnsi="Times New Roman" w:eastAsia="楷体_GB2312" w:cs="Times New Roman"/>
                <w:b/>
                <w:bCs/>
                <w:sz w:val="24"/>
              </w:rPr>
              <w:t>100%</w:t>
            </w:r>
          </w:p>
        </w:tc>
        <w:tc>
          <w:tcPr>
            <w:tcW w:w="1819" w:type="dxa"/>
            <w:vAlign w:val="center"/>
          </w:tcPr>
          <w:p>
            <w:pPr>
              <w:adjustRightInd w:val="0"/>
              <w:snapToGrid w:val="0"/>
              <w:jc w:val="center"/>
              <w:rPr>
                <w:rFonts w:hint="default" w:ascii="Times New Roman" w:hAnsi="Times New Roman" w:eastAsia="楷体_GB2312" w:cs="Times New Roman"/>
                <w:b/>
                <w:bCs/>
                <w:sz w:val="24"/>
                <w:lang w:val="en-US" w:eastAsia="zh-CN"/>
              </w:rPr>
            </w:pPr>
            <w:r>
              <w:rPr>
                <w:rFonts w:hint="eastAsia" w:eastAsia="楷体_GB2312" w:cs="Times New Roman"/>
                <w:b/>
                <w:bCs/>
                <w:sz w:val="24"/>
                <w:lang w:val="en-US" w:eastAsia="zh-CN"/>
              </w:rPr>
              <w:t>72</w:t>
            </w:r>
          </w:p>
        </w:tc>
        <w:tc>
          <w:tcPr>
            <w:tcW w:w="1443" w:type="dxa"/>
            <w:vAlign w:val="center"/>
          </w:tcPr>
          <w:p>
            <w:pPr>
              <w:adjustRightInd w:val="0"/>
              <w:snapToGrid w:val="0"/>
              <w:jc w:val="center"/>
              <w:rPr>
                <w:rFonts w:hint="default" w:eastAsia="楷体_GB2312" w:cs="Times New Roman"/>
                <w:b/>
                <w:bCs/>
                <w:sz w:val="24"/>
                <w:lang w:val="en-US" w:eastAsia="zh-CN"/>
              </w:rPr>
            </w:pPr>
            <w:r>
              <w:rPr>
                <w:rFonts w:hint="eastAsia" w:eastAsia="楷体_GB2312" w:cs="Times New Roman"/>
                <w:b/>
                <w:bCs/>
                <w:sz w:val="24"/>
                <w:lang w:val="en-US" w:eastAsia="zh-CN"/>
              </w:rPr>
              <w:t>1</w:t>
            </w:r>
          </w:p>
        </w:tc>
      </w:tr>
    </w:tbl>
    <w:p>
      <w:pPr>
        <w:pStyle w:val="15"/>
        <w:widowControl w:val="0"/>
        <w:numPr>
          <w:ilvl w:val="0"/>
          <w:numId w:val="0"/>
        </w:numPr>
        <w:adjustRightInd w:val="0"/>
        <w:snapToGrid w:val="0"/>
        <w:spacing w:after="0"/>
        <w:jc w:val="both"/>
        <w:rPr>
          <w:rFonts w:hint="default" w:ascii="Times New Roman" w:hAnsi="Times New Roman" w:eastAsia="楷体_GB2312" w:cs="Times New Roman"/>
          <w:sz w:val="24"/>
          <w:szCs w:val="24"/>
          <w:lang w:val="en-US" w:eastAsia="zh-CN"/>
        </w:rPr>
      </w:pPr>
    </w:p>
    <w:p>
      <w:pPr>
        <w:pStyle w:val="15"/>
        <w:widowControl w:val="0"/>
        <w:numPr>
          <w:ilvl w:val="0"/>
          <w:numId w:val="0"/>
        </w:numPr>
        <w:adjustRightInd w:val="0"/>
        <w:snapToGrid w:val="0"/>
        <w:spacing w:after="0"/>
        <w:jc w:val="both"/>
        <w:rPr>
          <w:rFonts w:hint="default" w:ascii="Times New Roman" w:hAnsi="Times New Roman" w:eastAsia="楷体_GB2312" w:cs="Times New Roman"/>
          <w:sz w:val="24"/>
          <w:szCs w:val="24"/>
          <w:lang w:val="en-US" w:eastAsia="zh-CN"/>
        </w:rPr>
      </w:pPr>
    </w:p>
    <w:p>
      <w:pPr>
        <w:pStyle w:val="15"/>
        <w:widowControl w:val="0"/>
        <w:numPr>
          <w:ilvl w:val="0"/>
          <w:numId w:val="0"/>
        </w:numPr>
        <w:adjustRightInd w:val="0"/>
        <w:snapToGrid w:val="0"/>
        <w:spacing w:after="0"/>
        <w:jc w:val="both"/>
        <w:rPr>
          <w:rFonts w:hint="default" w:ascii="Times New Roman" w:hAnsi="Times New Roman" w:eastAsia="楷体_GB2312" w:cs="Times New Roman"/>
          <w:sz w:val="24"/>
          <w:szCs w:val="24"/>
          <w:lang w:val="en-US" w:eastAsia="zh-CN"/>
        </w:rPr>
      </w:pPr>
    </w:p>
    <w:p>
      <w:pPr>
        <w:pStyle w:val="15"/>
        <w:widowControl w:val="0"/>
        <w:numPr>
          <w:ilvl w:val="0"/>
          <w:numId w:val="0"/>
        </w:numPr>
        <w:adjustRightInd w:val="0"/>
        <w:snapToGrid w:val="0"/>
        <w:spacing w:after="0"/>
        <w:jc w:val="both"/>
        <w:rPr>
          <w:rFonts w:hint="default" w:ascii="Times New Roman" w:hAnsi="Times New Roman" w:eastAsia="楷体_GB2312" w:cs="Times New Roman"/>
          <w:sz w:val="24"/>
          <w:szCs w:val="24"/>
          <w:lang w:val="en-US" w:eastAsia="zh-CN"/>
        </w:rPr>
      </w:pPr>
    </w:p>
    <w:p>
      <w:pPr>
        <w:spacing w:line="360" w:lineRule="auto"/>
        <w:ind w:left="632" w:leftChars="200"/>
        <w:rPr>
          <w:rFonts w:ascii="Times New Roman" w:hAnsi="Times New Roman" w:eastAsia="黑体" w:cs="Times New Roman"/>
          <w:sz w:val="32"/>
          <w:szCs w:val="32"/>
        </w:rPr>
        <w:sectPr>
          <w:pgSz w:w="11906" w:h="16838"/>
          <w:pgMar w:top="2098" w:right="1474" w:bottom="1984" w:left="1587" w:header="851" w:footer="1587" w:gutter="0"/>
          <w:pgBorders>
            <w:top w:val="none" w:sz="0" w:space="0"/>
            <w:left w:val="none" w:sz="0" w:space="0"/>
            <w:bottom w:val="none" w:sz="0" w:space="0"/>
            <w:right w:val="none" w:sz="0" w:space="0"/>
          </w:pgBorders>
          <w:pgNumType w:fmt="decimal"/>
          <w:cols w:space="0" w:num="1"/>
          <w:rtlGutter w:val="0"/>
          <w:docGrid w:type="linesAndChars" w:linePitch="580" w:charSpace="-1024"/>
        </w:sectPr>
      </w:pPr>
    </w:p>
    <w:p>
      <w:pPr>
        <w:spacing w:line="240" w:lineRule="auto"/>
        <w:outlineLvl w:val="0"/>
        <w:rPr>
          <w:rFonts w:hint="eastAsia" w:ascii="Times New Roman" w:hAnsi="Times New Roman" w:eastAsia="黑体" w:cs="Times New Roman"/>
          <w:kern w:val="44"/>
          <w:sz w:val="32"/>
        </w:rPr>
      </w:pPr>
      <w:r>
        <w:rPr>
          <w:rFonts w:hint="eastAsia" w:ascii="Times New Roman" w:hAnsi="Times New Roman" w:eastAsia="黑体" w:cs="Times New Roman"/>
          <w:kern w:val="44"/>
          <w:sz w:val="32"/>
        </w:rPr>
        <w:t>附件2</w:t>
      </w:r>
    </w:p>
    <w:p>
      <w:pPr>
        <w:spacing w:line="240" w:lineRule="auto"/>
        <w:jc w:val="center"/>
        <w:outlineLvl w:val="0"/>
        <w:rPr>
          <w:rFonts w:ascii="Times New Roman" w:hAnsi="Times New Roman" w:eastAsia="黑体" w:cs="Times New Roman"/>
          <w:sz w:val="32"/>
          <w:szCs w:val="32"/>
        </w:rPr>
      </w:pPr>
      <w:r>
        <w:rPr>
          <w:rFonts w:hint="eastAsia" w:ascii="Times New Roman" w:hAnsi="Times New Roman" w:eastAsia="黑体" w:cs="Times New Roman"/>
          <w:kern w:val="44"/>
          <w:sz w:val="32"/>
        </w:rPr>
        <w:t>2022年重点攻坚断面清单</w:t>
      </w:r>
    </w:p>
    <w:tbl>
      <w:tblPr>
        <w:tblStyle w:val="12"/>
        <w:tblW w:w="8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2163"/>
        <w:gridCol w:w="1439"/>
        <w:gridCol w:w="1734"/>
        <w:gridCol w:w="1521"/>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2163" w:type="dxa"/>
            <w:shd w:val="clear" w:color="auto" w:fill="auto"/>
            <w:tcMar>
              <w:top w:w="15" w:type="dxa"/>
              <w:left w:w="15" w:type="dxa"/>
              <w:right w:w="15" w:type="dxa"/>
            </w:tcMar>
            <w:vAlign w:val="center"/>
          </w:tcPr>
          <w:p>
            <w:pPr>
              <w:keepNext w:val="0"/>
              <w:keepLines w:val="0"/>
              <w:widowControl/>
              <w:suppressLineNumbers w:val="0"/>
              <w:spacing w:line="320" w:lineRule="exact"/>
              <w:jc w:val="center"/>
              <w:textAlignment w:val="center"/>
              <w:rPr>
                <w:rFonts w:hint="default" w:ascii="Times New Roman" w:hAnsi="Times New Roman" w:eastAsia="楷体_GB2312" w:cs="Times New Roman"/>
                <w:b/>
                <w:i w:val="0"/>
                <w:color w:val="auto"/>
                <w:sz w:val="24"/>
                <w:szCs w:val="24"/>
                <w:u w:val="none"/>
              </w:rPr>
            </w:pPr>
            <w:r>
              <w:rPr>
                <w:rFonts w:hint="default" w:ascii="Times New Roman" w:hAnsi="Times New Roman" w:eastAsia="楷体_GB2312" w:cs="Times New Roman"/>
                <w:b/>
                <w:i w:val="0"/>
                <w:color w:val="auto"/>
                <w:kern w:val="0"/>
                <w:sz w:val="24"/>
                <w:szCs w:val="24"/>
                <w:u w:val="none"/>
                <w:lang w:val="en-US" w:eastAsia="zh-CN" w:bidi="ar"/>
              </w:rPr>
              <w:t>断面名称</w:t>
            </w:r>
          </w:p>
        </w:tc>
        <w:tc>
          <w:tcPr>
            <w:tcW w:w="1439" w:type="dxa"/>
            <w:shd w:val="clear" w:color="auto" w:fill="auto"/>
            <w:tcMar>
              <w:top w:w="15" w:type="dxa"/>
              <w:left w:w="15" w:type="dxa"/>
              <w:right w:w="15" w:type="dxa"/>
            </w:tcMar>
            <w:vAlign w:val="center"/>
          </w:tcPr>
          <w:p>
            <w:pPr>
              <w:keepNext w:val="0"/>
              <w:keepLines w:val="0"/>
              <w:widowControl/>
              <w:suppressLineNumbers w:val="0"/>
              <w:spacing w:line="320" w:lineRule="exact"/>
              <w:jc w:val="center"/>
              <w:textAlignment w:val="center"/>
              <w:rPr>
                <w:rFonts w:hint="default" w:ascii="Times New Roman" w:hAnsi="Times New Roman" w:eastAsia="楷体_GB2312" w:cs="Times New Roman"/>
                <w:b/>
                <w:i w:val="0"/>
                <w:color w:val="auto"/>
                <w:sz w:val="24"/>
                <w:szCs w:val="24"/>
                <w:u w:val="none"/>
              </w:rPr>
            </w:pPr>
            <w:r>
              <w:rPr>
                <w:rFonts w:hint="default" w:ascii="Times New Roman" w:hAnsi="Times New Roman" w:eastAsia="楷体_GB2312" w:cs="Times New Roman"/>
                <w:b/>
                <w:i w:val="0"/>
                <w:color w:val="auto"/>
                <w:kern w:val="0"/>
                <w:sz w:val="24"/>
                <w:szCs w:val="24"/>
                <w:u w:val="none"/>
                <w:lang w:val="en-US" w:eastAsia="zh-CN" w:bidi="ar"/>
              </w:rPr>
              <w:t>所在水体</w:t>
            </w:r>
          </w:p>
        </w:tc>
        <w:tc>
          <w:tcPr>
            <w:tcW w:w="1734" w:type="dxa"/>
            <w:shd w:val="clear" w:color="auto" w:fill="auto"/>
            <w:tcMar>
              <w:top w:w="15" w:type="dxa"/>
              <w:left w:w="15" w:type="dxa"/>
              <w:right w:w="15" w:type="dxa"/>
            </w:tcMar>
            <w:vAlign w:val="center"/>
          </w:tcPr>
          <w:p>
            <w:pPr>
              <w:keepNext w:val="0"/>
              <w:keepLines w:val="0"/>
              <w:widowControl/>
              <w:suppressLineNumbers w:val="0"/>
              <w:spacing w:line="320" w:lineRule="exact"/>
              <w:jc w:val="center"/>
              <w:textAlignment w:val="center"/>
              <w:rPr>
                <w:rFonts w:hint="default" w:ascii="Times New Roman" w:hAnsi="Times New Roman" w:eastAsia="楷体_GB2312" w:cs="Times New Roman"/>
                <w:b/>
                <w:i w:val="0"/>
                <w:color w:val="auto"/>
                <w:sz w:val="24"/>
                <w:szCs w:val="24"/>
                <w:u w:val="none"/>
              </w:rPr>
            </w:pPr>
            <w:r>
              <w:rPr>
                <w:rFonts w:hint="default" w:ascii="Times New Roman" w:hAnsi="Times New Roman" w:eastAsia="楷体_GB2312" w:cs="Times New Roman"/>
                <w:b/>
                <w:i w:val="0"/>
                <w:color w:val="auto"/>
                <w:kern w:val="0"/>
                <w:sz w:val="24"/>
                <w:szCs w:val="24"/>
                <w:u w:val="none"/>
                <w:lang w:val="en-US" w:eastAsia="zh-CN" w:bidi="ar"/>
              </w:rPr>
              <w:t>考核</w:t>
            </w:r>
            <w:r>
              <w:rPr>
                <w:rFonts w:hint="eastAsia" w:eastAsia="楷体_GB2312" w:cs="Times New Roman"/>
                <w:b/>
                <w:i w:val="0"/>
                <w:color w:val="auto"/>
                <w:kern w:val="0"/>
                <w:sz w:val="24"/>
                <w:szCs w:val="24"/>
                <w:u w:val="none"/>
                <w:lang w:val="en-US" w:eastAsia="zh-CN" w:bidi="ar"/>
              </w:rPr>
              <w:t>县（市）</w:t>
            </w:r>
          </w:p>
        </w:tc>
        <w:tc>
          <w:tcPr>
            <w:tcW w:w="1521" w:type="dxa"/>
            <w:shd w:val="clear" w:color="auto" w:fill="auto"/>
            <w:tcMar>
              <w:top w:w="15" w:type="dxa"/>
              <w:left w:w="15" w:type="dxa"/>
              <w:right w:w="15" w:type="dxa"/>
            </w:tcMar>
            <w:vAlign w:val="center"/>
          </w:tcPr>
          <w:p>
            <w:pPr>
              <w:keepNext w:val="0"/>
              <w:keepLines w:val="0"/>
              <w:widowControl/>
              <w:suppressLineNumbers w:val="0"/>
              <w:spacing w:line="320" w:lineRule="exact"/>
              <w:jc w:val="center"/>
              <w:textAlignment w:val="center"/>
              <w:rPr>
                <w:rFonts w:hint="default" w:ascii="Times New Roman" w:hAnsi="Times New Roman" w:eastAsia="楷体_GB2312" w:cs="Times New Roman"/>
                <w:b/>
                <w:i w:val="0"/>
                <w:color w:val="auto"/>
                <w:sz w:val="24"/>
                <w:szCs w:val="24"/>
                <w:u w:val="none"/>
              </w:rPr>
            </w:pPr>
            <w:r>
              <w:rPr>
                <w:rFonts w:hint="default" w:ascii="Times New Roman" w:hAnsi="Times New Roman" w:eastAsia="楷体_GB2312" w:cs="Times New Roman"/>
                <w:b/>
                <w:i w:val="0"/>
                <w:color w:val="auto"/>
                <w:kern w:val="0"/>
                <w:sz w:val="24"/>
                <w:szCs w:val="24"/>
                <w:u w:val="none"/>
                <w:lang w:val="en-US" w:eastAsia="zh-CN" w:bidi="ar"/>
              </w:rPr>
              <w:t>2021年</w:t>
            </w:r>
            <w:r>
              <w:rPr>
                <w:rFonts w:hint="default" w:ascii="Times New Roman" w:hAnsi="Times New Roman" w:eastAsia="楷体_GB2312" w:cs="Times New Roman"/>
                <w:b/>
                <w:i w:val="0"/>
                <w:color w:val="auto"/>
                <w:kern w:val="0"/>
                <w:sz w:val="24"/>
                <w:szCs w:val="24"/>
                <w:u w:val="none"/>
                <w:lang w:val="en-US" w:eastAsia="zh-CN" w:bidi="ar"/>
              </w:rPr>
              <w:br w:type="textWrapping"/>
            </w:r>
            <w:r>
              <w:rPr>
                <w:rFonts w:hint="default" w:ascii="Times New Roman" w:hAnsi="Times New Roman" w:eastAsia="楷体_GB2312" w:cs="Times New Roman"/>
                <w:b/>
                <w:i w:val="0"/>
                <w:color w:val="auto"/>
                <w:kern w:val="0"/>
                <w:sz w:val="24"/>
                <w:szCs w:val="24"/>
                <w:u w:val="none"/>
                <w:lang w:val="en-US" w:eastAsia="zh-CN" w:bidi="ar"/>
              </w:rPr>
              <w:t>水质类别</w:t>
            </w:r>
          </w:p>
        </w:tc>
        <w:tc>
          <w:tcPr>
            <w:tcW w:w="1226" w:type="dxa"/>
            <w:shd w:val="clear" w:color="auto" w:fill="auto"/>
            <w:tcMar>
              <w:top w:w="15" w:type="dxa"/>
              <w:left w:w="15" w:type="dxa"/>
              <w:right w:w="15" w:type="dxa"/>
            </w:tcMar>
            <w:vAlign w:val="center"/>
          </w:tcPr>
          <w:p>
            <w:pPr>
              <w:keepNext w:val="0"/>
              <w:keepLines w:val="0"/>
              <w:widowControl/>
              <w:suppressLineNumbers w:val="0"/>
              <w:spacing w:line="320" w:lineRule="exact"/>
              <w:jc w:val="center"/>
              <w:textAlignment w:val="center"/>
              <w:rPr>
                <w:rFonts w:hint="default" w:ascii="Times New Roman" w:hAnsi="Times New Roman" w:eastAsia="楷体_GB2312" w:cs="Times New Roman"/>
                <w:b/>
                <w:i w:val="0"/>
                <w:color w:val="auto"/>
                <w:sz w:val="24"/>
                <w:szCs w:val="24"/>
                <w:u w:val="none"/>
                <w:lang w:val="en-US"/>
              </w:rPr>
            </w:pPr>
            <w:r>
              <w:rPr>
                <w:rFonts w:hint="eastAsia" w:eastAsia="楷体_GB2312" w:cs="Times New Roman"/>
                <w:b/>
                <w:i w:val="0"/>
                <w:color w:val="auto"/>
                <w:kern w:val="0"/>
                <w:sz w:val="24"/>
                <w:szCs w:val="24"/>
                <w:u w:val="none"/>
                <w:lang w:val="en-US" w:eastAsia="zh-CN" w:bidi="ar"/>
              </w:rPr>
              <w:t>2022年水质目标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trPr>
        <w:tc>
          <w:tcPr>
            <w:tcW w:w="2163" w:type="dxa"/>
            <w:shd w:val="clear" w:color="auto" w:fill="auto"/>
            <w:tcMar>
              <w:top w:w="15" w:type="dxa"/>
              <w:left w:w="15" w:type="dxa"/>
              <w:right w:w="15" w:type="dxa"/>
            </w:tcMar>
            <w:vAlign w:val="center"/>
          </w:tcPr>
          <w:p>
            <w:pPr>
              <w:keepNext w:val="0"/>
              <w:keepLines w:val="0"/>
              <w:widowControl/>
              <w:suppressLineNumbers w:val="0"/>
              <w:spacing w:line="320" w:lineRule="exact"/>
              <w:jc w:val="center"/>
              <w:textAlignment w:val="center"/>
              <w:rPr>
                <w:rFonts w:hint="default" w:ascii="Times New Roman" w:hAnsi="Times New Roman" w:eastAsia="楷体_GB2312" w:cs="Times New Roman"/>
                <w:i w:val="0"/>
                <w:color w:val="auto"/>
                <w:sz w:val="24"/>
                <w:szCs w:val="24"/>
                <w:u w:val="none"/>
              </w:rPr>
            </w:pPr>
            <w:r>
              <w:rPr>
                <w:rFonts w:hint="default" w:ascii="Times New Roman" w:hAnsi="Times New Roman" w:eastAsia="楷体_GB2312" w:cs="Times New Roman"/>
                <w:i w:val="0"/>
                <w:color w:val="auto"/>
                <w:kern w:val="0"/>
                <w:sz w:val="24"/>
                <w:szCs w:val="24"/>
                <w:u w:val="none"/>
                <w:lang w:val="en-US" w:eastAsia="zh-CN" w:bidi="ar"/>
              </w:rPr>
              <w:t>东溪水闸</w:t>
            </w:r>
          </w:p>
        </w:tc>
        <w:tc>
          <w:tcPr>
            <w:tcW w:w="1439" w:type="dxa"/>
            <w:shd w:val="clear" w:color="auto" w:fill="auto"/>
            <w:tcMar>
              <w:top w:w="15" w:type="dxa"/>
              <w:left w:w="15" w:type="dxa"/>
              <w:right w:w="15" w:type="dxa"/>
            </w:tcMar>
            <w:vAlign w:val="center"/>
          </w:tcPr>
          <w:p>
            <w:pPr>
              <w:keepNext w:val="0"/>
              <w:keepLines w:val="0"/>
              <w:widowControl/>
              <w:suppressLineNumbers w:val="0"/>
              <w:spacing w:line="320" w:lineRule="exact"/>
              <w:jc w:val="center"/>
              <w:textAlignment w:val="center"/>
              <w:rPr>
                <w:rFonts w:hint="default" w:ascii="Times New Roman" w:hAnsi="Times New Roman" w:eastAsia="楷体_GB2312" w:cs="Times New Roman"/>
                <w:i w:val="0"/>
                <w:color w:val="auto"/>
                <w:sz w:val="24"/>
                <w:szCs w:val="24"/>
                <w:u w:val="none"/>
              </w:rPr>
            </w:pPr>
            <w:r>
              <w:rPr>
                <w:rFonts w:hint="default" w:ascii="Times New Roman" w:hAnsi="Times New Roman" w:eastAsia="楷体_GB2312" w:cs="Times New Roman"/>
                <w:i w:val="0"/>
                <w:color w:val="auto"/>
                <w:kern w:val="0"/>
                <w:sz w:val="24"/>
                <w:szCs w:val="24"/>
                <w:u w:val="none"/>
                <w:lang w:val="en-US" w:eastAsia="zh-CN" w:bidi="ar"/>
              </w:rPr>
              <w:t>黄江河</w:t>
            </w:r>
          </w:p>
        </w:tc>
        <w:tc>
          <w:tcPr>
            <w:tcW w:w="1734" w:type="dxa"/>
            <w:shd w:val="clear" w:color="auto" w:fill="auto"/>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Times New Roman" w:hAnsi="Times New Roman" w:eastAsia="楷体_GB2312" w:cs="Times New Roman"/>
                <w:i w:val="0"/>
                <w:color w:val="auto"/>
                <w:sz w:val="24"/>
                <w:szCs w:val="24"/>
                <w:u w:val="none"/>
                <w:lang w:eastAsia="zh-CN"/>
              </w:rPr>
            </w:pPr>
            <w:r>
              <w:rPr>
                <w:rFonts w:hint="eastAsia" w:eastAsia="楷体_GB2312" w:cs="Times New Roman"/>
                <w:i w:val="0"/>
                <w:color w:val="auto"/>
                <w:sz w:val="24"/>
                <w:szCs w:val="24"/>
                <w:u w:val="none"/>
                <w:lang w:eastAsia="zh-CN"/>
              </w:rPr>
              <w:t>海丰县、陆丰市</w:t>
            </w:r>
          </w:p>
        </w:tc>
        <w:tc>
          <w:tcPr>
            <w:tcW w:w="1521" w:type="dxa"/>
            <w:shd w:val="clear" w:color="auto" w:fill="auto"/>
            <w:tcMar>
              <w:top w:w="15" w:type="dxa"/>
              <w:left w:w="15" w:type="dxa"/>
              <w:right w:w="15" w:type="dxa"/>
            </w:tcMar>
            <w:vAlign w:val="center"/>
          </w:tcPr>
          <w:p>
            <w:pPr>
              <w:keepNext w:val="0"/>
              <w:keepLines w:val="0"/>
              <w:widowControl/>
              <w:suppressLineNumbers w:val="0"/>
              <w:spacing w:line="320" w:lineRule="exact"/>
              <w:jc w:val="center"/>
              <w:textAlignment w:val="center"/>
              <w:rPr>
                <w:rFonts w:hint="default" w:ascii="Times New Roman" w:hAnsi="Times New Roman" w:eastAsia="楷体_GB2312" w:cs="Times New Roman"/>
                <w:i w:val="0"/>
                <w:color w:val="auto"/>
                <w:sz w:val="24"/>
                <w:szCs w:val="24"/>
                <w:u w:val="none"/>
              </w:rPr>
            </w:pPr>
            <w:r>
              <w:rPr>
                <w:rFonts w:hint="default" w:ascii="Times New Roman" w:hAnsi="Times New Roman" w:eastAsia="楷体_GB2312" w:cs="Times New Roman"/>
                <w:i w:val="0"/>
                <w:color w:val="auto"/>
                <w:kern w:val="0"/>
                <w:sz w:val="24"/>
                <w:szCs w:val="24"/>
                <w:u w:val="none"/>
                <w:lang w:val="en-US" w:eastAsia="zh-CN" w:bidi="ar"/>
              </w:rPr>
              <w:t>Ⅳ</w:t>
            </w:r>
          </w:p>
        </w:tc>
        <w:tc>
          <w:tcPr>
            <w:tcW w:w="1226" w:type="dxa"/>
            <w:shd w:val="clear" w:color="auto" w:fill="auto"/>
            <w:tcMar>
              <w:top w:w="15" w:type="dxa"/>
              <w:left w:w="15" w:type="dxa"/>
              <w:right w:w="15" w:type="dxa"/>
            </w:tcMar>
            <w:vAlign w:val="center"/>
          </w:tcPr>
          <w:p>
            <w:pPr>
              <w:spacing w:line="320" w:lineRule="exact"/>
              <w:jc w:val="center"/>
              <w:rPr>
                <w:rFonts w:hint="default" w:ascii="Times New Roman" w:hAnsi="Times New Roman" w:eastAsia="楷体_GB2312" w:cs="Times New Roman"/>
                <w:i w:val="0"/>
                <w:color w:val="auto"/>
                <w:sz w:val="24"/>
                <w:szCs w:val="24"/>
                <w:u w:val="none"/>
              </w:rPr>
            </w:pPr>
            <w:r>
              <w:rPr>
                <w:rFonts w:hint="default" w:ascii="Times New Roman" w:hAnsi="Times New Roman" w:eastAsia="楷体_GB2312" w:cs="Times New Roman"/>
                <w:b w:val="0"/>
                <w:bCs/>
                <w:i w:val="0"/>
                <w:color w:val="auto"/>
                <w:kern w:val="0"/>
                <w:sz w:val="24"/>
                <w:szCs w:val="24"/>
                <w:u w:val="none"/>
                <w:lang w:val="en-US" w:eastAsia="zh-CN" w:bidi="ar"/>
              </w:rPr>
              <w:t>Ⅲ</w:t>
            </w:r>
          </w:p>
        </w:tc>
      </w:tr>
    </w:tbl>
    <w:p>
      <w:pPr>
        <w:pStyle w:val="11"/>
        <w:spacing w:after="0" w:line="360" w:lineRule="auto"/>
        <w:ind w:left="0" w:leftChars="0" w:firstLine="0" w:firstLineChars="0"/>
        <w:rPr>
          <w:rFonts w:ascii="Times New Roman" w:hAnsi="Times New Roman" w:eastAsia="黑体" w:cs="Times New Roman"/>
          <w:sz w:val="32"/>
          <w:szCs w:val="32"/>
        </w:rPr>
      </w:pPr>
    </w:p>
    <w:p>
      <w:pPr>
        <w:adjustRightInd w:val="0"/>
        <w:snapToGrid w:val="0"/>
        <w:spacing w:line="240" w:lineRule="auto"/>
        <w:ind w:firstLine="0" w:firstLineChars="0"/>
        <w:outlineLvl w:val="0"/>
        <w:rPr>
          <w:rFonts w:hint="default" w:eastAsia="楷体"/>
          <w:sz w:val="24"/>
          <w:szCs w:val="24"/>
          <w:lang w:val="en-US" w:eastAsia="zh-CN"/>
        </w:rPr>
      </w:pPr>
    </w:p>
    <w:sectPr>
      <w:pgSz w:w="11906" w:h="16838"/>
      <w:pgMar w:top="2098" w:right="1474" w:bottom="1984" w:left="1587" w:header="851" w:footer="1587" w:gutter="0"/>
      <w:pgBorders>
        <w:top w:val="none" w:sz="0" w:space="0"/>
        <w:left w:val="none" w:sz="0" w:space="0"/>
        <w:bottom w:val="none" w:sz="0" w:space="0"/>
        <w:right w:val="none" w:sz="0" w:space="0"/>
      </w:pgBorders>
      <w:pgNumType w:fmt="decimal"/>
      <w:cols w:space="0" w:num="1"/>
      <w:rtlGutter w:val="0"/>
      <w:docGrid w:type="linesAndChars" w:linePitch="580"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540899"/>
    <w:multiLevelType w:val="singleLevel"/>
    <w:tmpl w:val="C0540899"/>
    <w:lvl w:ilvl="0" w:tentative="0">
      <w:start w:val="1"/>
      <w:numFmt w:val="decimal"/>
      <w:lvlText w:val="%1."/>
      <w:lvlJc w:val="left"/>
      <w:pPr>
        <w:ind w:left="425" w:hanging="425"/>
      </w:pPr>
      <w:rPr>
        <w:rFonts w:hint="default"/>
      </w:rPr>
    </w:lvl>
  </w:abstractNum>
  <w:abstractNum w:abstractNumId="1">
    <w:nsid w:val="F5740381"/>
    <w:multiLevelType w:val="singleLevel"/>
    <w:tmpl w:val="F5740381"/>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64F9"/>
    <w:rsid w:val="00026712"/>
    <w:rsid w:val="00026A65"/>
    <w:rsid w:val="00080539"/>
    <w:rsid w:val="00095EC5"/>
    <w:rsid w:val="000B528F"/>
    <w:rsid w:val="000E009B"/>
    <w:rsid w:val="00112094"/>
    <w:rsid w:val="0011338F"/>
    <w:rsid w:val="001B733F"/>
    <w:rsid w:val="001E0492"/>
    <w:rsid w:val="00283BE8"/>
    <w:rsid w:val="002D3DB6"/>
    <w:rsid w:val="003070EE"/>
    <w:rsid w:val="00333DDD"/>
    <w:rsid w:val="003B16A7"/>
    <w:rsid w:val="003C256F"/>
    <w:rsid w:val="00411BAF"/>
    <w:rsid w:val="00463234"/>
    <w:rsid w:val="004E1729"/>
    <w:rsid w:val="004E2020"/>
    <w:rsid w:val="0058498C"/>
    <w:rsid w:val="00596A13"/>
    <w:rsid w:val="005C10AB"/>
    <w:rsid w:val="005D7D07"/>
    <w:rsid w:val="00657C63"/>
    <w:rsid w:val="00660FD1"/>
    <w:rsid w:val="00673EEF"/>
    <w:rsid w:val="0068284E"/>
    <w:rsid w:val="006A7BA9"/>
    <w:rsid w:val="006D6FA5"/>
    <w:rsid w:val="007472BC"/>
    <w:rsid w:val="00754D78"/>
    <w:rsid w:val="00760518"/>
    <w:rsid w:val="007A247F"/>
    <w:rsid w:val="007B02E6"/>
    <w:rsid w:val="00864D15"/>
    <w:rsid w:val="00880527"/>
    <w:rsid w:val="008D6186"/>
    <w:rsid w:val="009170FA"/>
    <w:rsid w:val="009178A6"/>
    <w:rsid w:val="009550FD"/>
    <w:rsid w:val="009B5E32"/>
    <w:rsid w:val="00A4087D"/>
    <w:rsid w:val="00AA3A17"/>
    <w:rsid w:val="00B94ECB"/>
    <w:rsid w:val="00BD04E8"/>
    <w:rsid w:val="00C06EAD"/>
    <w:rsid w:val="00C8474E"/>
    <w:rsid w:val="00C91F06"/>
    <w:rsid w:val="00CA29A2"/>
    <w:rsid w:val="00CB23F6"/>
    <w:rsid w:val="00CD6EB1"/>
    <w:rsid w:val="00D05C85"/>
    <w:rsid w:val="00D33A9D"/>
    <w:rsid w:val="00D3675B"/>
    <w:rsid w:val="00D41B81"/>
    <w:rsid w:val="00D70DA1"/>
    <w:rsid w:val="00DE4269"/>
    <w:rsid w:val="00E07772"/>
    <w:rsid w:val="00F02C26"/>
    <w:rsid w:val="00F72B17"/>
    <w:rsid w:val="00F83885"/>
    <w:rsid w:val="00F93101"/>
    <w:rsid w:val="00FD7BF6"/>
    <w:rsid w:val="00FF2259"/>
    <w:rsid w:val="01265887"/>
    <w:rsid w:val="014A03E5"/>
    <w:rsid w:val="01532AC6"/>
    <w:rsid w:val="016C1E79"/>
    <w:rsid w:val="01780206"/>
    <w:rsid w:val="017A4255"/>
    <w:rsid w:val="018136E2"/>
    <w:rsid w:val="018E5837"/>
    <w:rsid w:val="01AE1083"/>
    <w:rsid w:val="01AF57C2"/>
    <w:rsid w:val="01BC26F7"/>
    <w:rsid w:val="01BC4DED"/>
    <w:rsid w:val="01DA517E"/>
    <w:rsid w:val="02037CCD"/>
    <w:rsid w:val="020B09EF"/>
    <w:rsid w:val="02162A6B"/>
    <w:rsid w:val="021C5E95"/>
    <w:rsid w:val="021E7B86"/>
    <w:rsid w:val="022059A8"/>
    <w:rsid w:val="02327EE9"/>
    <w:rsid w:val="023316AF"/>
    <w:rsid w:val="023D293E"/>
    <w:rsid w:val="02441712"/>
    <w:rsid w:val="024736C9"/>
    <w:rsid w:val="026677C7"/>
    <w:rsid w:val="02671A0A"/>
    <w:rsid w:val="027019DA"/>
    <w:rsid w:val="02736D3D"/>
    <w:rsid w:val="027D79B6"/>
    <w:rsid w:val="028F37B4"/>
    <w:rsid w:val="0292134C"/>
    <w:rsid w:val="029310A5"/>
    <w:rsid w:val="02933016"/>
    <w:rsid w:val="02A70F4D"/>
    <w:rsid w:val="02B60133"/>
    <w:rsid w:val="02B922A1"/>
    <w:rsid w:val="02F468B1"/>
    <w:rsid w:val="02FA16E9"/>
    <w:rsid w:val="030A7EBB"/>
    <w:rsid w:val="0312211E"/>
    <w:rsid w:val="03295402"/>
    <w:rsid w:val="032D6D22"/>
    <w:rsid w:val="032F24F5"/>
    <w:rsid w:val="0330720E"/>
    <w:rsid w:val="033A668D"/>
    <w:rsid w:val="033A6D79"/>
    <w:rsid w:val="03420B8A"/>
    <w:rsid w:val="03476385"/>
    <w:rsid w:val="035A082C"/>
    <w:rsid w:val="036214CA"/>
    <w:rsid w:val="036D4CBC"/>
    <w:rsid w:val="03724869"/>
    <w:rsid w:val="0379065E"/>
    <w:rsid w:val="037B2D5E"/>
    <w:rsid w:val="037B6D13"/>
    <w:rsid w:val="0388647F"/>
    <w:rsid w:val="038F0837"/>
    <w:rsid w:val="03982C0D"/>
    <w:rsid w:val="03AB38CF"/>
    <w:rsid w:val="03AC714C"/>
    <w:rsid w:val="03C45C85"/>
    <w:rsid w:val="03D1469E"/>
    <w:rsid w:val="03D163A2"/>
    <w:rsid w:val="03D42952"/>
    <w:rsid w:val="03DF306D"/>
    <w:rsid w:val="03ED7D3E"/>
    <w:rsid w:val="040078D1"/>
    <w:rsid w:val="040240A5"/>
    <w:rsid w:val="040F7A71"/>
    <w:rsid w:val="044F0706"/>
    <w:rsid w:val="046868C5"/>
    <w:rsid w:val="046F59AD"/>
    <w:rsid w:val="048E0293"/>
    <w:rsid w:val="048E374A"/>
    <w:rsid w:val="04911900"/>
    <w:rsid w:val="04974740"/>
    <w:rsid w:val="049D1D56"/>
    <w:rsid w:val="04AD15D7"/>
    <w:rsid w:val="04B37300"/>
    <w:rsid w:val="04B561B9"/>
    <w:rsid w:val="04C422A5"/>
    <w:rsid w:val="04C45C7A"/>
    <w:rsid w:val="04D70E10"/>
    <w:rsid w:val="04DB7EC8"/>
    <w:rsid w:val="04DC73FD"/>
    <w:rsid w:val="04F17F28"/>
    <w:rsid w:val="05146616"/>
    <w:rsid w:val="0522269E"/>
    <w:rsid w:val="053D0BA8"/>
    <w:rsid w:val="053E4B05"/>
    <w:rsid w:val="05571106"/>
    <w:rsid w:val="056E7567"/>
    <w:rsid w:val="058B0516"/>
    <w:rsid w:val="05954533"/>
    <w:rsid w:val="05A37387"/>
    <w:rsid w:val="05B503B8"/>
    <w:rsid w:val="05C35250"/>
    <w:rsid w:val="05C6359A"/>
    <w:rsid w:val="05DD1BEF"/>
    <w:rsid w:val="05E13DEB"/>
    <w:rsid w:val="05EE7E43"/>
    <w:rsid w:val="05FC3406"/>
    <w:rsid w:val="06000720"/>
    <w:rsid w:val="060930AF"/>
    <w:rsid w:val="06186791"/>
    <w:rsid w:val="062A52DF"/>
    <w:rsid w:val="063C59C8"/>
    <w:rsid w:val="067D4570"/>
    <w:rsid w:val="069C3981"/>
    <w:rsid w:val="06A11AF9"/>
    <w:rsid w:val="06A84124"/>
    <w:rsid w:val="06AB5B82"/>
    <w:rsid w:val="06AC2C17"/>
    <w:rsid w:val="06B96898"/>
    <w:rsid w:val="06CB76E1"/>
    <w:rsid w:val="06D17F46"/>
    <w:rsid w:val="06E6753A"/>
    <w:rsid w:val="070126D5"/>
    <w:rsid w:val="07275501"/>
    <w:rsid w:val="07353C7F"/>
    <w:rsid w:val="07367644"/>
    <w:rsid w:val="07400D2E"/>
    <w:rsid w:val="07475CB7"/>
    <w:rsid w:val="07481730"/>
    <w:rsid w:val="074A1632"/>
    <w:rsid w:val="07505CC2"/>
    <w:rsid w:val="07536C1C"/>
    <w:rsid w:val="076E27A5"/>
    <w:rsid w:val="07852070"/>
    <w:rsid w:val="079441F5"/>
    <w:rsid w:val="07B26BD9"/>
    <w:rsid w:val="07BB66B2"/>
    <w:rsid w:val="07BD1B25"/>
    <w:rsid w:val="07D20131"/>
    <w:rsid w:val="07E12400"/>
    <w:rsid w:val="07E5335B"/>
    <w:rsid w:val="08043610"/>
    <w:rsid w:val="08113849"/>
    <w:rsid w:val="08224EF3"/>
    <w:rsid w:val="082E3989"/>
    <w:rsid w:val="08402099"/>
    <w:rsid w:val="08447FEE"/>
    <w:rsid w:val="086F15E7"/>
    <w:rsid w:val="08817F38"/>
    <w:rsid w:val="0896177A"/>
    <w:rsid w:val="089D46E2"/>
    <w:rsid w:val="08AA5879"/>
    <w:rsid w:val="08C559C6"/>
    <w:rsid w:val="08DC5936"/>
    <w:rsid w:val="08E5702F"/>
    <w:rsid w:val="08FB6341"/>
    <w:rsid w:val="09171298"/>
    <w:rsid w:val="091F2102"/>
    <w:rsid w:val="09235338"/>
    <w:rsid w:val="0934296D"/>
    <w:rsid w:val="093A07EB"/>
    <w:rsid w:val="0962241D"/>
    <w:rsid w:val="096C6093"/>
    <w:rsid w:val="097975A4"/>
    <w:rsid w:val="097C5C05"/>
    <w:rsid w:val="09876EAE"/>
    <w:rsid w:val="09950760"/>
    <w:rsid w:val="09A1050B"/>
    <w:rsid w:val="09A40445"/>
    <w:rsid w:val="09A4364D"/>
    <w:rsid w:val="09A924A1"/>
    <w:rsid w:val="09AC112C"/>
    <w:rsid w:val="09AE7B77"/>
    <w:rsid w:val="09B05B8C"/>
    <w:rsid w:val="09B65D28"/>
    <w:rsid w:val="0A060088"/>
    <w:rsid w:val="0A315CC1"/>
    <w:rsid w:val="0A45311B"/>
    <w:rsid w:val="0A5E766F"/>
    <w:rsid w:val="0A6A2009"/>
    <w:rsid w:val="0A6C1263"/>
    <w:rsid w:val="0A745EA7"/>
    <w:rsid w:val="0A913898"/>
    <w:rsid w:val="0A995984"/>
    <w:rsid w:val="0A9B28F7"/>
    <w:rsid w:val="0AA83845"/>
    <w:rsid w:val="0ABF2BA9"/>
    <w:rsid w:val="0AD520CA"/>
    <w:rsid w:val="0ADF50F4"/>
    <w:rsid w:val="0AE068A2"/>
    <w:rsid w:val="0AFF39A7"/>
    <w:rsid w:val="0B004C6A"/>
    <w:rsid w:val="0B026ADB"/>
    <w:rsid w:val="0B080689"/>
    <w:rsid w:val="0B14787D"/>
    <w:rsid w:val="0B1F11AD"/>
    <w:rsid w:val="0B47112E"/>
    <w:rsid w:val="0B565DAB"/>
    <w:rsid w:val="0B677AA1"/>
    <w:rsid w:val="0B6D6DF4"/>
    <w:rsid w:val="0B752C70"/>
    <w:rsid w:val="0B8F4A51"/>
    <w:rsid w:val="0B976A93"/>
    <w:rsid w:val="0BAE5636"/>
    <w:rsid w:val="0BB14E12"/>
    <w:rsid w:val="0BC707AA"/>
    <w:rsid w:val="0BE37613"/>
    <w:rsid w:val="0BF00A21"/>
    <w:rsid w:val="0BF324EA"/>
    <w:rsid w:val="0C0B77FA"/>
    <w:rsid w:val="0C0D5BA7"/>
    <w:rsid w:val="0C236B5D"/>
    <w:rsid w:val="0C32027C"/>
    <w:rsid w:val="0C3974CA"/>
    <w:rsid w:val="0C3E367F"/>
    <w:rsid w:val="0C6E2A50"/>
    <w:rsid w:val="0C72713F"/>
    <w:rsid w:val="0C84672C"/>
    <w:rsid w:val="0C8670C7"/>
    <w:rsid w:val="0C8933C4"/>
    <w:rsid w:val="0CAE0BB1"/>
    <w:rsid w:val="0CB963C7"/>
    <w:rsid w:val="0CF0650D"/>
    <w:rsid w:val="0D0F125C"/>
    <w:rsid w:val="0D1660BA"/>
    <w:rsid w:val="0D1E0704"/>
    <w:rsid w:val="0D221BC3"/>
    <w:rsid w:val="0D2A1481"/>
    <w:rsid w:val="0D39383F"/>
    <w:rsid w:val="0D3B7260"/>
    <w:rsid w:val="0D40182B"/>
    <w:rsid w:val="0D46383D"/>
    <w:rsid w:val="0D546AF4"/>
    <w:rsid w:val="0D652C2A"/>
    <w:rsid w:val="0D774099"/>
    <w:rsid w:val="0D7D026D"/>
    <w:rsid w:val="0DA26F75"/>
    <w:rsid w:val="0DAC01CF"/>
    <w:rsid w:val="0DAC566B"/>
    <w:rsid w:val="0DC92108"/>
    <w:rsid w:val="0E033738"/>
    <w:rsid w:val="0E03673F"/>
    <w:rsid w:val="0E0852E0"/>
    <w:rsid w:val="0E093E9E"/>
    <w:rsid w:val="0E112FC3"/>
    <w:rsid w:val="0E286DAA"/>
    <w:rsid w:val="0E322C2A"/>
    <w:rsid w:val="0E4A6A89"/>
    <w:rsid w:val="0E5B1715"/>
    <w:rsid w:val="0E5E5242"/>
    <w:rsid w:val="0E6857AE"/>
    <w:rsid w:val="0E734CDE"/>
    <w:rsid w:val="0E7E1B21"/>
    <w:rsid w:val="0E9C725F"/>
    <w:rsid w:val="0EB8578B"/>
    <w:rsid w:val="0EB94924"/>
    <w:rsid w:val="0ED6488A"/>
    <w:rsid w:val="0EE10181"/>
    <w:rsid w:val="0F0A2BAD"/>
    <w:rsid w:val="0F142424"/>
    <w:rsid w:val="0F2B249C"/>
    <w:rsid w:val="0F396773"/>
    <w:rsid w:val="0F3C65DC"/>
    <w:rsid w:val="0F416352"/>
    <w:rsid w:val="0F443FD2"/>
    <w:rsid w:val="0F4D01B9"/>
    <w:rsid w:val="0F4E6BE1"/>
    <w:rsid w:val="0F5FE27B"/>
    <w:rsid w:val="0F620FEC"/>
    <w:rsid w:val="0F623CB4"/>
    <w:rsid w:val="0F62639C"/>
    <w:rsid w:val="0F7A3989"/>
    <w:rsid w:val="0F8903ED"/>
    <w:rsid w:val="0F8E4671"/>
    <w:rsid w:val="0F916D07"/>
    <w:rsid w:val="0F9968E9"/>
    <w:rsid w:val="0F9D00DD"/>
    <w:rsid w:val="0FA35611"/>
    <w:rsid w:val="0FAB4F78"/>
    <w:rsid w:val="0FB53F90"/>
    <w:rsid w:val="0FCF118C"/>
    <w:rsid w:val="0FCF6B37"/>
    <w:rsid w:val="0FD128D0"/>
    <w:rsid w:val="0FD76EA1"/>
    <w:rsid w:val="0FD90EC4"/>
    <w:rsid w:val="0FE19140"/>
    <w:rsid w:val="0FE70F31"/>
    <w:rsid w:val="0FF1303B"/>
    <w:rsid w:val="0FFA07FC"/>
    <w:rsid w:val="0FFB5717"/>
    <w:rsid w:val="101A7BD4"/>
    <w:rsid w:val="10254B42"/>
    <w:rsid w:val="102C683B"/>
    <w:rsid w:val="10324A3D"/>
    <w:rsid w:val="104557FE"/>
    <w:rsid w:val="1052164C"/>
    <w:rsid w:val="106D49F1"/>
    <w:rsid w:val="106E087E"/>
    <w:rsid w:val="108D25A7"/>
    <w:rsid w:val="109A0D6B"/>
    <w:rsid w:val="109A7839"/>
    <w:rsid w:val="10A960BF"/>
    <w:rsid w:val="10C6541C"/>
    <w:rsid w:val="10D40006"/>
    <w:rsid w:val="10D62250"/>
    <w:rsid w:val="10F91E53"/>
    <w:rsid w:val="10FD228B"/>
    <w:rsid w:val="11083A96"/>
    <w:rsid w:val="111A01D1"/>
    <w:rsid w:val="11490567"/>
    <w:rsid w:val="11A1329E"/>
    <w:rsid w:val="11A448A1"/>
    <w:rsid w:val="11A67980"/>
    <w:rsid w:val="11B408A4"/>
    <w:rsid w:val="11BA18B5"/>
    <w:rsid w:val="11C4343D"/>
    <w:rsid w:val="11CC28AE"/>
    <w:rsid w:val="11CF7D1E"/>
    <w:rsid w:val="11DC21B9"/>
    <w:rsid w:val="11E50EAC"/>
    <w:rsid w:val="11E632A5"/>
    <w:rsid w:val="120B4444"/>
    <w:rsid w:val="12192232"/>
    <w:rsid w:val="12195CFF"/>
    <w:rsid w:val="12334269"/>
    <w:rsid w:val="123E7D92"/>
    <w:rsid w:val="123F05AD"/>
    <w:rsid w:val="1240660A"/>
    <w:rsid w:val="12506D9E"/>
    <w:rsid w:val="1254046C"/>
    <w:rsid w:val="12623DA2"/>
    <w:rsid w:val="1266612A"/>
    <w:rsid w:val="12680EA5"/>
    <w:rsid w:val="127D544B"/>
    <w:rsid w:val="1286787B"/>
    <w:rsid w:val="12971F94"/>
    <w:rsid w:val="12B9054E"/>
    <w:rsid w:val="12C014F4"/>
    <w:rsid w:val="12CA655A"/>
    <w:rsid w:val="12CB7E93"/>
    <w:rsid w:val="12E07050"/>
    <w:rsid w:val="12E2542A"/>
    <w:rsid w:val="12E7150D"/>
    <w:rsid w:val="12EE7CBC"/>
    <w:rsid w:val="13004F3A"/>
    <w:rsid w:val="13103A17"/>
    <w:rsid w:val="13192560"/>
    <w:rsid w:val="131A3282"/>
    <w:rsid w:val="132B2D72"/>
    <w:rsid w:val="13345B9B"/>
    <w:rsid w:val="13351BD0"/>
    <w:rsid w:val="13485554"/>
    <w:rsid w:val="13595240"/>
    <w:rsid w:val="135F7C0A"/>
    <w:rsid w:val="136103D3"/>
    <w:rsid w:val="136C7B62"/>
    <w:rsid w:val="136F6D7F"/>
    <w:rsid w:val="139A6D1D"/>
    <w:rsid w:val="13A9019D"/>
    <w:rsid w:val="13B64DB1"/>
    <w:rsid w:val="13C13811"/>
    <w:rsid w:val="13C90411"/>
    <w:rsid w:val="13D2732C"/>
    <w:rsid w:val="13DB458D"/>
    <w:rsid w:val="13DE57AC"/>
    <w:rsid w:val="13F51883"/>
    <w:rsid w:val="14002D86"/>
    <w:rsid w:val="140B69B2"/>
    <w:rsid w:val="142707F3"/>
    <w:rsid w:val="142C1944"/>
    <w:rsid w:val="142D2812"/>
    <w:rsid w:val="14581832"/>
    <w:rsid w:val="146E2340"/>
    <w:rsid w:val="14701190"/>
    <w:rsid w:val="147F57DF"/>
    <w:rsid w:val="148665DB"/>
    <w:rsid w:val="1491353A"/>
    <w:rsid w:val="149E7590"/>
    <w:rsid w:val="14A060B7"/>
    <w:rsid w:val="14C22379"/>
    <w:rsid w:val="14EB71E2"/>
    <w:rsid w:val="14F160BF"/>
    <w:rsid w:val="14F62DB4"/>
    <w:rsid w:val="153B7393"/>
    <w:rsid w:val="1560510E"/>
    <w:rsid w:val="15642A1B"/>
    <w:rsid w:val="156634AA"/>
    <w:rsid w:val="15670424"/>
    <w:rsid w:val="157C62EA"/>
    <w:rsid w:val="158A74E4"/>
    <w:rsid w:val="15A06110"/>
    <w:rsid w:val="15F40CE2"/>
    <w:rsid w:val="160D7756"/>
    <w:rsid w:val="161D09B5"/>
    <w:rsid w:val="16202C6F"/>
    <w:rsid w:val="16210105"/>
    <w:rsid w:val="16231864"/>
    <w:rsid w:val="162C60A8"/>
    <w:rsid w:val="16522C5F"/>
    <w:rsid w:val="165446E1"/>
    <w:rsid w:val="16612C47"/>
    <w:rsid w:val="16992A18"/>
    <w:rsid w:val="16A34B46"/>
    <w:rsid w:val="16AC428F"/>
    <w:rsid w:val="16CC48BD"/>
    <w:rsid w:val="16D74D80"/>
    <w:rsid w:val="16DF3189"/>
    <w:rsid w:val="16E11499"/>
    <w:rsid w:val="171009CA"/>
    <w:rsid w:val="17197F22"/>
    <w:rsid w:val="172A1F3F"/>
    <w:rsid w:val="17344939"/>
    <w:rsid w:val="17376ADD"/>
    <w:rsid w:val="173D5F42"/>
    <w:rsid w:val="1751300C"/>
    <w:rsid w:val="175E554C"/>
    <w:rsid w:val="176747B0"/>
    <w:rsid w:val="176975AE"/>
    <w:rsid w:val="176D5BE6"/>
    <w:rsid w:val="176F2A4A"/>
    <w:rsid w:val="17A37444"/>
    <w:rsid w:val="17AB7703"/>
    <w:rsid w:val="17CD532D"/>
    <w:rsid w:val="17E14B3E"/>
    <w:rsid w:val="17E539C2"/>
    <w:rsid w:val="17E56525"/>
    <w:rsid w:val="17F57904"/>
    <w:rsid w:val="180439C3"/>
    <w:rsid w:val="180C1676"/>
    <w:rsid w:val="18123BD4"/>
    <w:rsid w:val="18294296"/>
    <w:rsid w:val="18347B16"/>
    <w:rsid w:val="18375784"/>
    <w:rsid w:val="18376ADE"/>
    <w:rsid w:val="185766D0"/>
    <w:rsid w:val="186348DE"/>
    <w:rsid w:val="18851E6E"/>
    <w:rsid w:val="18883C19"/>
    <w:rsid w:val="189E0CBA"/>
    <w:rsid w:val="18AA5511"/>
    <w:rsid w:val="18AB6E35"/>
    <w:rsid w:val="18AB7764"/>
    <w:rsid w:val="18DE0EB5"/>
    <w:rsid w:val="18F24D44"/>
    <w:rsid w:val="18F32BA9"/>
    <w:rsid w:val="190D7F4E"/>
    <w:rsid w:val="190E3D94"/>
    <w:rsid w:val="192A4E07"/>
    <w:rsid w:val="192B61CA"/>
    <w:rsid w:val="192C3CA7"/>
    <w:rsid w:val="19350CD9"/>
    <w:rsid w:val="1936416B"/>
    <w:rsid w:val="19367224"/>
    <w:rsid w:val="19377CE3"/>
    <w:rsid w:val="193E3BB5"/>
    <w:rsid w:val="19490EBC"/>
    <w:rsid w:val="194E1D57"/>
    <w:rsid w:val="19512165"/>
    <w:rsid w:val="19551D20"/>
    <w:rsid w:val="19740718"/>
    <w:rsid w:val="1989047F"/>
    <w:rsid w:val="199217C4"/>
    <w:rsid w:val="19993273"/>
    <w:rsid w:val="199E1346"/>
    <w:rsid w:val="19A04A30"/>
    <w:rsid w:val="19AC425E"/>
    <w:rsid w:val="19C625A2"/>
    <w:rsid w:val="19CA14FC"/>
    <w:rsid w:val="19CB0F65"/>
    <w:rsid w:val="19CC03D6"/>
    <w:rsid w:val="19D0662A"/>
    <w:rsid w:val="19EE2675"/>
    <w:rsid w:val="19F04B99"/>
    <w:rsid w:val="19FB397B"/>
    <w:rsid w:val="1A1666DD"/>
    <w:rsid w:val="1A2960B0"/>
    <w:rsid w:val="1A537EA7"/>
    <w:rsid w:val="1A556D09"/>
    <w:rsid w:val="1A567EAE"/>
    <w:rsid w:val="1A663E13"/>
    <w:rsid w:val="1A9B738E"/>
    <w:rsid w:val="1AB8204B"/>
    <w:rsid w:val="1AD025DE"/>
    <w:rsid w:val="1AD04364"/>
    <w:rsid w:val="1AD54439"/>
    <w:rsid w:val="1ADA19BF"/>
    <w:rsid w:val="1AEA1CA0"/>
    <w:rsid w:val="1AF755E2"/>
    <w:rsid w:val="1B0F6490"/>
    <w:rsid w:val="1B1C515E"/>
    <w:rsid w:val="1B404984"/>
    <w:rsid w:val="1B5057EE"/>
    <w:rsid w:val="1B7840C9"/>
    <w:rsid w:val="1B941870"/>
    <w:rsid w:val="1BB16DAA"/>
    <w:rsid w:val="1BD26E14"/>
    <w:rsid w:val="1BE41E22"/>
    <w:rsid w:val="1C07782F"/>
    <w:rsid w:val="1C0A6240"/>
    <w:rsid w:val="1C1033B6"/>
    <w:rsid w:val="1C3C1621"/>
    <w:rsid w:val="1C3F22E6"/>
    <w:rsid w:val="1C4A67CB"/>
    <w:rsid w:val="1C4C6D98"/>
    <w:rsid w:val="1C7E5202"/>
    <w:rsid w:val="1C95592C"/>
    <w:rsid w:val="1C974F1B"/>
    <w:rsid w:val="1CA83577"/>
    <w:rsid w:val="1CB56684"/>
    <w:rsid w:val="1CC53C17"/>
    <w:rsid w:val="1CE1188B"/>
    <w:rsid w:val="1CE80BAF"/>
    <w:rsid w:val="1D0075A2"/>
    <w:rsid w:val="1D086C6A"/>
    <w:rsid w:val="1D1856D8"/>
    <w:rsid w:val="1D3073E6"/>
    <w:rsid w:val="1D362D11"/>
    <w:rsid w:val="1D477800"/>
    <w:rsid w:val="1D5425C5"/>
    <w:rsid w:val="1D5515AA"/>
    <w:rsid w:val="1D6965EF"/>
    <w:rsid w:val="1D6D3BD7"/>
    <w:rsid w:val="1D703C67"/>
    <w:rsid w:val="1D7765C3"/>
    <w:rsid w:val="1D814AC1"/>
    <w:rsid w:val="1D886B4A"/>
    <w:rsid w:val="1D8E5870"/>
    <w:rsid w:val="1D997F60"/>
    <w:rsid w:val="1DA726F7"/>
    <w:rsid w:val="1DA9215A"/>
    <w:rsid w:val="1DAE2BA9"/>
    <w:rsid w:val="1DC05121"/>
    <w:rsid w:val="1DE10806"/>
    <w:rsid w:val="1DFC0F74"/>
    <w:rsid w:val="1E093B5A"/>
    <w:rsid w:val="1E0F68BD"/>
    <w:rsid w:val="1E230BF5"/>
    <w:rsid w:val="1E2A0F75"/>
    <w:rsid w:val="1E3B01C4"/>
    <w:rsid w:val="1E576262"/>
    <w:rsid w:val="1E5B52C8"/>
    <w:rsid w:val="1E612BFC"/>
    <w:rsid w:val="1E64779D"/>
    <w:rsid w:val="1E741A38"/>
    <w:rsid w:val="1E9070F2"/>
    <w:rsid w:val="1EA21754"/>
    <w:rsid w:val="1EAB6877"/>
    <w:rsid w:val="1ECC22D6"/>
    <w:rsid w:val="1EE933BA"/>
    <w:rsid w:val="1EF5589C"/>
    <w:rsid w:val="1F075EDF"/>
    <w:rsid w:val="1F217353"/>
    <w:rsid w:val="1F2F5AE9"/>
    <w:rsid w:val="1F490683"/>
    <w:rsid w:val="1F5C3488"/>
    <w:rsid w:val="1F5E42A1"/>
    <w:rsid w:val="1F64375B"/>
    <w:rsid w:val="1F686B91"/>
    <w:rsid w:val="1F75572C"/>
    <w:rsid w:val="1F7B1A9B"/>
    <w:rsid w:val="1F8A7BEB"/>
    <w:rsid w:val="1F8F2C6A"/>
    <w:rsid w:val="1FB676D6"/>
    <w:rsid w:val="1FC74B99"/>
    <w:rsid w:val="1FE745D5"/>
    <w:rsid w:val="1FE81EB9"/>
    <w:rsid w:val="1FE9588F"/>
    <w:rsid w:val="1FF133CF"/>
    <w:rsid w:val="200E58D8"/>
    <w:rsid w:val="200F42FC"/>
    <w:rsid w:val="201F1B43"/>
    <w:rsid w:val="20235A33"/>
    <w:rsid w:val="203342E9"/>
    <w:rsid w:val="20390E43"/>
    <w:rsid w:val="208E13D7"/>
    <w:rsid w:val="208E7A18"/>
    <w:rsid w:val="20917596"/>
    <w:rsid w:val="20980C39"/>
    <w:rsid w:val="209A6091"/>
    <w:rsid w:val="209B3B9F"/>
    <w:rsid w:val="209B75D4"/>
    <w:rsid w:val="20A73A97"/>
    <w:rsid w:val="20E341FA"/>
    <w:rsid w:val="21074E2F"/>
    <w:rsid w:val="210A5BF3"/>
    <w:rsid w:val="212F349D"/>
    <w:rsid w:val="213079CB"/>
    <w:rsid w:val="21370314"/>
    <w:rsid w:val="213F7D36"/>
    <w:rsid w:val="21801420"/>
    <w:rsid w:val="21827421"/>
    <w:rsid w:val="218D1B24"/>
    <w:rsid w:val="21C97A05"/>
    <w:rsid w:val="21CC74EA"/>
    <w:rsid w:val="21D37178"/>
    <w:rsid w:val="21D45F9F"/>
    <w:rsid w:val="21D578A6"/>
    <w:rsid w:val="21D74AE3"/>
    <w:rsid w:val="22080616"/>
    <w:rsid w:val="220D6708"/>
    <w:rsid w:val="22116003"/>
    <w:rsid w:val="2212450F"/>
    <w:rsid w:val="2213413C"/>
    <w:rsid w:val="225054D3"/>
    <w:rsid w:val="22553AD4"/>
    <w:rsid w:val="226C4598"/>
    <w:rsid w:val="2276532C"/>
    <w:rsid w:val="229C6B55"/>
    <w:rsid w:val="22BF0296"/>
    <w:rsid w:val="22C82C53"/>
    <w:rsid w:val="22CF524A"/>
    <w:rsid w:val="22D730BB"/>
    <w:rsid w:val="22D85F95"/>
    <w:rsid w:val="22F14062"/>
    <w:rsid w:val="23000B1E"/>
    <w:rsid w:val="2307721E"/>
    <w:rsid w:val="23241E8F"/>
    <w:rsid w:val="23320C6A"/>
    <w:rsid w:val="233958B4"/>
    <w:rsid w:val="233A6970"/>
    <w:rsid w:val="233E3119"/>
    <w:rsid w:val="23467A58"/>
    <w:rsid w:val="234B4CCA"/>
    <w:rsid w:val="23520371"/>
    <w:rsid w:val="235B0E9C"/>
    <w:rsid w:val="236477BF"/>
    <w:rsid w:val="23704B64"/>
    <w:rsid w:val="23736584"/>
    <w:rsid w:val="23795542"/>
    <w:rsid w:val="239A25C8"/>
    <w:rsid w:val="23A06181"/>
    <w:rsid w:val="23A37DA2"/>
    <w:rsid w:val="23A4647D"/>
    <w:rsid w:val="23AD7F64"/>
    <w:rsid w:val="23B0778F"/>
    <w:rsid w:val="23D76489"/>
    <w:rsid w:val="23F81749"/>
    <w:rsid w:val="24094886"/>
    <w:rsid w:val="24166925"/>
    <w:rsid w:val="24193B6D"/>
    <w:rsid w:val="24205B82"/>
    <w:rsid w:val="242D5E33"/>
    <w:rsid w:val="24312C49"/>
    <w:rsid w:val="24352529"/>
    <w:rsid w:val="24421048"/>
    <w:rsid w:val="2445767F"/>
    <w:rsid w:val="24784606"/>
    <w:rsid w:val="249124FE"/>
    <w:rsid w:val="24A17919"/>
    <w:rsid w:val="24BD1BCA"/>
    <w:rsid w:val="24C60776"/>
    <w:rsid w:val="24E100A2"/>
    <w:rsid w:val="25081C9D"/>
    <w:rsid w:val="250824DF"/>
    <w:rsid w:val="2526261F"/>
    <w:rsid w:val="2531763A"/>
    <w:rsid w:val="25377ACD"/>
    <w:rsid w:val="253D20A2"/>
    <w:rsid w:val="254E74FA"/>
    <w:rsid w:val="25507DA5"/>
    <w:rsid w:val="255E3EFF"/>
    <w:rsid w:val="256D236B"/>
    <w:rsid w:val="256E44C1"/>
    <w:rsid w:val="2584327C"/>
    <w:rsid w:val="25936DCF"/>
    <w:rsid w:val="259550F9"/>
    <w:rsid w:val="25BF7C22"/>
    <w:rsid w:val="25DA2BE4"/>
    <w:rsid w:val="25F15381"/>
    <w:rsid w:val="25F1574B"/>
    <w:rsid w:val="25F31543"/>
    <w:rsid w:val="25F71D3B"/>
    <w:rsid w:val="260C2689"/>
    <w:rsid w:val="2610789E"/>
    <w:rsid w:val="26114324"/>
    <w:rsid w:val="26210033"/>
    <w:rsid w:val="263B2DA7"/>
    <w:rsid w:val="265D7EA4"/>
    <w:rsid w:val="2679768E"/>
    <w:rsid w:val="26AB101A"/>
    <w:rsid w:val="26B33793"/>
    <w:rsid w:val="26BA3314"/>
    <w:rsid w:val="26BC541C"/>
    <w:rsid w:val="26C55D02"/>
    <w:rsid w:val="26F91518"/>
    <w:rsid w:val="270A2414"/>
    <w:rsid w:val="270E1380"/>
    <w:rsid w:val="270E5445"/>
    <w:rsid w:val="2726116A"/>
    <w:rsid w:val="272D6C31"/>
    <w:rsid w:val="27354FC5"/>
    <w:rsid w:val="27387E9D"/>
    <w:rsid w:val="27506098"/>
    <w:rsid w:val="275D026A"/>
    <w:rsid w:val="27637A63"/>
    <w:rsid w:val="27725B3A"/>
    <w:rsid w:val="277B1DBF"/>
    <w:rsid w:val="278220FD"/>
    <w:rsid w:val="278E006C"/>
    <w:rsid w:val="27911002"/>
    <w:rsid w:val="27967571"/>
    <w:rsid w:val="27A10C04"/>
    <w:rsid w:val="27AD6AA3"/>
    <w:rsid w:val="27B209AF"/>
    <w:rsid w:val="27E41AA5"/>
    <w:rsid w:val="27F379E9"/>
    <w:rsid w:val="28084895"/>
    <w:rsid w:val="28200C47"/>
    <w:rsid w:val="282A15F8"/>
    <w:rsid w:val="282E2937"/>
    <w:rsid w:val="283A4B3D"/>
    <w:rsid w:val="284B7030"/>
    <w:rsid w:val="284D0B93"/>
    <w:rsid w:val="28656616"/>
    <w:rsid w:val="286738B5"/>
    <w:rsid w:val="28757F52"/>
    <w:rsid w:val="2888780F"/>
    <w:rsid w:val="288D1A36"/>
    <w:rsid w:val="288F5652"/>
    <w:rsid w:val="2899597E"/>
    <w:rsid w:val="289A5F6F"/>
    <w:rsid w:val="28B126DC"/>
    <w:rsid w:val="28C0582B"/>
    <w:rsid w:val="28C0666B"/>
    <w:rsid w:val="28CD7A11"/>
    <w:rsid w:val="28CF18E7"/>
    <w:rsid w:val="28D2530C"/>
    <w:rsid w:val="28E15C6C"/>
    <w:rsid w:val="28F31FDB"/>
    <w:rsid w:val="28FE2190"/>
    <w:rsid w:val="290616AE"/>
    <w:rsid w:val="290F0B01"/>
    <w:rsid w:val="292376DB"/>
    <w:rsid w:val="29251507"/>
    <w:rsid w:val="292B6CB3"/>
    <w:rsid w:val="29353D69"/>
    <w:rsid w:val="2936589F"/>
    <w:rsid w:val="29453452"/>
    <w:rsid w:val="29464912"/>
    <w:rsid w:val="29465A9C"/>
    <w:rsid w:val="29482E49"/>
    <w:rsid w:val="296A19BB"/>
    <w:rsid w:val="297B6171"/>
    <w:rsid w:val="298D09B1"/>
    <w:rsid w:val="29983ADC"/>
    <w:rsid w:val="299901E2"/>
    <w:rsid w:val="299E0A7E"/>
    <w:rsid w:val="29A13C97"/>
    <w:rsid w:val="29B4470F"/>
    <w:rsid w:val="29B611BD"/>
    <w:rsid w:val="29DF03C8"/>
    <w:rsid w:val="29E16000"/>
    <w:rsid w:val="29E24917"/>
    <w:rsid w:val="29E46C5E"/>
    <w:rsid w:val="29FC1FFF"/>
    <w:rsid w:val="2A191A51"/>
    <w:rsid w:val="2A1C1124"/>
    <w:rsid w:val="2A1C3FE8"/>
    <w:rsid w:val="2A230453"/>
    <w:rsid w:val="2A2406D2"/>
    <w:rsid w:val="2A4D2BCF"/>
    <w:rsid w:val="2A5F45FA"/>
    <w:rsid w:val="2A7F4C97"/>
    <w:rsid w:val="2A807BA7"/>
    <w:rsid w:val="2A81078B"/>
    <w:rsid w:val="2A9C4A21"/>
    <w:rsid w:val="2A9D7E13"/>
    <w:rsid w:val="2AAB17DC"/>
    <w:rsid w:val="2AC048B3"/>
    <w:rsid w:val="2B0261D9"/>
    <w:rsid w:val="2B0753F0"/>
    <w:rsid w:val="2B1D1522"/>
    <w:rsid w:val="2B220C08"/>
    <w:rsid w:val="2B253FF0"/>
    <w:rsid w:val="2B2619D2"/>
    <w:rsid w:val="2B3D3047"/>
    <w:rsid w:val="2B3E646C"/>
    <w:rsid w:val="2B447307"/>
    <w:rsid w:val="2B4672E8"/>
    <w:rsid w:val="2B5155D0"/>
    <w:rsid w:val="2B540007"/>
    <w:rsid w:val="2B5506D7"/>
    <w:rsid w:val="2B5D05DC"/>
    <w:rsid w:val="2B646E47"/>
    <w:rsid w:val="2B7A02F2"/>
    <w:rsid w:val="2B7B1843"/>
    <w:rsid w:val="2B7E4229"/>
    <w:rsid w:val="2B920F05"/>
    <w:rsid w:val="2BA244D3"/>
    <w:rsid w:val="2BA81B61"/>
    <w:rsid w:val="2BA9744A"/>
    <w:rsid w:val="2BAFF24B"/>
    <w:rsid w:val="2BBF6186"/>
    <w:rsid w:val="2BD2329F"/>
    <w:rsid w:val="2BD8418E"/>
    <w:rsid w:val="2BDF1FEC"/>
    <w:rsid w:val="2BE8596A"/>
    <w:rsid w:val="2BF26E07"/>
    <w:rsid w:val="2BF94873"/>
    <w:rsid w:val="2BFD159C"/>
    <w:rsid w:val="2BFF3CDE"/>
    <w:rsid w:val="2C174F1B"/>
    <w:rsid w:val="2C4C2174"/>
    <w:rsid w:val="2C773945"/>
    <w:rsid w:val="2C8160A8"/>
    <w:rsid w:val="2C8719DA"/>
    <w:rsid w:val="2C8E3950"/>
    <w:rsid w:val="2C97582D"/>
    <w:rsid w:val="2CA570E9"/>
    <w:rsid w:val="2CBF670B"/>
    <w:rsid w:val="2CC5058E"/>
    <w:rsid w:val="2CE065F5"/>
    <w:rsid w:val="2CF9562B"/>
    <w:rsid w:val="2CFC3914"/>
    <w:rsid w:val="2D0154AC"/>
    <w:rsid w:val="2D16762B"/>
    <w:rsid w:val="2D1D3D45"/>
    <w:rsid w:val="2D2032B2"/>
    <w:rsid w:val="2D204FDA"/>
    <w:rsid w:val="2D2366F9"/>
    <w:rsid w:val="2D3A2E07"/>
    <w:rsid w:val="2D491FB8"/>
    <w:rsid w:val="2D54318C"/>
    <w:rsid w:val="2D623EFB"/>
    <w:rsid w:val="2D79778A"/>
    <w:rsid w:val="2D7C12DA"/>
    <w:rsid w:val="2D7C1668"/>
    <w:rsid w:val="2D9B6132"/>
    <w:rsid w:val="2DA4D14D"/>
    <w:rsid w:val="2DAA2BDC"/>
    <w:rsid w:val="2DB45CCB"/>
    <w:rsid w:val="2DCA2EA2"/>
    <w:rsid w:val="2DF069A4"/>
    <w:rsid w:val="2DF774EB"/>
    <w:rsid w:val="2E263283"/>
    <w:rsid w:val="2E2874CE"/>
    <w:rsid w:val="2E2A3F43"/>
    <w:rsid w:val="2E467195"/>
    <w:rsid w:val="2E4979E4"/>
    <w:rsid w:val="2E570C2F"/>
    <w:rsid w:val="2E614860"/>
    <w:rsid w:val="2E8076AB"/>
    <w:rsid w:val="2E8E55CF"/>
    <w:rsid w:val="2E8F60AA"/>
    <w:rsid w:val="2EA60F6A"/>
    <w:rsid w:val="2EAA2652"/>
    <w:rsid w:val="2EAC2E7D"/>
    <w:rsid w:val="2ECC6BDA"/>
    <w:rsid w:val="2ECD0BFB"/>
    <w:rsid w:val="2EDB1B9E"/>
    <w:rsid w:val="2EDD7258"/>
    <w:rsid w:val="2EE45A4B"/>
    <w:rsid w:val="2EE67EDC"/>
    <w:rsid w:val="2F047CBC"/>
    <w:rsid w:val="2F08316E"/>
    <w:rsid w:val="2F1545E7"/>
    <w:rsid w:val="2F171976"/>
    <w:rsid w:val="2F190D08"/>
    <w:rsid w:val="2F213DF3"/>
    <w:rsid w:val="2F300385"/>
    <w:rsid w:val="2F310FCE"/>
    <w:rsid w:val="2F321CB9"/>
    <w:rsid w:val="2F4F3ADB"/>
    <w:rsid w:val="2F5342DA"/>
    <w:rsid w:val="2F5806D6"/>
    <w:rsid w:val="2F5C1466"/>
    <w:rsid w:val="2F637FF2"/>
    <w:rsid w:val="2F6413B6"/>
    <w:rsid w:val="2F721400"/>
    <w:rsid w:val="2F7B42FE"/>
    <w:rsid w:val="2F8C0790"/>
    <w:rsid w:val="2F905FF0"/>
    <w:rsid w:val="2FA908E1"/>
    <w:rsid w:val="2FBD158E"/>
    <w:rsid w:val="2FBF4853"/>
    <w:rsid w:val="2FC263B3"/>
    <w:rsid w:val="2FDC0297"/>
    <w:rsid w:val="30446079"/>
    <w:rsid w:val="304D4B66"/>
    <w:rsid w:val="307548F0"/>
    <w:rsid w:val="307712D4"/>
    <w:rsid w:val="307E7FC0"/>
    <w:rsid w:val="308F53EA"/>
    <w:rsid w:val="309A2182"/>
    <w:rsid w:val="30AE49C9"/>
    <w:rsid w:val="30B624F1"/>
    <w:rsid w:val="30C931C1"/>
    <w:rsid w:val="30E542F8"/>
    <w:rsid w:val="30EC0AE7"/>
    <w:rsid w:val="31291C17"/>
    <w:rsid w:val="312B680C"/>
    <w:rsid w:val="31331F2E"/>
    <w:rsid w:val="3142245D"/>
    <w:rsid w:val="314B6463"/>
    <w:rsid w:val="316236B1"/>
    <w:rsid w:val="317246B9"/>
    <w:rsid w:val="3180436F"/>
    <w:rsid w:val="318A52C4"/>
    <w:rsid w:val="318B71AD"/>
    <w:rsid w:val="31973197"/>
    <w:rsid w:val="319A5C6B"/>
    <w:rsid w:val="31A07E13"/>
    <w:rsid w:val="31AA35CA"/>
    <w:rsid w:val="31B14C05"/>
    <w:rsid w:val="31C16C84"/>
    <w:rsid w:val="31C251AA"/>
    <w:rsid w:val="32016CE9"/>
    <w:rsid w:val="323D594C"/>
    <w:rsid w:val="323F1775"/>
    <w:rsid w:val="324B3007"/>
    <w:rsid w:val="32690122"/>
    <w:rsid w:val="32981FB9"/>
    <w:rsid w:val="32A17748"/>
    <w:rsid w:val="32A7649C"/>
    <w:rsid w:val="32B51505"/>
    <w:rsid w:val="32C6780B"/>
    <w:rsid w:val="32DC64B7"/>
    <w:rsid w:val="32E10C8C"/>
    <w:rsid w:val="32F52993"/>
    <w:rsid w:val="32F64D19"/>
    <w:rsid w:val="33135FFD"/>
    <w:rsid w:val="331E5CA4"/>
    <w:rsid w:val="332D4644"/>
    <w:rsid w:val="33385D9B"/>
    <w:rsid w:val="334A664D"/>
    <w:rsid w:val="33511A62"/>
    <w:rsid w:val="33602A12"/>
    <w:rsid w:val="33806BDD"/>
    <w:rsid w:val="33960ACA"/>
    <w:rsid w:val="33A03360"/>
    <w:rsid w:val="33B61773"/>
    <w:rsid w:val="33B62DE5"/>
    <w:rsid w:val="33D348D6"/>
    <w:rsid w:val="33D703E6"/>
    <w:rsid w:val="33DB2FF4"/>
    <w:rsid w:val="33E938E8"/>
    <w:rsid w:val="34003499"/>
    <w:rsid w:val="340361F3"/>
    <w:rsid w:val="34237775"/>
    <w:rsid w:val="34292329"/>
    <w:rsid w:val="342B15BA"/>
    <w:rsid w:val="343357BB"/>
    <w:rsid w:val="34414943"/>
    <w:rsid w:val="345C606D"/>
    <w:rsid w:val="346553BF"/>
    <w:rsid w:val="3466558A"/>
    <w:rsid w:val="34687CCD"/>
    <w:rsid w:val="34A275F5"/>
    <w:rsid w:val="34CC3F19"/>
    <w:rsid w:val="34F732B1"/>
    <w:rsid w:val="350329DE"/>
    <w:rsid w:val="350766B6"/>
    <w:rsid w:val="35346D9E"/>
    <w:rsid w:val="353D1EC0"/>
    <w:rsid w:val="35461B90"/>
    <w:rsid w:val="35550EF4"/>
    <w:rsid w:val="35615CE8"/>
    <w:rsid w:val="356A6A08"/>
    <w:rsid w:val="35716FDC"/>
    <w:rsid w:val="3577079B"/>
    <w:rsid w:val="35940BD6"/>
    <w:rsid w:val="35976D8B"/>
    <w:rsid w:val="35A71F13"/>
    <w:rsid w:val="35BE3DE5"/>
    <w:rsid w:val="35D50C22"/>
    <w:rsid w:val="35D93691"/>
    <w:rsid w:val="35E05AF5"/>
    <w:rsid w:val="35EF0AAA"/>
    <w:rsid w:val="35FE2E9E"/>
    <w:rsid w:val="36143BDF"/>
    <w:rsid w:val="361E2E38"/>
    <w:rsid w:val="3620296B"/>
    <w:rsid w:val="36282B68"/>
    <w:rsid w:val="363B12C7"/>
    <w:rsid w:val="3663525C"/>
    <w:rsid w:val="36831E81"/>
    <w:rsid w:val="3684052E"/>
    <w:rsid w:val="36843F8E"/>
    <w:rsid w:val="36861A17"/>
    <w:rsid w:val="36875E78"/>
    <w:rsid w:val="368D7134"/>
    <w:rsid w:val="368E4C10"/>
    <w:rsid w:val="36925FD6"/>
    <w:rsid w:val="369535A4"/>
    <w:rsid w:val="369C5183"/>
    <w:rsid w:val="36CA0372"/>
    <w:rsid w:val="36F35EE5"/>
    <w:rsid w:val="36FC42F6"/>
    <w:rsid w:val="37214E10"/>
    <w:rsid w:val="375B7B44"/>
    <w:rsid w:val="376065F5"/>
    <w:rsid w:val="37627952"/>
    <w:rsid w:val="37715EA1"/>
    <w:rsid w:val="3775287E"/>
    <w:rsid w:val="377676D8"/>
    <w:rsid w:val="37971EA9"/>
    <w:rsid w:val="3798703D"/>
    <w:rsid w:val="37A60173"/>
    <w:rsid w:val="37AA3805"/>
    <w:rsid w:val="37BF6197"/>
    <w:rsid w:val="37CF4821"/>
    <w:rsid w:val="37F274DF"/>
    <w:rsid w:val="381A5DB5"/>
    <w:rsid w:val="38221DB4"/>
    <w:rsid w:val="38332DAF"/>
    <w:rsid w:val="383A4F7B"/>
    <w:rsid w:val="38566331"/>
    <w:rsid w:val="38580ABD"/>
    <w:rsid w:val="38593AE0"/>
    <w:rsid w:val="385B64F4"/>
    <w:rsid w:val="385F0FAA"/>
    <w:rsid w:val="38600EB2"/>
    <w:rsid w:val="386E6C08"/>
    <w:rsid w:val="387172C3"/>
    <w:rsid w:val="38776F06"/>
    <w:rsid w:val="388C3032"/>
    <w:rsid w:val="38991974"/>
    <w:rsid w:val="38A23607"/>
    <w:rsid w:val="38BB03C4"/>
    <w:rsid w:val="38C46F91"/>
    <w:rsid w:val="38C50B56"/>
    <w:rsid w:val="38CF6CE9"/>
    <w:rsid w:val="38D52DEE"/>
    <w:rsid w:val="38F00C9C"/>
    <w:rsid w:val="38F55C22"/>
    <w:rsid w:val="38FD4E17"/>
    <w:rsid w:val="39017F6B"/>
    <w:rsid w:val="39070CCD"/>
    <w:rsid w:val="392D683B"/>
    <w:rsid w:val="39394F59"/>
    <w:rsid w:val="3939694C"/>
    <w:rsid w:val="394F4204"/>
    <w:rsid w:val="39522DFA"/>
    <w:rsid w:val="39571700"/>
    <w:rsid w:val="39582040"/>
    <w:rsid w:val="396400C1"/>
    <w:rsid w:val="3968758B"/>
    <w:rsid w:val="396B5121"/>
    <w:rsid w:val="396C0D0B"/>
    <w:rsid w:val="396E25C1"/>
    <w:rsid w:val="397D789C"/>
    <w:rsid w:val="39813CA3"/>
    <w:rsid w:val="398C2272"/>
    <w:rsid w:val="39A47ED9"/>
    <w:rsid w:val="39B90474"/>
    <w:rsid w:val="39C877B5"/>
    <w:rsid w:val="39D75E98"/>
    <w:rsid w:val="39D92FDF"/>
    <w:rsid w:val="39DD4AC2"/>
    <w:rsid w:val="39E53719"/>
    <w:rsid w:val="39FF511A"/>
    <w:rsid w:val="3A0831A6"/>
    <w:rsid w:val="3A0C3EBE"/>
    <w:rsid w:val="3A192D6D"/>
    <w:rsid w:val="3A210490"/>
    <w:rsid w:val="3A233CC8"/>
    <w:rsid w:val="3A335D51"/>
    <w:rsid w:val="3A4E5C38"/>
    <w:rsid w:val="3A5153A2"/>
    <w:rsid w:val="3A562ECC"/>
    <w:rsid w:val="3A5A6594"/>
    <w:rsid w:val="3A685C85"/>
    <w:rsid w:val="3A731D63"/>
    <w:rsid w:val="3A840031"/>
    <w:rsid w:val="3A8A4880"/>
    <w:rsid w:val="3A907F52"/>
    <w:rsid w:val="3A915811"/>
    <w:rsid w:val="3A9755A8"/>
    <w:rsid w:val="3AA97F5B"/>
    <w:rsid w:val="3AB16395"/>
    <w:rsid w:val="3ACB3934"/>
    <w:rsid w:val="3ACE2E83"/>
    <w:rsid w:val="3AF107BA"/>
    <w:rsid w:val="3B13DBA5"/>
    <w:rsid w:val="3B1A0DC8"/>
    <w:rsid w:val="3B3520C4"/>
    <w:rsid w:val="3B355BEA"/>
    <w:rsid w:val="3B3A743F"/>
    <w:rsid w:val="3B3C6E33"/>
    <w:rsid w:val="3B3E7BAD"/>
    <w:rsid w:val="3B3F6365"/>
    <w:rsid w:val="3B437186"/>
    <w:rsid w:val="3B5C42A3"/>
    <w:rsid w:val="3B7B1181"/>
    <w:rsid w:val="3B8B1FF5"/>
    <w:rsid w:val="3BAE1FDD"/>
    <w:rsid w:val="3BBC393D"/>
    <w:rsid w:val="3BC53830"/>
    <w:rsid w:val="3BCE69EA"/>
    <w:rsid w:val="3BD408F2"/>
    <w:rsid w:val="3BE64F97"/>
    <w:rsid w:val="3BE87479"/>
    <w:rsid w:val="3BFC68FB"/>
    <w:rsid w:val="3C0C1C23"/>
    <w:rsid w:val="3C2475A5"/>
    <w:rsid w:val="3C2B7885"/>
    <w:rsid w:val="3C2E3AF7"/>
    <w:rsid w:val="3C333887"/>
    <w:rsid w:val="3C3412E1"/>
    <w:rsid w:val="3C387164"/>
    <w:rsid w:val="3C3B6580"/>
    <w:rsid w:val="3C430CB1"/>
    <w:rsid w:val="3C476267"/>
    <w:rsid w:val="3C4D2BCB"/>
    <w:rsid w:val="3C5629D9"/>
    <w:rsid w:val="3C5E0F0B"/>
    <w:rsid w:val="3C6179A6"/>
    <w:rsid w:val="3C6E7EE1"/>
    <w:rsid w:val="3C727B17"/>
    <w:rsid w:val="3C7511EA"/>
    <w:rsid w:val="3C77232B"/>
    <w:rsid w:val="3C78058A"/>
    <w:rsid w:val="3C7C2202"/>
    <w:rsid w:val="3C7D1610"/>
    <w:rsid w:val="3C7E1EDC"/>
    <w:rsid w:val="3C7F03EA"/>
    <w:rsid w:val="3C7F1BE6"/>
    <w:rsid w:val="3C900681"/>
    <w:rsid w:val="3C946D57"/>
    <w:rsid w:val="3C9E304F"/>
    <w:rsid w:val="3CA86FDD"/>
    <w:rsid w:val="3CB261FD"/>
    <w:rsid w:val="3CB853CC"/>
    <w:rsid w:val="3CD8181E"/>
    <w:rsid w:val="3CDE76FF"/>
    <w:rsid w:val="3CE23817"/>
    <w:rsid w:val="3CEE60AB"/>
    <w:rsid w:val="3CF81B20"/>
    <w:rsid w:val="3D0E37A3"/>
    <w:rsid w:val="3D1D4778"/>
    <w:rsid w:val="3D2007BB"/>
    <w:rsid w:val="3D222982"/>
    <w:rsid w:val="3D3819D4"/>
    <w:rsid w:val="3D3A0B44"/>
    <w:rsid w:val="3D49080A"/>
    <w:rsid w:val="3D6B38D1"/>
    <w:rsid w:val="3D72646A"/>
    <w:rsid w:val="3D830D74"/>
    <w:rsid w:val="3D8B3E34"/>
    <w:rsid w:val="3DB21800"/>
    <w:rsid w:val="3DB66FCE"/>
    <w:rsid w:val="3DBF2B08"/>
    <w:rsid w:val="3DC459E7"/>
    <w:rsid w:val="3DC7078B"/>
    <w:rsid w:val="3DDB4085"/>
    <w:rsid w:val="3DDC7DAC"/>
    <w:rsid w:val="3DE37A22"/>
    <w:rsid w:val="3DEB1201"/>
    <w:rsid w:val="3DFB9930"/>
    <w:rsid w:val="3E107510"/>
    <w:rsid w:val="3E1E2897"/>
    <w:rsid w:val="3E373DE9"/>
    <w:rsid w:val="3E3E05D7"/>
    <w:rsid w:val="3E512E37"/>
    <w:rsid w:val="3E6786DD"/>
    <w:rsid w:val="3E6912FD"/>
    <w:rsid w:val="3E697423"/>
    <w:rsid w:val="3E70738D"/>
    <w:rsid w:val="3E944334"/>
    <w:rsid w:val="3E9C5657"/>
    <w:rsid w:val="3EA16FCD"/>
    <w:rsid w:val="3EAC2715"/>
    <w:rsid w:val="3EAD57ED"/>
    <w:rsid w:val="3EB608D8"/>
    <w:rsid w:val="3ECB6600"/>
    <w:rsid w:val="3ED471D6"/>
    <w:rsid w:val="3EE30F6F"/>
    <w:rsid w:val="3EE441DF"/>
    <w:rsid w:val="3EE47069"/>
    <w:rsid w:val="3EF11A6F"/>
    <w:rsid w:val="3F047CCD"/>
    <w:rsid w:val="3F15606A"/>
    <w:rsid w:val="3F15792D"/>
    <w:rsid w:val="3F167B24"/>
    <w:rsid w:val="3F19151E"/>
    <w:rsid w:val="3F1D491D"/>
    <w:rsid w:val="3F1D6224"/>
    <w:rsid w:val="3F38683D"/>
    <w:rsid w:val="3F44329F"/>
    <w:rsid w:val="3F637A0C"/>
    <w:rsid w:val="3F6E52B4"/>
    <w:rsid w:val="3F89536F"/>
    <w:rsid w:val="3F9E5476"/>
    <w:rsid w:val="3FC06C41"/>
    <w:rsid w:val="3FC47239"/>
    <w:rsid w:val="3FC93DAA"/>
    <w:rsid w:val="3FD35411"/>
    <w:rsid w:val="3FD3642E"/>
    <w:rsid w:val="3FDB3889"/>
    <w:rsid w:val="3FDD74A2"/>
    <w:rsid w:val="3FE973DE"/>
    <w:rsid w:val="3FEF19A1"/>
    <w:rsid w:val="3FF45622"/>
    <w:rsid w:val="3FF87601"/>
    <w:rsid w:val="40190DD3"/>
    <w:rsid w:val="401A28F7"/>
    <w:rsid w:val="40263C4D"/>
    <w:rsid w:val="40514710"/>
    <w:rsid w:val="40577E32"/>
    <w:rsid w:val="40615E32"/>
    <w:rsid w:val="406B1160"/>
    <w:rsid w:val="408B34DE"/>
    <w:rsid w:val="408C7E9E"/>
    <w:rsid w:val="409F4FC2"/>
    <w:rsid w:val="40A526F5"/>
    <w:rsid w:val="40AC5832"/>
    <w:rsid w:val="40B07D9F"/>
    <w:rsid w:val="40B35D6E"/>
    <w:rsid w:val="40CB7F58"/>
    <w:rsid w:val="40D73EB6"/>
    <w:rsid w:val="40DB2096"/>
    <w:rsid w:val="40DB2886"/>
    <w:rsid w:val="40F65AB9"/>
    <w:rsid w:val="40FA2AB4"/>
    <w:rsid w:val="410A2F65"/>
    <w:rsid w:val="41133692"/>
    <w:rsid w:val="413037FA"/>
    <w:rsid w:val="41351627"/>
    <w:rsid w:val="413E6120"/>
    <w:rsid w:val="415437EB"/>
    <w:rsid w:val="415C2039"/>
    <w:rsid w:val="417815AF"/>
    <w:rsid w:val="41786C78"/>
    <w:rsid w:val="41856F3A"/>
    <w:rsid w:val="41866A9F"/>
    <w:rsid w:val="41882F56"/>
    <w:rsid w:val="418C6C6F"/>
    <w:rsid w:val="41932F50"/>
    <w:rsid w:val="419C6FDE"/>
    <w:rsid w:val="41A2457D"/>
    <w:rsid w:val="41AA3AD4"/>
    <w:rsid w:val="41B94E35"/>
    <w:rsid w:val="41CE2D89"/>
    <w:rsid w:val="41D30C44"/>
    <w:rsid w:val="41E376C2"/>
    <w:rsid w:val="42216541"/>
    <w:rsid w:val="42332172"/>
    <w:rsid w:val="42357DD9"/>
    <w:rsid w:val="423B5B95"/>
    <w:rsid w:val="423C4DCC"/>
    <w:rsid w:val="42431680"/>
    <w:rsid w:val="425F2B52"/>
    <w:rsid w:val="426C7FF2"/>
    <w:rsid w:val="42AA1B8C"/>
    <w:rsid w:val="42AD5FD6"/>
    <w:rsid w:val="42D53E10"/>
    <w:rsid w:val="43086441"/>
    <w:rsid w:val="430D5439"/>
    <w:rsid w:val="431A2B33"/>
    <w:rsid w:val="4333098B"/>
    <w:rsid w:val="4333416B"/>
    <w:rsid w:val="433342B2"/>
    <w:rsid w:val="43353AF1"/>
    <w:rsid w:val="43357E49"/>
    <w:rsid w:val="43366AFB"/>
    <w:rsid w:val="434913C9"/>
    <w:rsid w:val="434A382A"/>
    <w:rsid w:val="434D556F"/>
    <w:rsid w:val="43553923"/>
    <w:rsid w:val="435F015E"/>
    <w:rsid w:val="43726615"/>
    <w:rsid w:val="4375578A"/>
    <w:rsid w:val="438374D6"/>
    <w:rsid w:val="43856343"/>
    <w:rsid w:val="438B6F80"/>
    <w:rsid w:val="43A2097F"/>
    <w:rsid w:val="43B9736F"/>
    <w:rsid w:val="43DA785A"/>
    <w:rsid w:val="43DD17F3"/>
    <w:rsid w:val="43F03824"/>
    <w:rsid w:val="43F32640"/>
    <w:rsid w:val="43F55BF4"/>
    <w:rsid w:val="43FC49D6"/>
    <w:rsid w:val="440A60B8"/>
    <w:rsid w:val="440B17D0"/>
    <w:rsid w:val="4422636A"/>
    <w:rsid w:val="442D4EB6"/>
    <w:rsid w:val="443C52A8"/>
    <w:rsid w:val="44514798"/>
    <w:rsid w:val="445415F2"/>
    <w:rsid w:val="4456706D"/>
    <w:rsid w:val="445C3537"/>
    <w:rsid w:val="44663E5B"/>
    <w:rsid w:val="447532B6"/>
    <w:rsid w:val="44805B3B"/>
    <w:rsid w:val="448F1A37"/>
    <w:rsid w:val="44A201BB"/>
    <w:rsid w:val="44AC52A3"/>
    <w:rsid w:val="44B72A72"/>
    <w:rsid w:val="44B811EE"/>
    <w:rsid w:val="44C216B7"/>
    <w:rsid w:val="44CC5486"/>
    <w:rsid w:val="44EC59D8"/>
    <w:rsid w:val="44F25523"/>
    <w:rsid w:val="44F8220F"/>
    <w:rsid w:val="44FB02D7"/>
    <w:rsid w:val="44FB341D"/>
    <w:rsid w:val="451974C2"/>
    <w:rsid w:val="451C271F"/>
    <w:rsid w:val="451E47BA"/>
    <w:rsid w:val="45265C19"/>
    <w:rsid w:val="45482BBF"/>
    <w:rsid w:val="45740918"/>
    <w:rsid w:val="45786F5F"/>
    <w:rsid w:val="458D46AA"/>
    <w:rsid w:val="45952FC4"/>
    <w:rsid w:val="459C00FF"/>
    <w:rsid w:val="459D5B1E"/>
    <w:rsid w:val="45B508FC"/>
    <w:rsid w:val="45B51651"/>
    <w:rsid w:val="45B61EFA"/>
    <w:rsid w:val="45CE6360"/>
    <w:rsid w:val="45DE6A94"/>
    <w:rsid w:val="46090D74"/>
    <w:rsid w:val="460F7551"/>
    <w:rsid w:val="461254DE"/>
    <w:rsid w:val="46173AB4"/>
    <w:rsid w:val="462F6A48"/>
    <w:rsid w:val="46527C91"/>
    <w:rsid w:val="465E03FD"/>
    <w:rsid w:val="465E1830"/>
    <w:rsid w:val="465F4436"/>
    <w:rsid w:val="46633F31"/>
    <w:rsid w:val="4679688B"/>
    <w:rsid w:val="467B082B"/>
    <w:rsid w:val="46B00F72"/>
    <w:rsid w:val="46B204BF"/>
    <w:rsid w:val="46C75828"/>
    <w:rsid w:val="46CD2A0C"/>
    <w:rsid w:val="46DB6DC9"/>
    <w:rsid w:val="46F751D2"/>
    <w:rsid w:val="470B22F2"/>
    <w:rsid w:val="47121168"/>
    <w:rsid w:val="471867A9"/>
    <w:rsid w:val="47342F67"/>
    <w:rsid w:val="473E5746"/>
    <w:rsid w:val="474156B1"/>
    <w:rsid w:val="47455F4A"/>
    <w:rsid w:val="4772065E"/>
    <w:rsid w:val="477715D4"/>
    <w:rsid w:val="4785419C"/>
    <w:rsid w:val="47876D75"/>
    <w:rsid w:val="478B1143"/>
    <w:rsid w:val="47A84777"/>
    <w:rsid w:val="47A9413D"/>
    <w:rsid w:val="47AA39DB"/>
    <w:rsid w:val="47E3460A"/>
    <w:rsid w:val="47EC5FD6"/>
    <w:rsid w:val="480205BE"/>
    <w:rsid w:val="481D54E6"/>
    <w:rsid w:val="48346C98"/>
    <w:rsid w:val="483808B3"/>
    <w:rsid w:val="48391C83"/>
    <w:rsid w:val="484049EC"/>
    <w:rsid w:val="485A0160"/>
    <w:rsid w:val="48661D21"/>
    <w:rsid w:val="48725C5E"/>
    <w:rsid w:val="487903B5"/>
    <w:rsid w:val="4881255A"/>
    <w:rsid w:val="48875B5B"/>
    <w:rsid w:val="48A2264A"/>
    <w:rsid w:val="48B54C06"/>
    <w:rsid w:val="48D01330"/>
    <w:rsid w:val="48D91A07"/>
    <w:rsid w:val="48DC1BED"/>
    <w:rsid w:val="48E97507"/>
    <w:rsid w:val="48F603B6"/>
    <w:rsid w:val="49057D2F"/>
    <w:rsid w:val="490A3D71"/>
    <w:rsid w:val="490D0A8D"/>
    <w:rsid w:val="49126972"/>
    <w:rsid w:val="49157382"/>
    <w:rsid w:val="491D6521"/>
    <w:rsid w:val="49236A43"/>
    <w:rsid w:val="492A5C72"/>
    <w:rsid w:val="492E10FA"/>
    <w:rsid w:val="493029E4"/>
    <w:rsid w:val="493462FC"/>
    <w:rsid w:val="49417AA6"/>
    <w:rsid w:val="49540DF3"/>
    <w:rsid w:val="49565C1B"/>
    <w:rsid w:val="49574CEE"/>
    <w:rsid w:val="49592106"/>
    <w:rsid w:val="495D2AA3"/>
    <w:rsid w:val="49860EDF"/>
    <w:rsid w:val="49893A5F"/>
    <w:rsid w:val="49977BBB"/>
    <w:rsid w:val="499C75A6"/>
    <w:rsid w:val="49A059A5"/>
    <w:rsid w:val="49AB16D0"/>
    <w:rsid w:val="49C4168D"/>
    <w:rsid w:val="49CA3360"/>
    <w:rsid w:val="49D07D69"/>
    <w:rsid w:val="49E76CDA"/>
    <w:rsid w:val="4A077502"/>
    <w:rsid w:val="4A11476D"/>
    <w:rsid w:val="4A250D0B"/>
    <w:rsid w:val="4A485FA4"/>
    <w:rsid w:val="4A6D23E8"/>
    <w:rsid w:val="4A760DD0"/>
    <w:rsid w:val="4A7D5F5A"/>
    <w:rsid w:val="4A826CDF"/>
    <w:rsid w:val="4A8C3685"/>
    <w:rsid w:val="4AA33380"/>
    <w:rsid w:val="4AAA789B"/>
    <w:rsid w:val="4AD97286"/>
    <w:rsid w:val="4ADA1561"/>
    <w:rsid w:val="4AED73C7"/>
    <w:rsid w:val="4B087EBB"/>
    <w:rsid w:val="4B195D0D"/>
    <w:rsid w:val="4B2E0142"/>
    <w:rsid w:val="4B383B7D"/>
    <w:rsid w:val="4B3A3C74"/>
    <w:rsid w:val="4B450981"/>
    <w:rsid w:val="4B49336F"/>
    <w:rsid w:val="4B502039"/>
    <w:rsid w:val="4B807BA8"/>
    <w:rsid w:val="4B846017"/>
    <w:rsid w:val="4B88132B"/>
    <w:rsid w:val="4BA73D14"/>
    <w:rsid w:val="4BC418CB"/>
    <w:rsid w:val="4BCA19A8"/>
    <w:rsid w:val="4BD70A21"/>
    <w:rsid w:val="4BD72A88"/>
    <w:rsid w:val="4BDB034E"/>
    <w:rsid w:val="4BE71947"/>
    <w:rsid w:val="4C172945"/>
    <w:rsid w:val="4C1C435F"/>
    <w:rsid w:val="4C1F5E15"/>
    <w:rsid w:val="4C2B6236"/>
    <w:rsid w:val="4C323FE6"/>
    <w:rsid w:val="4C3C36AE"/>
    <w:rsid w:val="4C3D3EAA"/>
    <w:rsid w:val="4C407439"/>
    <w:rsid w:val="4C4959D9"/>
    <w:rsid w:val="4C501677"/>
    <w:rsid w:val="4C56776C"/>
    <w:rsid w:val="4C662A4E"/>
    <w:rsid w:val="4C6B5CD5"/>
    <w:rsid w:val="4CAC591C"/>
    <w:rsid w:val="4CB95563"/>
    <w:rsid w:val="4CC37060"/>
    <w:rsid w:val="4CC5616F"/>
    <w:rsid w:val="4CD71881"/>
    <w:rsid w:val="4CDC24A2"/>
    <w:rsid w:val="4D030FDE"/>
    <w:rsid w:val="4D053F14"/>
    <w:rsid w:val="4D0E31B6"/>
    <w:rsid w:val="4D1B7271"/>
    <w:rsid w:val="4D20444F"/>
    <w:rsid w:val="4D263C72"/>
    <w:rsid w:val="4D595A8E"/>
    <w:rsid w:val="4D5B2E73"/>
    <w:rsid w:val="4D746CD8"/>
    <w:rsid w:val="4D76480A"/>
    <w:rsid w:val="4D936E9D"/>
    <w:rsid w:val="4DA73549"/>
    <w:rsid w:val="4DB125FF"/>
    <w:rsid w:val="4DB2579D"/>
    <w:rsid w:val="4DBA72D5"/>
    <w:rsid w:val="4DD33274"/>
    <w:rsid w:val="4DE37B7F"/>
    <w:rsid w:val="4DE82300"/>
    <w:rsid w:val="4DEB4232"/>
    <w:rsid w:val="4DFC4133"/>
    <w:rsid w:val="4E03181A"/>
    <w:rsid w:val="4E0509F7"/>
    <w:rsid w:val="4E0D4AA5"/>
    <w:rsid w:val="4E1737A6"/>
    <w:rsid w:val="4E327D9B"/>
    <w:rsid w:val="4E3C4AC8"/>
    <w:rsid w:val="4E476068"/>
    <w:rsid w:val="4E596408"/>
    <w:rsid w:val="4E695028"/>
    <w:rsid w:val="4EC3691B"/>
    <w:rsid w:val="4EC45E7B"/>
    <w:rsid w:val="4ED40475"/>
    <w:rsid w:val="4ED83A37"/>
    <w:rsid w:val="4EED7D90"/>
    <w:rsid w:val="4F0C0788"/>
    <w:rsid w:val="4F21020E"/>
    <w:rsid w:val="4F36591B"/>
    <w:rsid w:val="4F3B4AF9"/>
    <w:rsid w:val="4F406FFB"/>
    <w:rsid w:val="4F437A84"/>
    <w:rsid w:val="4F6737D6"/>
    <w:rsid w:val="4F8A051B"/>
    <w:rsid w:val="4F90612F"/>
    <w:rsid w:val="4FA2607D"/>
    <w:rsid w:val="4FA35601"/>
    <w:rsid w:val="4FC81E3A"/>
    <w:rsid w:val="4FE1741D"/>
    <w:rsid w:val="4FEE0C90"/>
    <w:rsid w:val="4FF10459"/>
    <w:rsid w:val="502C412B"/>
    <w:rsid w:val="50341CE6"/>
    <w:rsid w:val="5038150E"/>
    <w:rsid w:val="504C500F"/>
    <w:rsid w:val="50734D62"/>
    <w:rsid w:val="507B6480"/>
    <w:rsid w:val="5096302E"/>
    <w:rsid w:val="50B817BC"/>
    <w:rsid w:val="50BC53ED"/>
    <w:rsid w:val="50BD67F6"/>
    <w:rsid w:val="50D160C3"/>
    <w:rsid w:val="50E07F70"/>
    <w:rsid w:val="50E3461B"/>
    <w:rsid w:val="50EF5ECE"/>
    <w:rsid w:val="51113F58"/>
    <w:rsid w:val="511413D6"/>
    <w:rsid w:val="511560FA"/>
    <w:rsid w:val="5123637E"/>
    <w:rsid w:val="51367561"/>
    <w:rsid w:val="513F5E02"/>
    <w:rsid w:val="51596046"/>
    <w:rsid w:val="5164350B"/>
    <w:rsid w:val="516B08C3"/>
    <w:rsid w:val="51725CB0"/>
    <w:rsid w:val="51A87368"/>
    <w:rsid w:val="51B31007"/>
    <w:rsid w:val="51C35793"/>
    <w:rsid w:val="51C43F03"/>
    <w:rsid w:val="51C56AEF"/>
    <w:rsid w:val="51CD55B6"/>
    <w:rsid w:val="51F26CEE"/>
    <w:rsid w:val="51F3691B"/>
    <w:rsid w:val="520F4936"/>
    <w:rsid w:val="52192CF9"/>
    <w:rsid w:val="522176B8"/>
    <w:rsid w:val="52233B45"/>
    <w:rsid w:val="52261597"/>
    <w:rsid w:val="52434716"/>
    <w:rsid w:val="5265021D"/>
    <w:rsid w:val="526C4618"/>
    <w:rsid w:val="52716194"/>
    <w:rsid w:val="527A249C"/>
    <w:rsid w:val="52813D8A"/>
    <w:rsid w:val="52880740"/>
    <w:rsid w:val="52B76B57"/>
    <w:rsid w:val="52C40B8C"/>
    <w:rsid w:val="52D161BA"/>
    <w:rsid w:val="52D7435C"/>
    <w:rsid w:val="52D97BAB"/>
    <w:rsid w:val="52DF17E7"/>
    <w:rsid w:val="52E552EC"/>
    <w:rsid w:val="52F77028"/>
    <w:rsid w:val="53022E5E"/>
    <w:rsid w:val="531A5F61"/>
    <w:rsid w:val="53237569"/>
    <w:rsid w:val="53313018"/>
    <w:rsid w:val="5338369F"/>
    <w:rsid w:val="53400F13"/>
    <w:rsid w:val="534956C4"/>
    <w:rsid w:val="53542C15"/>
    <w:rsid w:val="5354715E"/>
    <w:rsid w:val="53597F61"/>
    <w:rsid w:val="5364189F"/>
    <w:rsid w:val="536C129C"/>
    <w:rsid w:val="537D6E62"/>
    <w:rsid w:val="53841EA6"/>
    <w:rsid w:val="53935A3C"/>
    <w:rsid w:val="53950AD3"/>
    <w:rsid w:val="539C6116"/>
    <w:rsid w:val="53AB28E5"/>
    <w:rsid w:val="53B538C5"/>
    <w:rsid w:val="53B62EC0"/>
    <w:rsid w:val="53B9385C"/>
    <w:rsid w:val="53D50B6B"/>
    <w:rsid w:val="53F22D98"/>
    <w:rsid w:val="53F94D18"/>
    <w:rsid w:val="53FD46AD"/>
    <w:rsid w:val="541A2B3D"/>
    <w:rsid w:val="543503A9"/>
    <w:rsid w:val="54371FD4"/>
    <w:rsid w:val="543918D8"/>
    <w:rsid w:val="544154D1"/>
    <w:rsid w:val="544E333D"/>
    <w:rsid w:val="545441CF"/>
    <w:rsid w:val="546B64C8"/>
    <w:rsid w:val="546D4F53"/>
    <w:rsid w:val="548843A3"/>
    <w:rsid w:val="549247F7"/>
    <w:rsid w:val="54AC377F"/>
    <w:rsid w:val="54B84BC3"/>
    <w:rsid w:val="54BC633E"/>
    <w:rsid w:val="54C91037"/>
    <w:rsid w:val="54CC2006"/>
    <w:rsid w:val="54D73D4F"/>
    <w:rsid w:val="54E70764"/>
    <w:rsid w:val="54E949E3"/>
    <w:rsid w:val="550F6E28"/>
    <w:rsid w:val="55167836"/>
    <w:rsid w:val="55203999"/>
    <w:rsid w:val="55393E6B"/>
    <w:rsid w:val="553C2E24"/>
    <w:rsid w:val="554209DA"/>
    <w:rsid w:val="55544106"/>
    <w:rsid w:val="55663F93"/>
    <w:rsid w:val="55664372"/>
    <w:rsid w:val="55686A25"/>
    <w:rsid w:val="556C595E"/>
    <w:rsid w:val="557959E1"/>
    <w:rsid w:val="557A5A4E"/>
    <w:rsid w:val="557E3DC8"/>
    <w:rsid w:val="55897811"/>
    <w:rsid w:val="559C0666"/>
    <w:rsid w:val="559E3B15"/>
    <w:rsid w:val="55A755BF"/>
    <w:rsid w:val="55BD440D"/>
    <w:rsid w:val="55BF5D02"/>
    <w:rsid w:val="55D2681C"/>
    <w:rsid w:val="55D555BB"/>
    <w:rsid w:val="55E22755"/>
    <w:rsid w:val="55E912B6"/>
    <w:rsid w:val="55F320FB"/>
    <w:rsid w:val="560A6C98"/>
    <w:rsid w:val="562258DB"/>
    <w:rsid w:val="5628066F"/>
    <w:rsid w:val="562B53A0"/>
    <w:rsid w:val="563C41CD"/>
    <w:rsid w:val="56422FAE"/>
    <w:rsid w:val="5655195B"/>
    <w:rsid w:val="566217F7"/>
    <w:rsid w:val="56622EEF"/>
    <w:rsid w:val="566D4D87"/>
    <w:rsid w:val="56812E48"/>
    <w:rsid w:val="5696578D"/>
    <w:rsid w:val="569D7DB6"/>
    <w:rsid w:val="56A536E4"/>
    <w:rsid w:val="56B51D28"/>
    <w:rsid w:val="56BE6D95"/>
    <w:rsid w:val="56E32CBF"/>
    <w:rsid w:val="56E71A90"/>
    <w:rsid w:val="56EA2E2A"/>
    <w:rsid w:val="56F34933"/>
    <w:rsid w:val="56FD5551"/>
    <w:rsid w:val="57221295"/>
    <w:rsid w:val="57352AAD"/>
    <w:rsid w:val="574D3B51"/>
    <w:rsid w:val="5750579F"/>
    <w:rsid w:val="575164AA"/>
    <w:rsid w:val="575317AD"/>
    <w:rsid w:val="57604DC9"/>
    <w:rsid w:val="577E6F00"/>
    <w:rsid w:val="57867644"/>
    <w:rsid w:val="57937943"/>
    <w:rsid w:val="579564C3"/>
    <w:rsid w:val="579E68B8"/>
    <w:rsid w:val="57AF166A"/>
    <w:rsid w:val="57B536C6"/>
    <w:rsid w:val="57DB19E1"/>
    <w:rsid w:val="57F6039D"/>
    <w:rsid w:val="57F855A3"/>
    <w:rsid w:val="581410D8"/>
    <w:rsid w:val="58215553"/>
    <w:rsid w:val="58272C88"/>
    <w:rsid w:val="582D366F"/>
    <w:rsid w:val="583003C7"/>
    <w:rsid w:val="58353843"/>
    <w:rsid w:val="58353FFA"/>
    <w:rsid w:val="5850061D"/>
    <w:rsid w:val="585549C9"/>
    <w:rsid w:val="586426B7"/>
    <w:rsid w:val="58706EB5"/>
    <w:rsid w:val="58711C54"/>
    <w:rsid w:val="589172DE"/>
    <w:rsid w:val="589174B3"/>
    <w:rsid w:val="589A65FE"/>
    <w:rsid w:val="589C3E5E"/>
    <w:rsid w:val="58A568E2"/>
    <w:rsid w:val="58C2561B"/>
    <w:rsid w:val="58C83C57"/>
    <w:rsid w:val="58CE25EC"/>
    <w:rsid w:val="58D94F92"/>
    <w:rsid w:val="58E33DBE"/>
    <w:rsid w:val="58EF27D0"/>
    <w:rsid w:val="59170000"/>
    <w:rsid w:val="594950AC"/>
    <w:rsid w:val="594F2A0B"/>
    <w:rsid w:val="59676943"/>
    <w:rsid w:val="597D3EA6"/>
    <w:rsid w:val="598560D1"/>
    <w:rsid w:val="59AE5112"/>
    <w:rsid w:val="59B11D86"/>
    <w:rsid w:val="59BD0D8E"/>
    <w:rsid w:val="59DC6998"/>
    <w:rsid w:val="59F14FFA"/>
    <w:rsid w:val="59F23B90"/>
    <w:rsid w:val="5A0743F6"/>
    <w:rsid w:val="5A0B36DC"/>
    <w:rsid w:val="5A2912B1"/>
    <w:rsid w:val="5A2C737F"/>
    <w:rsid w:val="5A300C0D"/>
    <w:rsid w:val="5A4A3894"/>
    <w:rsid w:val="5A4C792A"/>
    <w:rsid w:val="5A647816"/>
    <w:rsid w:val="5A66774A"/>
    <w:rsid w:val="5A6D6FAE"/>
    <w:rsid w:val="5A7A3A94"/>
    <w:rsid w:val="5A801DBC"/>
    <w:rsid w:val="5A8269BD"/>
    <w:rsid w:val="5A932270"/>
    <w:rsid w:val="5A9E2FAA"/>
    <w:rsid w:val="5AB46953"/>
    <w:rsid w:val="5AB85A93"/>
    <w:rsid w:val="5AE00557"/>
    <w:rsid w:val="5AF27381"/>
    <w:rsid w:val="5B17438F"/>
    <w:rsid w:val="5B1C2C31"/>
    <w:rsid w:val="5B1F5381"/>
    <w:rsid w:val="5B4C26BE"/>
    <w:rsid w:val="5B4F1FB7"/>
    <w:rsid w:val="5B653559"/>
    <w:rsid w:val="5B683ADB"/>
    <w:rsid w:val="5B6923B2"/>
    <w:rsid w:val="5B6E19AB"/>
    <w:rsid w:val="5B752128"/>
    <w:rsid w:val="5B783D32"/>
    <w:rsid w:val="5B790CF9"/>
    <w:rsid w:val="5B96724A"/>
    <w:rsid w:val="5BB56645"/>
    <w:rsid w:val="5BBD17C6"/>
    <w:rsid w:val="5BBE05B2"/>
    <w:rsid w:val="5BCF5D0F"/>
    <w:rsid w:val="5BDA345F"/>
    <w:rsid w:val="5BE70327"/>
    <w:rsid w:val="5BE758B9"/>
    <w:rsid w:val="5BEF9334"/>
    <w:rsid w:val="5C2C0CCD"/>
    <w:rsid w:val="5C554023"/>
    <w:rsid w:val="5C62414F"/>
    <w:rsid w:val="5C660E6D"/>
    <w:rsid w:val="5C6709C2"/>
    <w:rsid w:val="5C7E0C2A"/>
    <w:rsid w:val="5C9F2D85"/>
    <w:rsid w:val="5CC82B65"/>
    <w:rsid w:val="5CD002FB"/>
    <w:rsid w:val="5CD54E32"/>
    <w:rsid w:val="5CEC5DFD"/>
    <w:rsid w:val="5D024580"/>
    <w:rsid w:val="5D045796"/>
    <w:rsid w:val="5D0A410B"/>
    <w:rsid w:val="5D3E48D6"/>
    <w:rsid w:val="5D52675B"/>
    <w:rsid w:val="5D55618B"/>
    <w:rsid w:val="5D564C87"/>
    <w:rsid w:val="5D644787"/>
    <w:rsid w:val="5D94715C"/>
    <w:rsid w:val="5DA16738"/>
    <w:rsid w:val="5DA95366"/>
    <w:rsid w:val="5DA960FD"/>
    <w:rsid w:val="5DAE3683"/>
    <w:rsid w:val="5DB02B25"/>
    <w:rsid w:val="5DBA1450"/>
    <w:rsid w:val="5DC80A6B"/>
    <w:rsid w:val="5DD5142F"/>
    <w:rsid w:val="5DDB2ACC"/>
    <w:rsid w:val="5DF0115F"/>
    <w:rsid w:val="5DFD3C46"/>
    <w:rsid w:val="5E0F79F1"/>
    <w:rsid w:val="5E1D382F"/>
    <w:rsid w:val="5E233A47"/>
    <w:rsid w:val="5E36298D"/>
    <w:rsid w:val="5E3F6A5E"/>
    <w:rsid w:val="5E610BA7"/>
    <w:rsid w:val="5E6B31F9"/>
    <w:rsid w:val="5E8A54C3"/>
    <w:rsid w:val="5E8D0637"/>
    <w:rsid w:val="5E9C69F4"/>
    <w:rsid w:val="5EAA3E70"/>
    <w:rsid w:val="5EBD0A6B"/>
    <w:rsid w:val="5ECB3AAA"/>
    <w:rsid w:val="5ED229F3"/>
    <w:rsid w:val="5ED42516"/>
    <w:rsid w:val="5ED71824"/>
    <w:rsid w:val="5EDC54CA"/>
    <w:rsid w:val="5EE07AB2"/>
    <w:rsid w:val="5EED3780"/>
    <w:rsid w:val="5EF3152F"/>
    <w:rsid w:val="5F2B5578"/>
    <w:rsid w:val="5F344B3B"/>
    <w:rsid w:val="5F383D7A"/>
    <w:rsid w:val="5F47385F"/>
    <w:rsid w:val="5F53782E"/>
    <w:rsid w:val="5F58704D"/>
    <w:rsid w:val="5F5C403A"/>
    <w:rsid w:val="5F8473E2"/>
    <w:rsid w:val="5F8619B0"/>
    <w:rsid w:val="5F9A74F8"/>
    <w:rsid w:val="5FA657A2"/>
    <w:rsid w:val="5FAB2D93"/>
    <w:rsid w:val="5FB16633"/>
    <w:rsid w:val="5FC03139"/>
    <w:rsid w:val="5FCEF626"/>
    <w:rsid w:val="5FD43463"/>
    <w:rsid w:val="5FD94AD5"/>
    <w:rsid w:val="5FDB0825"/>
    <w:rsid w:val="5FDF6208"/>
    <w:rsid w:val="5FE44DA4"/>
    <w:rsid w:val="5FEF33C0"/>
    <w:rsid w:val="5FF9CF6D"/>
    <w:rsid w:val="5FFC007A"/>
    <w:rsid w:val="5FFC6540"/>
    <w:rsid w:val="602205FD"/>
    <w:rsid w:val="603C5E12"/>
    <w:rsid w:val="603E2A1B"/>
    <w:rsid w:val="603F2BFF"/>
    <w:rsid w:val="6043596F"/>
    <w:rsid w:val="60581F9B"/>
    <w:rsid w:val="60730782"/>
    <w:rsid w:val="60767BE7"/>
    <w:rsid w:val="607A06D1"/>
    <w:rsid w:val="609672BF"/>
    <w:rsid w:val="609E37C5"/>
    <w:rsid w:val="60C5739A"/>
    <w:rsid w:val="60D27ABC"/>
    <w:rsid w:val="60EE64F4"/>
    <w:rsid w:val="60F12C0D"/>
    <w:rsid w:val="60FF480E"/>
    <w:rsid w:val="61122BD9"/>
    <w:rsid w:val="611E19C6"/>
    <w:rsid w:val="61215EDE"/>
    <w:rsid w:val="613E28CA"/>
    <w:rsid w:val="61493D4C"/>
    <w:rsid w:val="614A0682"/>
    <w:rsid w:val="614B64B6"/>
    <w:rsid w:val="61523FCE"/>
    <w:rsid w:val="6152536A"/>
    <w:rsid w:val="61564F1F"/>
    <w:rsid w:val="615F4AAE"/>
    <w:rsid w:val="61663611"/>
    <w:rsid w:val="61695043"/>
    <w:rsid w:val="617B1046"/>
    <w:rsid w:val="61833792"/>
    <w:rsid w:val="61865807"/>
    <w:rsid w:val="61A85346"/>
    <w:rsid w:val="61AB6CE2"/>
    <w:rsid w:val="61AF1FEB"/>
    <w:rsid w:val="61B202E7"/>
    <w:rsid w:val="61D32DF1"/>
    <w:rsid w:val="61E9587C"/>
    <w:rsid w:val="61FB770F"/>
    <w:rsid w:val="620B419C"/>
    <w:rsid w:val="62166818"/>
    <w:rsid w:val="622D48E7"/>
    <w:rsid w:val="62411E71"/>
    <w:rsid w:val="624A62C0"/>
    <w:rsid w:val="624A77E9"/>
    <w:rsid w:val="62522B58"/>
    <w:rsid w:val="625A4DE2"/>
    <w:rsid w:val="62625837"/>
    <w:rsid w:val="6267624B"/>
    <w:rsid w:val="626F4418"/>
    <w:rsid w:val="627E4C07"/>
    <w:rsid w:val="62900B3C"/>
    <w:rsid w:val="629B1FA4"/>
    <w:rsid w:val="62AA63B5"/>
    <w:rsid w:val="62B339B4"/>
    <w:rsid w:val="62BB6727"/>
    <w:rsid w:val="62C84A19"/>
    <w:rsid w:val="62CB6E25"/>
    <w:rsid w:val="62E32189"/>
    <w:rsid w:val="62F45988"/>
    <w:rsid w:val="62FB7D78"/>
    <w:rsid w:val="630C3AA9"/>
    <w:rsid w:val="630E1348"/>
    <w:rsid w:val="63562581"/>
    <w:rsid w:val="638305BC"/>
    <w:rsid w:val="6383480B"/>
    <w:rsid w:val="638F31D4"/>
    <w:rsid w:val="639B385F"/>
    <w:rsid w:val="639C58B5"/>
    <w:rsid w:val="639C6362"/>
    <w:rsid w:val="63A45D4F"/>
    <w:rsid w:val="63EE78A4"/>
    <w:rsid w:val="63FE3FD9"/>
    <w:rsid w:val="63FF6D03"/>
    <w:rsid w:val="63FF7EC1"/>
    <w:rsid w:val="640830B6"/>
    <w:rsid w:val="64117961"/>
    <w:rsid w:val="641B2BA3"/>
    <w:rsid w:val="641B7192"/>
    <w:rsid w:val="64214F93"/>
    <w:rsid w:val="642E2C9A"/>
    <w:rsid w:val="64436722"/>
    <w:rsid w:val="64456314"/>
    <w:rsid w:val="644A1ECC"/>
    <w:rsid w:val="645E3DE5"/>
    <w:rsid w:val="64642B7C"/>
    <w:rsid w:val="6467396A"/>
    <w:rsid w:val="6469076C"/>
    <w:rsid w:val="64693640"/>
    <w:rsid w:val="646C63F0"/>
    <w:rsid w:val="647506A2"/>
    <w:rsid w:val="647A5986"/>
    <w:rsid w:val="6481470A"/>
    <w:rsid w:val="64894FD1"/>
    <w:rsid w:val="648FD7A6"/>
    <w:rsid w:val="649760B5"/>
    <w:rsid w:val="64AA40F5"/>
    <w:rsid w:val="64AD1AEE"/>
    <w:rsid w:val="64BD6DED"/>
    <w:rsid w:val="64BF6D54"/>
    <w:rsid w:val="64C500E7"/>
    <w:rsid w:val="64E36177"/>
    <w:rsid w:val="64E8469F"/>
    <w:rsid w:val="64EE053A"/>
    <w:rsid w:val="64FF2CA8"/>
    <w:rsid w:val="65096034"/>
    <w:rsid w:val="6517202D"/>
    <w:rsid w:val="651E5964"/>
    <w:rsid w:val="652D492A"/>
    <w:rsid w:val="654614C2"/>
    <w:rsid w:val="654976B2"/>
    <w:rsid w:val="654A32FA"/>
    <w:rsid w:val="65565DE8"/>
    <w:rsid w:val="65633145"/>
    <w:rsid w:val="65893AE8"/>
    <w:rsid w:val="658B77BD"/>
    <w:rsid w:val="65A83086"/>
    <w:rsid w:val="65B36C4C"/>
    <w:rsid w:val="65B7152E"/>
    <w:rsid w:val="65CC337B"/>
    <w:rsid w:val="65D43794"/>
    <w:rsid w:val="65F022AA"/>
    <w:rsid w:val="65FA576E"/>
    <w:rsid w:val="66002E1F"/>
    <w:rsid w:val="66304E17"/>
    <w:rsid w:val="66331331"/>
    <w:rsid w:val="66342E89"/>
    <w:rsid w:val="66352345"/>
    <w:rsid w:val="664D10A2"/>
    <w:rsid w:val="665D6D63"/>
    <w:rsid w:val="66696AC5"/>
    <w:rsid w:val="667059F8"/>
    <w:rsid w:val="6676646B"/>
    <w:rsid w:val="66797A40"/>
    <w:rsid w:val="667EBCDB"/>
    <w:rsid w:val="66866354"/>
    <w:rsid w:val="668A6BEF"/>
    <w:rsid w:val="66AF1189"/>
    <w:rsid w:val="66C70254"/>
    <w:rsid w:val="66CF3E35"/>
    <w:rsid w:val="66D0081B"/>
    <w:rsid w:val="66E01999"/>
    <w:rsid w:val="66EA2113"/>
    <w:rsid w:val="66EB6789"/>
    <w:rsid w:val="66F82ACD"/>
    <w:rsid w:val="670039D7"/>
    <w:rsid w:val="67073B29"/>
    <w:rsid w:val="67203BD3"/>
    <w:rsid w:val="672A3B88"/>
    <w:rsid w:val="672E6F9B"/>
    <w:rsid w:val="673C2798"/>
    <w:rsid w:val="67517007"/>
    <w:rsid w:val="676A2DF9"/>
    <w:rsid w:val="677729F9"/>
    <w:rsid w:val="6782603A"/>
    <w:rsid w:val="679538D3"/>
    <w:rsid w:val="679861A7"/>
    <w:rsid w:val="679D3EC6"/>
    <w:rsid w:val="67A21986"/>
    <w:rsid w:val="67B36C7C"/>
    <w:rsid w:val="67C428B4"/>
    <w:rsid w:val="67C6070F"/>
    <w:rsid w:val="67CC70CD"/>
    <w:rsid w:val="67D60D5A"/>
    <w:rsid w:val="67DF0461"/>
    <w:rsid w:val="67E16996"/>
    <w:rsid w:val="67EB791A"/>
    <w:rsid w:val="67EF8B8A"/>
    <w:rsid w:val="67F41E99"/>
    <w:rsid w:val="68046944"/>
    <w:rsid w:val="681B1D1D"/>
    <w:rsid w:val="682D0554"/>
    <w:rsid w:val="68303279"/>
    <w:rsid w:val="684F4B88"/>
    <w:rsid w:val="68661B96"/>
    <w:rsid w:val="687206BE"/>
    <w:rsid w:val="687521E6"/>
    <w:rsid w:val="687B186F"/>
    <w:rsid w:val="68902889"/>
    <w:rsid w:val="68A73F7E"/>
    <w:rsid w:val="68D31F0A"/>
    <w:rsid w:val="692624FC"/>
    <w:rsid w:val="693310BF"/>
    <w:rsid w:val="6958370B"/>
    <w:rsid w:val="695B6D1F"/>
    <w:rsid w:val="6973375E"/>
    <w:rsid w:val="698E4E85"/>
    <w:rsid w:val="69951F91"/>
    <w:rsid w:val="69991617"/>
    <w:rsid w:val="699C308B"/>
    <w:rsid w:val="69A76912"/>
    <w:rsid w:val="69B84E49"/>
    <w:rsid w:val="69BC289B"/>
    <w:rsid w:val="69C92065"/>
    <w:rsid w:val="69CB434E"/>
    <w:rsid w:val="69E33C3A"/>
    <w:rsid w:val="69ED0280"/>
    <w:rsid w:val="69FA5AD4"/>
    <w:rsid w:val="6A002E5D"/>
    <w:rsid w:val="6A2F5F88"/>
    <w:rsid w:val="6A515DC0"/>
    <w:rsid w:val="6A7E578C"/>
    <w:rsid w:val="6A866AD6"/>
    <w:rsid w:val="6A906367"/>
    <w:rsid w:val="6A92160B"/>
    <w:rsid w:val="6AA02AA9"/>
    <w:rsid w:val="6AA60D6D"/>
    <w:rsid w:val="6AA9022D"/>
    <w:rsid w:val="6AB65AAC"/>
    <w:rsid w:val="6ABC4EA8"/>
    <w:rsid w:val="6AC0526B"/>
    <w:rsid w:val="6B032D9D"/>
    <w:rsid w:val="6B177147"/>
    <w:rsid w:val="6B2A4C34"/>
    <w:rsid w:val="6B3E2A31"/>
    <w:rsid w:val="6B416D9E"/>
    <w:rsid w:val="6B454856"/>
    <w:rsid w:val="6B46254C"/>
    <w:rsid w:val="6B496F9C"/>
    <w:rsid w:val="6B5F77D6"/>
    <w:rsid w:val="6B7C583A"/>
    <w:rsid w:val="6B8448F8"/>
    <w:rsid w:val="6B8E2286"/>
    <w:rsid w:val="6B9B2AB6"/>
    <w:rsid w:val="6BA52E67"/>
    <w:rsid w:val="6BBA2569"/>
    <w:rsid w:val="6BD60CE9"/>
    <w:rsid w:val="6BDE4051"/>
    <w:rsid w:val="6BE65DDF"/>
    <w:rsid w:val="6BF92EA6"/>
    <w:rsid w:val="6C1458BA"/>
    <w:rsid w:val="6C1A3A3F"/>
    <w:rsid w:val="6C37058C"/>
    <w:rsid w:val="6C3A6EB4"/>
    <w:rsid w:val="6C44290A"/>
    <w:rsid w:val="6C4E21CC"/>
    <w:rsid w:val="6C5043C9"/>
    <w:rsid w:val="6C543460"/>
    <w:rsid w:val="6C841925"/>
    <w:rsid w:val="6C9C530A"/>
    <w:rsid w:val="6CA705E7"/>
    <w:rsid w:val="6CC301DF"/>
    <w:rsid w:val="6CC369C5"/>
    <w:rsid w:val="6CDE72B9"/>
    <w:rsid w:val="6CE54ED7"/>
    <w:rsid w:val="6D1568D0"/>
    <w:rsid w:val="6D232813"/>
    <w:rsid w:val="6D2B6188"/>
    <w:rsid w:val="6D2E5EFF"/>
    <w:rsid w:val="6D4B61A9"/>
    <w:rsid w:val="6D4D70E4"/>
    <w:rsid w:val="6D500732"/>
    <w:rsid w:val="6D716E7A"/>
    <w:rsid w:val="6D8744D5"/>
    <w:rsid w:val="6D9F3446"/>
    <w:rsid w:val="6DB8252F"/>
    <w:rsid w:val="6DBA4E3D"/>
    <w:rsid w:val="6DBB5C87"/>
    <w:rsid w:val="6DC407E5"/>
    <w:rsid w:val="6DD22097"/>
    <w:rsid w:val="6DD73EE5"/>
    <w:rsid w:val="6DF1175B"/>
    <w:rsid w:val="6DFD11C8"/>
    <w:rsid w:val="6E0E3F85"/>
    <w:rsid w:val="6E1120F5"/>
    <w:rsid w:val="6E141253"/>
    <w:rsid w:val="6E354FFA"/>
    <w:rsid w:val="6E372066"/>
    <w:rsid w:val="6E383458"/>
    <w:rsid w:val="6E411512"/>
    <w:rsid w:val="6E5132A8"/>
    <w:rsid w:val="6E556E89"/>
    <w:rsid w:val="6E5A3E2A"/>
    <w:rsid w:val="6E621BA7"/>
    <w:rsid w:val="6E757EDB"/>
    <w:rsid w:val="6E7838D2"/>
    <w:rsid w:val="6E8245CD"/>
    <w:rsid w:val="6E826A6D"/>
    <w:rsid w:val="6E913A0C"/>
    <w:rsid w:val="6EB613FB"/>
    <w:rsid w:val="6EBC1EB1"/>
    <w:rsid w:val="6EC436F9"/>
    <w:rsid w:val="6ECB773E"/>
    <w:rsid w:val="6EEE6008"/>
    <w:rsid w:val="6F072F5F"/>
    <w:rsid w:val="6F0B01CF"/>
    <w:rsid w:val="6F1437A7"/>
    <w:rsid w:val="6F323188"/>
    <w:rsid w:val="6F367997"/>
    <w:rsid w:val="6F37614E"/>
    <w:rsid w:val="6F3E1697"/>
    <w:rsid w:val="6F5E0AEA"/>
    <w:rsid w:val="6F6D15C3"/>
    <w:rsid w:val="6F712DFF"/>
    <w:rsid w:val="6F775D21"/>
    <w:rsid w:val="6F7D6F8F"/>
    <w:rsid w:val="6F7EA727"/>
    <w:rsid w:val="6F7FE3F9"/>
    <w:rsid w:val="6F8F42D9"/>
    <w:rsid w:val="6F97714F"/>
    <w:rsid w:val="6F9A7EFB"/>
    <w:rsid w:val="6F9DD2C7"/>
    <w:rsid w:val="6FA3A9D7"/>
    <w:rsid w:val="6FB11082"/>
    <w:rsid w:val="6FB16C80"/>
    <w:rsid w:val="6FD50BB2"/>
    <w:rsid w:val="6FD7719A"/>
    <w:rsid w:val="6FE05E56"/>
    <w:rsid w:val="6FE61870"/>
    <w:rsid w:val="6FF03115"/>
    <w:rsid w:val="6FF3224B"/>
    <w:rsid w:val="6FF62401"/>
    <w:rsid w:val="700042BB"/>
    <w:rsid w:val="701275A1"/>
    <w:rsid w:val="70134BD0"/>
    <w:rsid w:val="701C0653"/>
    <w:rsid w:val="70222324"/>
    <w:rsid w:val="70276902"/>
    <w:rsid w:val="70317971"/>
    <w:rsid w:val="70335B54"/>
    <w:rsid w:val="704052A7"/>
    <w:rsid w:val="704054E6"/>
    <w:rsid w:val="70576360"/>
    <w:rsid w:val="705B2237"/>
    <w:rsid w:val="705D650B"/>
    <w:rsid w:val="70665897"/>
    <w:rsid w:val="7078790C"/>
    <w:rsid w:val="7079458C"/>
    <w:rsid w:val="70916234"/>
    <w:rsid w:val="709D2BDF"/>
    <w:rsid w:val="709D7EA2"/>
    <w:rsid w:val="70B51A83"/>
    <w:rsid w:val="70BB3B32"/>
    <w:rsid w:val="70C46A0F"/>
    <w:rsid w:val="70D06A65"/>
    <w:rsid w:val="70E36B43"/>
    <w:rsid w:val="70F85F15"/>
    <w:rsid w:val="710328AF"/>
    <w:rsid w:val="7104439B"/>
    <w:rsid w:val="710A37ED"/>
    <w:rsid w:val="711A2413"/>
    <w:rsid w:val="712103DA"/>
    <w:rsid w:val="71352C64"/>
    <w:rsid w:val="71433F30"/>
    <w:rsid w:val="715C402B"/>
    <w:rsid w:val="715E644B"/>
    <w:rsid w:val="716F56C6"/>
    <w:rsid w:val="71743F3B"/>
    <w:rsid w:val="717D7608"/>
    <w:rsid w:val="719B5ECA"/>
    <w:rsid w:val="719E22FD"/>
    <w:rsid w:val="71D83117"/>
    <w:rsid w:val="71EC2BF4"/>
    <w:rsid w:val="721E634C"/>
    <w:rsid w:val="722A5A36"/>
    <w:rsid w:val="723325EF"/>
    <w:rsid w:val="723C6703"/>
    <w:rsid w:val="725B547C"/>
    <w:rsid w:val="726A2BF2"/>
    <w:rsid w:val="726E536C"/>
    <w:rsid w:val="72745627"/>
    <w:rsid w:val="727F103E"/>
    <w:rsid w:val="72810834"/>
    <w:rsid w:val="728653BD"/>
    <w:rsid w:val="728A581C"/>
    <w:rsid w:val="729C5E65"/>
    <w:rsid w:val="72B06BC6"/>
    <w:rsid w:val="72D226A2"/>
    <w:rsid w:val="72D53C1A"/>
    <w:rsid w:val="72D630F5"/>
    <w:rsid w:val="72DE55C8"/>
    <w:rsid w:val="72DE6480"/>
    <w:rsid w:val="72E02821"/>
    <w:rsid w:val="72E05405"/>
    <w:rsid w:val="72E7474C"/>
    <w:rsid w:val="72EC38E7"/>
    <w:rsid w:val="72FA7477"/>
    <w:rsid w:val="72FEF3E1"/>
    <w:rsid w:val="73052373"/>
    <w:rsid w:val="73062259"/>
    <w:rsid w:val="730A3F9B"/>
    <w:rsid w:val="730B2F03"/>
    <w:rsid w:val="73194A2F"/>
    <w:rsid w:val="732C4251"/>
    <w:rsid w:val="73381E7F"/>
    <w:rsid w:val="73464ACC"/>
    <w:rsid w:val="734A61BA"/>
    <w:rsid w:val="735161EA"/>
    <w:rsid w:val="735804A4"/>
    <w:rsid w:val="736871CE"/>
    <w:rsid w:val="7373129C"/>
    <w:rsid w:val="737D77CA"/>
    <w:rsid w:val="73A228F4"/>
    <w:rsid w:val="73AE64E9"/>
    <w:rsid w:val="73B030BB"/>
    <w:rsid w:val="73F103D9"/>
    <w:rsid w:val="73FF888D"/>
    <w:rsid w:val="74045D91"/>
    <w:rsid w:val="740A3BF9"/>
    <w:rsid w:val="740B10E3"/>
    <w:rsid w:val="740F250F"/>
    <w:rsid w:val="74120DAB"/>
    <w:rsid w:val="742F306D"/>
    <w:rsid w:val="74304F4F"/>
    <w:rsid w:val="74335687"/>
    <w:rsid w:val="744A7A67"/>
    <w:rsid w:val="746A4253"/>
    <w:rsid w:val="746C71F1"/>
    <w:rsid w:val="747E0D1D"/>
    <w:rsid w:val="748A2F87"/>
    <w:rsid w:val="748E3B1E"/>
    <w:rsid w:val="749B7A30"/>
    <w:rsid w:val="74A03DAD"/>
    <w:rsid w:val="74C05F8C"/>
    <w:rsid w:val="74C36667"/>
    <w:rsid w:val="74C61730"/>
    <w:rsid w:val="750B1798"/>
    <w:rsid w:val="751B7056"/>
    <w:rsid w:val="751F44B5"/>
    <w:rsid w:val="752977FE"/>
    <w:rsid w:val="752F42BF"/>
    <w:rsid w:val="754158CB"/>
    <w:rsid w:val="75527AA5"/>
    <w:rsid w:val="75617A89"/>
    <w:rsid w:val="75715DEF"/>
    <w:rsid w:val="75792FED"/>
    <w:rsid w:val="759F75CB"/>
    <w:rsid w:val="75A51CE4"/>
    <w:rsid w:val="75A75BD8"/>
    <w:rsid w:val="75AD3AC3"/>
    <w:rsid w:val="75AE77F5"/>
    <w:rsid w:val="75B15C38"/>
    <w:rsid w:val="75B378E1"/>
    <w:rsid w:val="75C53123"/>
    <w:rsid w:val="75D908F4"/>
    <w:rsid w:val="75E17471"/>
    <w:rsid w:val="75EA7ACB"/>
    <w:rsid w:val="75EE589F"/>
    <w:rsid w:val="76090F74"/>
    <w:rsid w:val="76280FD0"/>
    <w:rsid w:val="763D4B6D"/>
    <w:rsid w:val="764376AA"/>
    <w:rsid w:val="76440942"/>
    <w:rsid w:val="76470D74"/>
    <w:rsid w:val="764B6164"/>
    <w:rsid w:val="764F0194"/>
    <w:rsid w:val="76582559"/>
    <w:rsid w:val="76620E39"/>
    <w:rsid w:val="767174B1"/>
    <w:rsid w:val="76810219"/>
    <w:rsid w:val="76835BD3"/>
    <w:rsid w:val="76870159"/>
    <w:rsid w:val="768701E7"/>
    <w:rsid w:val="76895A77"/>
    <w:rsid w:val="768E467D"/>
    <w:rsid w:val="76942F25"/>
    <w:rsid w:val="76AA5465"/>
    <w:rsid w:val="76AE3BA6"/>
    <w:rsid w:val="76C5430D"/>
    <w:rsid w:val="76C55295"/>
    <w:rsid w:val="76CF766B"/>
    <w:rsid w:val="76D97E8B"/>
    <w:rsid w:val="76DA1443"/>
    <w:rsid w:val="77230334"/>
    <w:rsid w:val="7734716F"/>
    <w:rsid w:val="773A353A"/>
    <w:rsid w:val="773A69BD"/>
    <w:rsid w:val="773E6D16"/>
    <w:rsid w:val="7744600C"/>
    <w:rsid w:val="77455EB9"/>
    <w:rsid w:val="774F4015"/>
    <w:rsid w:val="77575D82"/>
    <w:rsid w:val="775C2BFA"/>
    <w:rsid w:val="775D72FA"/>
    <w:rsid w:val="775E7AF4"/>
    <w:rsid w:val="77605F90"/>
    <w:rsid w:val="777F6627"/>
    <w:rsid w:val="778C1897"/>
    <w:rsid w:val="77979300"/>
    <w:rsid w:val="779D06A8"/>
    <w:rsid w:val="77A11DC6"/>
    <w:rsid w:val="77A71616"/>
    <w:rsid w:val="77C65C67"/>
    <w:rsid w:val="77CB1CB3"/>
    <w:rsid w:val="77DBB23A"/>
    <w:rsid w:val="77DC14A3"/>
    <w:rsid w:val="77E13C62"/>
    <w:rsid w:val="77F6EFB1"/>
    <w:rsid w:val="77F721FD"/>
    <w:rsid w:val="77F74432"/>
    <w:rsid w:val="77FA1ECE"/>
    <w:rsid w:val="77FE3571"/>
    <w:rsid w:val="780A5D56"/>
    <w:rsid w:val="78164F4E"/>
    <w:rsid w:val="78334E1D"/>
    <w:rsid w:val="78390E0D"/>
    <w:rsid w:val="783D4882"/>
    <w:rsid w:val="784949A2"/>
    <w:rsid w:val="784C494A"/>
    <w:rsid w:val="78527F33"/>
    <w:rsid w:val="78612FB6"/>
    <w:rsid w:val="786271FE"/>
    <w:rsid w:val="78645652"/>
    <w:rsid w:val="786B267A"/>
    <w:rsid w:val="788F5ED7"/>
    <w:rsid w:val="78900E5B"/>
    <w:rsid w:val="78972412"/>
    <w:rsid w:val="78A67420"/>
    <w:rsid w:val="78B46F0D"/>
    <w:rsid w:val="78C36E38"/>
    <w:rsid w:val="78C645B1"/>
    <w:rsid w:val="78CE531A"/>
    <w:rsid w:val="78E4486C"/>
    <w:rsid w:val="790100A8"/>
    <w:rsid w:val="79030AAF"/>
    <w:rsid w:val="79190FF6"/>
    <w:rsid w:val="791B480A"/>
    <w:rsid w:val="79653883"/>
    <w:rsid w:val="798229EC"/>
    <w:rsid w:val="798801D7"/>
    <w:rsid w:val="79976D4B"/>
    <w:rsid w:val="799E4142"/>
    <w:rsid w:val="79DE1505"/>
    <w:rsid w:val="79F85F14"/>
    <w:rsid w:val="79FDADB4"/>
    <w:rsid w:val="7A00465B"/>
    <w:rsid w:val="7A0E0631"/>
    <w:rsid w:val="7A1D466F"/>
    <w:rsid w:val="7A426F86"/>
    <w:rsid w:val="7A491107"/>
    <w:rsid w:val="7A4A1C60"/>
    <w:rsid w:val="7A6F4BEB"/>
    <w:rsid w:val="7A8128A3"/>
    <w:rsid w:val="7AA87D17"/>
    <w:rsid w:val="7AB509A0"/>
    <w:rsid w:val="7AB53B21"/>
    <w:rsid w:val="7ABC3AAF"/>
    <w:rsid w:val="7ABC54D4"/>
    <w:rsid w:val="7ADF36CB"/>
    <w:rsid w:val="7AE5513F"/>
    <w:rsid w:val="7AF23E4B"/>
    <w:rsid w:val="7AF70372"/>
    <w:rsid w:val="7B016ACE"/>
    <w:rsid w:val="7B495648"/>
    <w:rsid w:val="7B4D2D74"/>
    <w:rsid w:val="7B4E34B8"/>
    <w:rsid w:val="7B624F38"/>
    <w:rsid w:val="7B694CBE"/>
    <w:rsid w:val="7B7146E3"/>
    <w:rsid w:val="7B896F1D"/>
    <w:rsid w:val="7B8D3869"/>
    <w:rsid w:val="7B9E6C48"/>
    <w:rsid w:val="7BA45FB3"/>
    <w:rsid w:val="7BA51996"/>
    <w:rsid w:val="7BAF0260"/>
    <w:rsid w:val="7BAF47C2"/>
    <w:rsid w:val="7BE26CD1"/>
    <w:rsid w:val="7BE72F34"/>
    <w:rsid w:val="7BF348FE"/>
    <w:rsid w:val="7BF523B2"/>
    <w:rsid w:val="7BFB6778"/>
    <w:rsid w:val="7C1E3C6A"/>
    <w:rsid w:val="7C227A42"/>
    <w:rsid w:val="7C383F2F"/>
    <w:rsid w:val="7C3C3870"/>
    <w:rsid w:val="7C522FAB"/>
    <w:rsid w:val="7C5D1347"/>
    <w:rsid w:val="7C794B79"/>
    <w:rsid w:val="7C8A1F36"/>
    <w:rsid w:val="7C972622"/>
    <w:rsid w:val="7C983DC5"/>
    <w:rsid w:val="7C9B290B"/>
    <w:rsid w:val="7CBC30BC"/>
    <w:rsid w:val="7CD34EFA"/>
    <w:rsid w:val="7CEC02B7"/>
    <w:rsid w:val="7CF3039F"/>
    <w:rsid w:val="7CFB5F43"/>
    <w:rsid w:val="7CFF0DF6"/>
    <w:rsid w:val="7D1C09C8"/>
    <w:rsid w:val="7D3403C0"/>
    <w:rsid w:val="7D3E4B29"/>
    <w:rsid w:val="7D426CFE"/>
    <w:rsid w:val="7D465B74"/>
    <w:rsid w:val="7D5B67C5"/>
    <w:rsid w:val="7D6B36EA"/>
    <w:rsid w:val="7D7670CE"/>
    <w:rsid w:val="7D7B1529"/>
    <w:rsid w:val="7D7DA224"/>
    <w:rsid w:val="7D852752"/>
    <w:rsid w:val="7D87066E"/>
    <w:rsid w:val="7D902BED"/>
    <w:rsid w:val="7D944798"/>
    <w:rsid w:val="7DA17E80"/>
    <w:rsid w:val="7DA97EF6"/>
    <w:rsid w:val="7DBC0630"/>
    <w:rsid w:val="7DBC21FB"/>
    <w:rsid w:val="7DCA095D"/>
    <w:rsid w:val="7DDF3E45"/>
    <w:rsid w:val="7DE06CCB"/>
    <w:rsid w:val="7DEFEC88"/>
    <w:rsid w:val="7DF37838"/>
    <w:rsid w:val="7DFCE296"/>
    <w:rsid w:val="7DFF577E"/>
    <w:rsid w:val="7E013ECE"/>
    <w:rsid w:val="7E3204F3"/>
    <w:rsid w:val="7E407583"/>
    <w:rsid w:val="7E426AD7"/>
    <w:rsid w:val="7E470AF8"/>
    <w:rsid w:val="7E503196"/>
    <w:rsid w:val="7E694BBF"/>
    <w:rsid w:val="7E6F648D"/>
    <w:rsid w:val="7E80030A"/>
    <w:rsid w:val="7E842F5D"/>
    <w:rsid w:val="7E886B21"/>
    <w:rsid w:val="7E8C5A8D"/>
    <w:rsid w:val="7E94010D"/>
    <w:rsid w:val="7EA20CC4"/>
    <w:rsid w:val="7EB074D1"/>
    <w:rsid w:val="7EB76E61"/>
    <w:rsid w:val="7EBE60E8"/>
    <w:rsid w:val="7EBF1474"/>
    <w:rsid w:val="7EDB4251"/>
    <w:rsid w:val="7EE23448"/>
    <w:rsid w:val="7EEB099B"/>
    <w:rsid w:val="7EF160E9"/>
    <w:rsid w:val="7EF7BCBA"/>
    <w:rsid w:val="7EFC3D9E"/>
    <w:rsid w:val="7EFF6368"/>
    <w:rsid w:val="7F08036B"/>
    <w:rsid w:val="7F107E3E"/>
    <w:rsid w:val="7F1D756E"/>
    <w:rsid w:val="7F206742"/>
    <w:rsid w:val="7F2E0D67"/>
    <w:rsid w:val="7F463A5A"/>
    <w:rsid w:val="7F4E235B"/>
    <w:rsid w:val="7F654A5C"/>
    <w:rsid w:val="7F6F4605"/>
    <w:rsid w:val="7F6F6F27"/>
    <w:rsid w:val="7F797AC7"/>
    <w:rsid w:val="7F7B263D"/>
    <w:rsid w:val="7F7EEAE3"/>
    <w:rsid w:val="7F83792B"/>
    <w:rsid w:val="7F8B5310"/>
    <w:rsid w:val="7F917151"/>
    <w:rsid w:val="7F9D1759"/>
    <w:rsid w:val="7FB285E7"/>
    <w:rsid w:val="7FC34885"/>
    <w:rsid w:val="7FCE13DE"/>
    <w:rsid w:val="7FE73FE8"/>
    <w:rsid w:val="7FF52D0F"/>
    <w:rsid w:val="7FF73156"/>
    <w:rsid w:val="7FF787E3"/>
    <w:rsid w:val="7FF7AEBF"/>
    <w:rsid w:val="7FF91036"/>
    <w:rsid w:val="7FF9DBD8"/>
    <w:rsid w:val="7FFB4657"/>
    <w:rsid w:val="7FFB8EBA"/>
    <w:rsid w:val="7FFFB17B"/>
    <w:rsid w:val="7FFFD053"/>
    <w:rsid w:val="909BDAF3"/>
    <w:rsid w:val="9EF30F51"/>
    <w:rsid w:val="ACFFB456"/>
    <w:rsid w:val="B6E70A94"/>
    <w:rsid w:val="B6EEAA87"/>
    <w:rsid w:val="B7F32EA2"/>
    <w:rsid w:val="BDFE2345"/>
    <w:rsid w:val="BEA7B33A"/>
    <w:rsid w:val="BEDF4A3C"/>
    <w:rsid w:val="BFBE00F4"/>
    <w:rsid w:val="BFFD384E"/>
    <w:rsid w:val="BFFFB4C4"/>
    <w:rsid w:val="CEDF6DC9"/>
    <w:rsid w:val="CFF708B0"/>
    <w:rsid w:val="D0FF231F"/>
    <w:rsid w:val="D3EFD3A8"/>
    <w:rsid w:val="D7FBA056"/>
    <w:rsid w:val="D7FFC45D"/>
    <w:rsid w:val="DAC78783"/>
    <w:rsid w:val="DCFF5CB9"/>
    <w:rsid w:val="DFEB0F0A"/>
    <w:rsid w:val="DFFF823E"/>
    <w:rsid w:val="E77C301D"/>
    <w:rsid w:val="E965D875"/>
    <w:rsid w:val="EB7723BB"/>
    <w:rsid w:val="EBBFEE21"/>
    <w:rsid w:val="EF5BD580"/>
    <w:rsid w:val="EFFBEA41"/>
    <w:rsid w:val="EFFFE86A"/>
    <w:rsid w:val="F3CB3F73"/>
    <w:rsid w:val="F3E7382C"/>
    <w:rsid w:val="F3FD898C"/>
    <w:rsid w:val="F569818B"/>
    <w:rsid w:val="F5F7FB23"/>
    <w:rsid w:val="F65B6F1B"/>
    <w:rsid w:val="F66B1FD3"/>
    <w:rsid w:val="F67DEB10"/>
    <w:rsid w:val="F767C060"/>
    <w:rsid w:val="F7798A12"/>
    <w:rsid w:val="F77F6A35"/>
    <w:rsid w:val="F7EFE4C7"/>
    <w:rsid w:val="F7FF0809"/>
    <w:rsid w:val="F96925B5"/>
    <w:rsid w:val="FADFBF80"/>
    <w:rsid w:val="FAFF7781"/>
    <w:rsid w:val="FBDEE7FE"/>
    <w:rsid w:val="FBEE35D8"/>
    <w:rsid w:val="FCDD4125"/>
    <w:rsid w:val="FCEDAA07"/>
    <w:rsid w:val="FDBDE158"/>
    <w:rsid w:val="FE3F7041"/>
    <w:rsid w:val="FEFB8399"/>
    <w:rsid w:val="FF39BBA1"/>
    <w:rsid w:val="FF7EBAFA"/>
    <w:rsid w:val="FFAF9581"/>
    <w:rsid w:val="FFBE700A"/>
    <w:rsid w:val="FFEB833F"/>
    <w:rsid w:val="FFFF7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kern w:val="2"/>
      <w:sz w:val="32"/>
      <w:szCs w:val="24"/>
      <w:lang w:val="en-US" w:eastAsia="zh-CN" w:bidi="ar-SA"/>
    </w:rPr>
  </w:style>
  <w:style w:type="paragraph" w:styleId="3">
    <w:name w:val="heading 1"/>
    <w:basedOn w:val="1"/>
    <w:next w:val="1"/>
    <w:qFormat/>
    <w:uiPriority w:val="0"/>
    <w:pPr>
      <w:keepNext/>
      <w:keepLines/>
      <w:spacing w:line="360" w:lineRule="auto"/>
      <w:ind w:firstLine="800" w:firstLineChars="200"/>
      <w:outlineLvl w:val="0"/>
    </w:pPr>
    <w:rPr>
      <w:rFonts w:eastAsia="黑体"/>
      <w:kern w:val="44"/>
      <w:sz w:val="32"/>
    </w:rPr>
  </w:style>
  <w:style w:type="paragraph" w:styleId="4">
    <w:name w:val="heading 2"/>
    <w:basedOn w:val="1"/>
    <w:next w:val="1"/>
    <w:link w:val="22"/>
    <w:unhideWhenUsed/>
    <w:qFormat/>
    <w:uiPriority w:val="0"/>
    <w:pPr>
      <w:ind w:firstLine="800" w:firstLineChars="200"/>
      <w:outlineLvl w:val="1"/>
    </w:pPr>
    <w:rPr>
      <w:rFonts w:ascii="Times New Roman" w:hAnsi="Times New Roman" w:eastAsia="楷体_GB2312" w:cs="Times New Roman"/>
      <w:b/>
      <w:bCs/>
      <w:kern w:val="0"/>
      <w:sz w:val="32"/>
      <w:szCs w:val="36"/>
    </w:rPr>
  </w:style>
  <w:style w:type="paragraph" w:styleId="5">
    <w:name w:val="heading 3"/>
    <w:basedOn w:val="1"/>
    <w:next w:val="1"/>
    <w:unhideWhenUsed/>
    <w:qFormat/>
    <w:uiPriority w:val="0"/>
    <w:pPr>
      <w:keepNext/>
      <w:keepLines/>
      <w:ind w:firstLine="800" w:firstLineChars="200"/>
      <w:outlineLvl w:val="2"/>
    </w:pPr>
    <w:rPr>
      <w:rFonts w:ascii="Times New Roman" w:hAnsi="Times New Roman" w:eastAsia="仿宋_GB2312"/>
      <w:b/>
      <w:sz w:val="32"/>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customStyle="1" w:styleId="2">
    <w:name w:val="正文缩进1"/>
    <w:basedOn w:val="1"/>
    <w:qFormat/>
    <w:uiPriority w:val="0"/>
    <w:pPr>
      <w:spacing w:line="500" w:lineRule="exact"/>
      <w:ind w:right="26" w:rightChars="8" w:firstLine="640"/>
    </w:pPr>
    <w:rPr>
      <w:rFonts w:ascii="楷体_GB2312" w:eastAsia="楷体_GB2312"/>
      <w:sz w:val="30"/>
      <w:szCs w:val="32"/>
    </w:rPr>
  </w:style>
  <w:style w:type="paragraph" w:styleId="6">
    <w:name w:val="annotation text"/>
    <w:basedOn w:val="1"/>
    <w:link w:val="23"/>
    <w:qFormat/>
    <w:uiPriority w:val="0"/>
    <w:pPr>
      <w:jc w:val="left"/>
    </w:pPr>
  </w:style>
  <w:style w:type="paragraph" w:styleId="7">
    <w:name w:val="Body Text Indent"/>
    <w:basedOn w:val="1"/>
    <w:qFormat/>
    <w:uiPriority w:val="0"/>
    <w:pPr>
      <w:ind w:firstLine="632" w:firstLineChars="200"/>
    </w:pPr>
  </w:style>
  <w:style w:type="paragraph" w:styleId="8">
    <w:name w:val="footer"/>
    <w:basedOn w:val="1"/>
    <w:link w:val="25"/>
    <w:qFormat/>
    <w:uiPriority w:val="99"/>
    <w:pPr>
      <w:tabs>
        <w:tab w:val="center" w:pos="4153"/>
        <w:tab w:val="right" w:pos="8306"/>
      </w:tabs>
      <w:snapToGrid w:val="0"/>
      <w:jc w:val="left"/>
    </w:pPr>
    <w:rPr>
      <w:sz w:val="18"/>
      <w:szCs w:val="18"/>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Body Text First Indent 2"/>
    <w:basedOn w:val="7"/>
    <w:qFormat/>
    <w:uiPriority w:val="0"/>
    <w:pPr>
      <w:spacing w:after="120"/>
      <w:ind w:left="200" w:leftChars="200" w:firstLine="200"/>
    </w:pPr>
    <w:rPr>
      <w:rFonts w:cs="Droid Sans"/>
      <w:sz w:val="3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Body Text First Indent 21"/>
    <w:basedOn w:val="16"/>
    <w:qFormat/>
    <w:uiPriority w:val="0"/>
    <w:pPr>
      <w:spacing w:after="0"/>
      <w:ind w:firstLine="420" w:firstLineChars="200"/>
    </w:pPr>
  </w:style>
  <w:style w:type="paragraph" w:customStyle="1" w:styleId="16">
    <w:name w:val="Body Text Indent1"/>
    <w:basedOn w:val="1"/>
    <w:qFormat/>
    <w:uiPriority w:val="0"/>
    <w:pPr>
      <w:spacing w:after="120"/>
      <w:ind w:left="420" w:leftChars="200"/>
    </w:pPr>
  </w:style>
  <w:style w:type="paragraph" w:customStyle="1" w:styleId="17">
    <w:name w:val="正文文本首行缩进 21"/>
    <w:basedOn w:val="18"/>
    <w:qFormat/>
    <w:uiPriority w:val="0"/>
    <w:pPr>
      <w:spacing w:line="360" w:lineRule="auto"/>
    </w:pPr>
    <w:rPr>
      <w:rFonts w:eastAsia="宋体"/>
      <w:sz w:val="24"/>
    </w:rPr>
  </w:style>
  <w:style w:type="paragraph" w:customStyle="1" w:styleId="18">
    <w:name w:val="正文文本缩进1"/>
    <w:basedOn w:val="1"/>
    <w:qFormat/>
    <w:uiPriority w:val="0"/>
    <w:pPr>
      <w:spacing w:line="150" w:lineRule="atLeast"/>
      <w:ind w:firstLine="420" w:firstLineChars="200"/>
      <w:textAlignment w:val="baseline"/>
    </w:pPr>
    <w:rPr>
      <w:rFonts w:ascii="Times New Roman" w:hAnsi="Times New Roman" w:cs="Times New Roman"/>
    </w:rPr>
  </w:style>
  <w:style w:type="paragraph" w:customStyle="1" w:styleId="19">
    <w:name w:val="纯文本1"/>
    <w:basedOn w:val="1"/>
    <w:qFormat/>
    <w:uiPriority w:val="0"/>
    <w:rPr>
      <w:rFonts w:hint="eastAsia" w:ascii="宋体" w:hAnsi="Courier New"/>
    </w:rPr>
  </w:style>
  <w:style w:type="character" w:customStyle="1" w:styleId="20">
    <w:name w:val="font21"/>
    <w:basedOn w:val="14"/>
    <w:qFormat/>
    <w:uiPriority w:val="0"/>
    <w:rPr>
      <w:rFonts w:hint="default" w:ascii="Times New Roman" w:hAnsi="Times New Roman" w:cs="Times New Roman"/>
      <w:color w:val="000000"/>
      <w:sz w:val="22"/>
      <w:szCs w:val="22"/>
      <w:u w:val="none"/>
    </w:rPr>
  </w:style>
  <w:style w:type="character" w:customStyle="1" w:styleId="21">
    <w:name w:val="font01"/>
    <w:basedOn w:val="14"/>
    <w:qFormat/>
    <w:uiPriority w:val="0"/>
    <w:rPr>
      <w:rFonts w:hint="eastAsia" w:ascii="等线" w:hAnsi="等线" w:eastAsia="等线" w:cs="等线"/>
      <w:color w:val="000000"/>
      <w:sz w:val="22"/>
      <w:szCs w:val="22"/>
      <w:u w:val="none"/>
    </w:rPr>
  </w:style>
  <w:style w:type="character" w:customStyle="1" w:styleId="22">
    <w:name w:val="标题 2 字符"/>
    <w:link w:val="4"/>
    <w:qFormat/>
    <w:uiPriority w:val="0"/>
    <w:rPr>
      <w:rFonts w:hint="default" w:ascii="Times New Roman" w:hAnsi="Times New Roman" w:eastAsia="楷体_GB2312" w:cs="宋体"/>
      <w:b/>
      <w:bCs/>
      <w:kern w:val="0"/>
      <w:sz w:val="32"/>
      <w:szCs w:val="36"/>
      <w:lang w:bidi="ar"/>
    </w:rPr>
  </w:style>
  <w:style w:type="character" w:customStyle="1" w:styleId="23">
    <w:name w:val="批注文字 字符"/>
    <w:basedOn w:val="14"/>
    <w:link w:val="6"/>
    <w:qFormat/>
    <w:uiPriority w:val="0"/>
    <w:rPr>
      <w:rFonts w:asciiTheme="minorHAnsi" w:hAnsiTheme="minorHAnsi" w:eastAsiaTheme="minorEastAsia" w:cstheme="minorBidi"/>
      <w:kern w:val="2"/>
      <w:sz w:val="21"/>
      <w:szCs w:val="24"/>
    </w:rPr>
  </w:style>
  <w:style w:type="character" w:customStyle="1" w:styleId="24">
    <w:name w:val="页眉 字符"/>
    <w:basedOn w:val="14"/>
    <w:link w:val="9"/>
    <w:qFormat/>
    <w:uiPriority w:val="0"/>
    <w:rPr>
      <w:rFonts w:asciiTheme="minorHAnsi" w:hAnsiTheme="minorHAnsi" w:eastAsiaTheme="minorEastAsia" w:cstheme="minorBidi"/>
      <w:kern w:val="2"/>
      <w:sz w:val="18"/>
      <w:szCs w:val="18"/>
    </w:rPr>
  </w:style>
  <w:style w:type="character" w:customStyle="1" w:styleId="25">
    <w:name w:val="页脚 字符"/>
    <w:basedOn w:val="14"/>
    <w:link w:val="8"/>
    <w:qFormat/>
    <w:uiPriority w:val="99"/>
    <w:rPr>
      <w:rFonts w:asciiTheme="minorHAnsi" w:hAnsiTheme="minorHAnsi" w:eastAsiaTheme="minorEastAsia" w:cstheme="minorBidi"/>
      <w:kern w:val="2"/>
      <w:sz w:val="18"/>
      <w:szCs w:val="18"/>
    </w:rPr>
  </w:style>
  <w:style w:type="paragraph" w:customStyle="1" w:styleId="26">
    <w:name w:val="修订1"/>
    <w:hidden/>
    <w:semiHidden/>
    <w:qFormat/>
    <w:uiPriority w:val="99"/>
    <w:rPr>
      <w:rFonts w:asciiTheme="minorHAnsi" w:hAnsiTheme="minorHAnsi" w:eastAsiaTheme="minorEastAsia" w:cstheme="minorBidi"/>
      <w:kern w:val="2"/>
      <w:sz w:val="21"/>
      <w:szCs w:val="24"/>
      <w:lang w:val="en-US" w:eastAsia="zh-CN" w:bidi="ar-SA"/>
    </w:rPr>
  </w:style>
  <w:style w:type="table" w:customStyle="1" w:styleId="27">
    <w:name w:val="网格型1"/>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2189</Words>
  <Characters>12479</Characters>
  <Lines>103</Lines>
  <Paragraphs>29</Paragraphs>
  <TotalTime>7</TotalTime>
  <ScaleCrop>false</ScaleCrop>
  <LinksUpToDate>false</LinksUpToDate>
  <CharactersWithSpaces>14639</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2022-01-12T07:19:00Z</dcterms:created>
  <dc:creator>熊津晶</dc:creator>
  <cp:lastModifiedBy>陈楚海</cp:lastModifiedBy>
  <cp:lastPrinted>2022-01-21T06:20:00Z</cp:lastPrinted>
  <dcterms:modified xsi:type="dcterms:W3CDTF">2022-04-19T06:19:45Z</dcterms:modified>
  <dc:title>广东省2022年水污染防治攻坚工作方案</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ED82097F57C2469BBA5782EBC4D34566</vt:lpwstr>
  </property>
</Properties>
</file>