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4D" w:rsidRPr="00161857" w:rsidRDefault="00B8164D" w:rsidP="00161857">
      <w:pPr>
        <w:pStyle w:val="NormalWeb"/>
        <w:shd w:val="clear" w:color="auto" w:fill="FFFFFF"/>
        <w:spacing w:before="0" w:beforeAutospacing="0" w:after="0" w:afterAutospacing="0" w:line="450" w:lineRule="atLeast"/>
        <w:textAlignment w:val="center"/>
        <w:rPr>
          <w:rStyle w:val="Strong"/>
          <w:rFonts w:ascii="华文中宋" w:eastAsia="华文中宋" w:hAnsi="华文中宋" w:cs="宋体"/>
          <w:spacing w:val="-14"/>
          <w:sz w:val="40"/>
          <w:szCs w:val="40"/>
        </w:rPr>
      </w:pPr>
      <w:r w:rsidRPr="00161857">
        <w:rPr>
          <w:rStyle w:val="Strong"/>
          <w:rFonts w:ascii="华文中宋" w:eastAsia="华文中宋" w:hAnsi="华文中宋" w:cs="宋体" w:hint="eastAsia"/>
          <w:spacing w:val="-14"/>
          <w:sz w:val="40"/>
          <w:szCs w:val="40"/>
        </w:rPr>
        <w:t>关于《汕尾市人才发展促进条例（草案）》的起草说明</w:t>
      </w:r>
    </w:p>
    <w:p w:rsidR="00B8164D" w:rsidRDefault="00B8164D">
      <w:pPr>
        <w:pStyle w:val="NormalWeb"/>
        <w:shd w:val="clear" w:color="auto" w:fill="FFFFFF"/>
        <w:spacing w:before="0" w:beforeAutospacing="0" w:after="0" w:afterAutospacing="0" w:line="450" w:lineRule="atLeast"/>
        <w:ind w:firstLine="480"/>
        <w:jc w:val="center"/>
        <w:textAlignment w:val="center"/>
        <w:rPr>
          <w:rStyle w:val="Strong"/>
          <w:rFonts w:cs="宋体"/>
          <w:sz w:val="44"/>
          <w:szCs w:val="44"/>
        </w:rPr>
      </w:pP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为深入实施人才强市战略，进一步优化我市人才发展环境，激发人才创新创业活力，促进人才事业发展，</w:t>
      </w:r>
      <w:bookmarkStart w:id="0" w:name="_Hlk98924421"/>
      <w:r w:rsidRPr="00161857">
        <w:rPr>
          <w:rFonts w:ascii="仿宋_GB2312" w:eastAsia="仿宋_GB2312" w:hAnsi="仿宋" w:cs="仿宋" w:hint="eastAsia"/>
          <w:sz w:val="32"/>
          <w:szCs w:val="32"/>
        </w:rPr>
        <w:t>用立法形式为人才事业发展提供法治保障，</w:t>
      </w:r>
      <w:bookmarkEnd w:id="0"/>
      <w:r w:rsidRPr="00161857">
        <w:rPr>
          <w:rFonts w:ascii="仿宋_GB2312" w:eastAsia="仿宋_GB2312" w:hAnsi="仿宋" w:cs="仿宋" w:hint="eastAsia"/>
          <w:sz w:val="32"/>
          <w:szCs w:val="32"/>
        </w:rPr>
        <w:t>根据《广东省人才发展条例》《汕尾市制定地方性法规条例》《汕尾市人民政府拟定地方性法规草案和制定政府规章程序规定》等有关规定，结合我市实际，我局牵头起草了《汕尾市人才发展促进条例（草案）》（以下简称《条例》），现将起草情况汇报如下：</w:t>
      </w:r>
    </w:p>
    <w:p w:rsidR="00B8164D" w:rsidRPr="00161857" w:rsidRDefault="00B8164D" w:rsidP="00161857">
      <w:pPr>
        <w:pStyle w:val="NormalWeb"/>
        <w:shd w:val="clear" w:color="auto" w:fill="FFFFFF"/>
        <w:spacing w:before="0" w:beforeAutospacing="0" w:after="0" w:afterAutospacing="0" w:line="450" w:lineRule="atLeast"/>
        <w:ind w:firstLineChars="199" w:firstLine="31680"/>
        <w:jc w:val="both"/>
        <w:textAlignment w:val="center"/>
        <w:rPr>
          <w:rStyle w:val="Strong"/>
          <w:rFonts w:ascii="黑体" w:eastAsia="黑体" w:hAnsi="黑体" w:cs="宋体"/>
          <w:sz w:val="32"/>
          <w:szCs w:val="32"/>
        </w:rPr>
      </w:pPr>
      <w:r w:rsidRPr="00161857">
        <w:rPr>
          <w:rStyle w:val="Strong"/>
          <w:rFonts w:ascii="黑体" w:eastAsia="黑体" w:hAnsi="黑体" w:cs="宋体" w:hint="eastAsia"/>
          <w:sz w:val="32"/>
          <w:szCs w:val="32"/>
        </w:rPr>
        <w:t>一、制定《条例》的必要性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《条例》是汕尾市八届人大常委会立法规划的立法规划项目，制定的必要性主要体现在以下四方面：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（一）深入贯彻习近平总书记关于人才工作重要论述精神和中央、省、市人才工作会议精神的需要。习近平在中央人才工作会议上指出，要坚持党管人才，坚持面向世界科技前沿、面向经济主战场、面向国家重大需求、面向人民生命健康，深入实施新时代人才强国战略，全方位培养、引进、用好人才，加快建设世界重要人才中心和创新高地，为</w:t>
      </w:r>
      <w:r w:rsidRPr="00161857">
        <w:rPr>
          <w:rFonts w:ascii="仿宋_GB2312" w:eastAsia="仿宋_GB2312" w:hAnsi="仿宋" w:cs="仿宋"/>
          <w:sz w:val="32"/>
          <w:szCs w:val="32"/>
        </w:rPr>
        <w:t>2035</w:t>
      </w:r>
      <w:r w:rsidRPr="00161857">
        <w:rPr>
          <w:rFonts w:ascii="仿宋_GB2312" w:eastAsia="仿宋_GB2312" w:hAnsi="仿宋" w:cs="仿宋" w:hint="eastAsia"/>
          <w:sz w:val="32"/>
          <w:szCs w:val="32"/>
        </w:rPr>
        <w:t>年基本实现社会主义现代化提供人才支撑，为</w:t>
      </w:r>
      <w:r w:rsidRPr="00161857">
        <w:rPr>
          <w:rFonts w:ascii="仿宋_GB2312" w:eastAsia="仿宋_GB2312" w:hAnsi="仿宋" w:cs="仿宋"/>
          <w:sz w:val="32"/>
          <w:szCs w:val="32"/>
        </w:rPr>
        <w:t>2050</w:t>
      </w:r>
      <w:r w:rsidRPr="00161857">
        <w:rPr>
          <w:rFonts w:ascii="仿宋_GB2312" w:eastAsia="仿宋_GB2312" w:hAnsi="仿宋" w:cs="仿宋" w:hint="eastAsia"/>
          <w:sz w:val="32"/>
          <w:szCs w:val="32"/>
        </w:rPr>
        <w:t>年全面建成社会主义现代化强国打好人才基础。广东省、汕尾市人才工作会议也分别对推进新时代人才强省、人才强市建设进行了研究部署。为更好地贯彻落实习近平总书记关于人才工作重要论述精神和中央、省、市人才工作会议精神，我市有必要加强人才工作的立法。</w:t>
      </w:r>
    </w:p>
    <w:p w:rsidR="00B8164D" w:rsidRPr="00161857" w:rsidRDefault="00B8164D" w:rsidP="00161857">
      <w:pPr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（二）促进我市人才发展，缓解我市人才工作突出问题的需要。</w:t>
      </w:r>
      <w:r w:rsidRPr="00161857">
        <w:rPr>
          <w:rFonts w:ascii="仿宋_GB2312" w:eastAsia="仿宋_GB2312" w:hAnsi="仿宋" w:hint="eastAsia"/>
          <w:sz w:val="32"/>
          <w:szCs w:val="32"/>
        </w:rPr>
        <w:t>近年来，市委、市政府大力实施人才强市战略，制定出台了一系列的人才发展政策、计划，我市人才数量显著提升，但与全市经济社会发展的要求相比，还存在着一些问题和短板，主要表现在：一是人才总量相对不足。全市人才总量与珠三角的兄弟市相比还有不少的差距；二是人才结构不尽合理。优秀领军人才、高层次创新创业人才依然紧缺；三是人才队伍整体素质不高。市委书记张晓强同志在市委人才工作会议上指出，我市常住人口中，拥有大学（大专及以上）文化程度的人口仅占人口总数的</w:t>
      </w:r>
      <w:r w:rsidRPr="00161857">
        <w:rPr>
          <w:rFonts w:ascii="仿宋_GB2312" w:eastAsia="仿宋_GB2312" w:hAnsi="仿宋"/>
          <w:sz w:val="32"/>
          <w:szCs w:val="32"/>
        </w:rPr>
        <w:t>5.2%</w:t>
      </w:r>
      <w:r w:rsidRPr="00161857">
        <w:rPr>
          <w:rFonts w:ascii="仿宋_GB2312" w:eastAsia="仿宋_GB2312" w:hAnsi="仿宋" w:hint="eastAsia"/>
          <w:sz w:val="32"/>
          <w:szCs w:val="32"/>
        </w:rPr>
        <w:t>，专业技术人才</w:t>
      </w:r>
      <w:bookmarkStart w:id="1" w:name="_GoBack"/>
      <w:bookmarkEnd w:id="1"/>
      <w:r w:rsidRPr="00161857">
        <w:rPr>
          <w:rFonts w:ascii="仿宋_GB2312" w:eastAsia="仿宋_GB2312" w:hAnsi="仿宋" w:hint="eastAsia"/>
          <w:sz w:val="32"/>
          <w:szCs w:val="32"/>
        </w:rPr>
        <w:t>中具有高级职称比例仅为</w:t>
      </w:r>
      <w:r w:rsidRPr="00161857">
        <w:rPr>
          <w:rFonts w:ascii="仿宋_GB2312" w:eastAsia="仿宋_GB2312" w:hAnsi="仿宋"/>
          <w:sz w:val="32"/>
          <w:szCs w:val="32"/>
        </w:rPr>
        <w:t>3.6%</w:t>
      </w:r>
      <w:r w:rsidRPr="00161857">
        <w:rPr>
          <w:rFonts w:ascii="仿宋_GB2312" w:eastAsia="仿宋_GB2312" w:hAnsi="仿宋" w:hint="eastAsia"/>
          <w:sz w:val="32"/>
          <w:szCs w:val="32"/>
        </w:rPr>
        <w:t>，高技能人才占技能劳动者比例为</w:t>
      </w:r>
      <w:r w:rsidRPr="00161857">
        <w:rPr>
          <w:rFonts w:ascii="仿宋_GB2312" w:eastAsia="仿宋_GB2312" w:hAnsi="仿宋"/>
          <w:sz w:val="32"/>
          <w:szCs w:val="32"/>
        </w:rPr>
        <w:t>16%</w:t>
      </w:r>
      <w:r w:rsidRPr="00161857">
        <w:rPr>
          <w:rFonts w:ascii="仿宋_GB2312" w:eastAsia="仿宋_GB2312" w:hAnsi="仿宋" w:hint="eastAsia"/>
          <w:sz w:val="32"/>
          <w:szCs w:val="32"/>
        </w:rPr>
        <w:t>，低于全省</w:t>
      </w:r>
      <w:r w:rsidRPr="00161857">
        <w:rPr>
          <w:rFonts w:ascii="仿宋_GB2312" w:eastAsia="仿宋_GB2312" w:hAnsi="仿宋"/>
          <w:sz w:val="32"/>
          <w:szCs w:val="32"/>
        </w:rPr>
        <w:t>17.3%</w:t>
      </w:r>
      <w:r w:rsidRPr="00161857">
        <w:rPr>
          <w:rFonts w:ascii="仿宋_GB2312" w:eastAsia="仿宋_GB2312" w:hAnsi="仿宋" w:hint="eastAsia"/>
          <w:sz w:val="32"/>
          <w:szCs w:val="32"/>
        </w:rPr>
        <w:t>；四是人才工作氛围不够浓厚。红海杨帆人才计划等系列人才政策知晓度还不够高，新引进人才特别是体制外人才对政策了解还不够。当前，我市正处于大力发展经济、迈入新征程的关键时期，对人才质量、数量和层次的需求十分迫切，有必要制定《条例》，以加快建设一支规模宏大、结构优化、布局合理的人才队伍，为汕尾实现高质量发展提供坚强的人才保障和智力支持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（三）确保上位法《广东省人才发展条例》有效实施的需要。该条例是我省第一部人才发展工作领域的基础性、综合性法规，一些重要制度需要根据我市实际予以细化，以提高可操作性，并突出地方特色。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（四）我市人才工作成熟经验通过立法方式予以固定的需要。我市在人才工作中积累了一定的经验，如红海扬帆人才计划等，有必要将一些行之有效的措施通过地方性法规的形式予以制度化、常态化，为构筑汕尾人才新高地提供法治保障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黑体" w:eastAsia="黑体" w:hAnsi="黑体" w:cs="仿宋"/>
          <w:b/>
          <w:bCs/>
          <w:sz w:val="32"/>
          <w:szCs w:val="32"/>
        </w:rPr>
      </w:pPr>
      <w:r w:rsidRPr="00161857">
        <w:rPr>
          <w:rFonts w:ascii="黑体" w:eastAsia="黑体" w:hAnsi="黑体" w:cs="仿宋" w:hint="eastAsia"/>
          <w:b/>
          <w:bCs/>
          <w:sz w:val="32"/>
          <w:szCs w:val="32"/>
        </w:rPr>
        <w:t>二、《条例》起草的依据和过程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b/>
          <w:bCs/>
          <w:sz w:val="32"/>
          <w:szCs w:val="32"/>
        </w:rPr>
      </w:pPr>
      <w:r w:rsidRPr="00161857">
        <w:rPr>
          <w:rFonts w:ascii="仿宋_GB2312" w:eastAsia="仿宋_GB2312" w:hAnsi="仿宋" w:cs="仿宋" w:hint="eastAsia"/>
          <w:b/>
          <w:bCs/>
          <w:sz w:val="32"/>
          <w:szCs w:val="32"/>
        </w:rPr>
        <w:t>（一）《条例》起草的依据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起草《条例》的主要依据有：《中华人民共和国乡村振兴促进法》《中华人民共和国促进科技成果转化法》《国家中长期人才发展规划纲要（</w:t>
      </w:r>
      <w:r w:rsidRPr="00161857">
        <w:rPr>
          <w:rFonts w:ascii="仿宋_GB2312" w:eastAsia="仿宋_GB2312" w:hAnsi="仿宋" w:cs="仿宋"/>
          <w:sz w:val="32"/>
          <w:szCs w:val="32"/>
        </w:rPr>
        <w:t>2010-2020</w:t>
      </w:r>
      <w:r w:rsidRPr="00161857">
        <w:rPr>
          <w:rFonts w:ascii="仿宋_GB2312" w:eastAsia="仿宋_GB2312" w:hAnsi="仿宋" w:cs="仿宋" w:hint="eastAsia"/>
          <w:sz w:val="32"/>
          <w:szCs w:val="32"/>
        </w:rPr>
        <w:t>年）》《广东省人才发展条例》《汕尾市制定地方性法规条例》《汕尾市人民政府拟定地方性法规草案和制定政府规章程序规定》等。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b/>
          <w:bCs/>
          <w:sz w:val="32"/>
          <w:szCs w:val="32"/>
        </w:rPr>
      </w:pPr>
      <w:r w:rsidRPr="00161857">
        <w:rPr>
          <w:rFonts w:ascii="仿宋_GB2312" w:eastAsia="仿宋_GB2312" w:hAnsi="仿宋" w:cs="仿宋" w:hint="eastAsia"/>
          <w:b/>
          <w:bCs/>
          <w:sz w:val="32"/>
          <w:szCs w:val="32"/>
        </w:rPr>
        <w:t>（二）《条例》起草的过程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为加强对《汕尾市人才发展促进条例》起草工作的组织领导，市委组织部会同市人大法工委、市人社局、市司法局，成立“人才立法”专班。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为高质量完成我局关于人才发展促进立法的起草工作任务，我局制定了《</w:t>
      </w:r>
      <w:r w:rsidRPr="00161857">
        <w:rPr>
          <w:rFonts w:ascii="仿宋_GB2312" w:eastAsia="仿宋_GB2312" w:hAnsi="仿宋" w:cs="仿宋"/>
          <w:sz w:val="32"/>
          <w:szCs w:val="32"/>
        </w:rPr>
        <w:t>&lt;</w:t>
      </w:r>
      <w:r w:rsidRPr="00161857">
        <w:rPr>
          <w:rFonts w:ascii="仿宋_GB2312" w:eastAsia="仿宋_GB2312" w:hAnsi="仿宋" w:cs="仿宋" w:hint="eastAsia"/>
          <w:sz w:val="32"/>
          <w:szCs w:val="32"/>
        </w:rPr>
        <w:t>汕尾市人才发展促进条例（草案）</w:t>
      </w:r>
      <w:r w:rsidRPr="00161857">
        <w:rPr>
          <w:rFonts w:ascii="仿宋_GB2312" w:eastAsia="仿宋_GB2312" w:hAnsi="仿宋" w:cs="仿宋"/>
          <w:sz w:val="32"/>
          <w:szCs w:val="32"/>
        </w:rPr>
        <w:t>&gt;</w:t>
      </w:r>
      <w:r w:rsidRPr="00161857">
        <w:rPr>
          <w:rFonts w:ascii="仿宋_GB2312" w:eastAsia="仿宋_GB2312" w:hAnsi="仿宋" w:cs="仿宋" w:hint="eastAsia"/>
          <w:sz w:val="32"/>
          <w:szCs w:val="32"/>
        </w:rPr>
        <w:t>起草工作方案》。坚持地方立法“不抵触、有特色、可操作”的原则，以《广东省人才发展条例》为上位法依据，结合本市经济社会发展的实际需要，我局牵头起草了《条例》。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黑体" w:eastAsia="黑体" w:hAnsi="黑体" w:cs="仿宋"/>
          <w:b/>
          <w:bCs/>
          <w:sz w:val="32"/>
          <w:szCs w:val="32"/>
        </w:rPr>
      </w:pPr>
      <w:r w:rsidRPr="00161857">
        <w:rPr>
          <w:rFonts w:ascii="黑体" w:eastAsia="黑体" w:hAnsi="黑体" w:cs="仿宋" w:hint="eastAsia"/>
          <w:b/>
          <w:bCs/>
          <w:sz w:val="32"/>
          <w:szCs w:val="32"/>
        </w:rPr>
        <w:t>三、《条例》的主要内容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《条例》共七章，四十五条，主要内容如下：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第一章为总则，主要包括：立法目的、适用范围和人才定义、基本原则、人才规划、部门职责、联席会议制度、人才需求调研和信息管理、社会力量参与、资金保障、汕尾人才日等。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第二章为人才培养开发，主要包括：人才培养开发基本要求、高等教育机构建设、高层次人才培养开发、经营管理人才培养开发、专业技术和技能人才培养开发、乡村人才培养开发、用人单位人才培养开发等。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第三章为人才引进与流动，主要包括：人才引进与流动基本要求、紧缺人才目录、优先引进人才、招聘引进人才、柔性引进人才、人才引进激励机制、乡村人才流动、科技人才流动等。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第四章为人才保障与激励，主要包括：政策保障、人才待遇保障、配套措施保障、人才综合服务平台、信贷支持、人才诉求反馈机制、企业人才激励、基层人才激励、知识产权激励、荣誉激励等。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第五章为人才评价与使用</w:t>
      </w:r>
      <w:bookmarkStart w:id="2" w:name="_Hlk98860466"/>
      <w:r w:rsidRPr="00161857">
        <w:rPr>
          <w:rFonts w:ascii="仿宋_GB2312" w:eastAsia="仿宋_GB2312" w:hAnsi="仿宋" w:cs="仿宋" w:hint="eastAsia"/>
          <w:sz w:val="32"/>
          <w:szCs w:val="32"/>
        </w:rPr>
        <w:t>，主要包括：</w:t>
      </w:r>
      <w:bookmarkEnd w:id="2"/>
      <w:r w:rsidRPr="00161857">
        <w:rPr>
          <w:rFonts w:ascii="仿宋_GB2312" w:eastAsia="仿宋_GB2312" w:hAnsi="仿宋" w:cs="仿宋" w:hint="eastAsia"/>
          <w:sz w:val="32"/>
          <w:szCs w:val="32"/>
        </w:rPr>
        <w:t>人才评价基本要求、人才评价方式、人才认定标准、人才评价周期、人才使用要求等。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第六章为监督管理，主要包括：考核督查、社会监督、部门工作人员法律责任、用人单位与个人法律责任等。</w:t>
      </w:r>
    </w:p>
    <w:p w:rsidR="00B8164D" w:rsidRPr="00161857" w:rsidRDefault="00B8164D" w:rsidP="00161857">
      <w:pPr>
        <w:spacing w:line="60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161857">
        <w:rPr>
          <w:rFonts w:ascii="仿宋_GB2312" w:eastAsia="仿宋_GB2312" w:hAnsi="仿宋" w:cs="仿宋" w:hint="eastAsia"/>
          <w:sz w:val="32"/>
          <w:szCs w:val="32"/>
        </w:rPr>
        <w:t>第七章为附则，规定了施行时间。</w:t>
      </w:r>
    </w:p>
    <w:p w:rsidR="00B8164D" w:rsidRPr="00161857" w:rsidRDefault="00B8164D">
      <w:pPr>
        <w:spacing w:line="560" w:lineRule="exact"/>
        <w:rPr>
          <w:rFonts w:ascii="仿宋_GB2312" w:eastAsia="仿宋_GB2312" w:hAnsi="仿宋"/>
          <w:b/>
          <w:bCs/>
          <w:sz w:val="32"/>
          <w:szCs w:val="32"/>
        </w:rPr>
      </w:pPr>
    </w:p>
    <w:sectPr w:rsidR="00B8164D" w:rsidRPr="00161857" w:rsidSect="00161857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4D" w:rsidRDefault="00B8164D">
      <w:r>
        <w:separator/>
      </w:r>
    </w:p>
  </w:endnote>
  <w:endnote w:type="continuationSeparator" w:id="1">
    <w:p w:rsidR="00B8164D" w:rsidRDefault="00B8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4D" w:rsidRDefault="00B8164D" w:rsidP="00DF5B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164D" w:rsidRDefault="00B816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4D" w:rsidRDefault="00B8164D" w:rsidP="00DF5B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B8164D" w:rsidRDefault="00B816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4D" w:rsidRDefault="00B8164D">
      <w:r>
        <w:separator/>
      </w:r>
    </w:p>
  </w:footnote>
  <w:footnote w:type="continuationSeparator" w:id="1">
    <w:p w:rsidR="00B8164D" w:rsidRDefault="00B816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8B4"/>
    <w:rsid w:val="00020127"/>
    <w:rsid w:val="00065E04"/>
    <w:rsid w:val="00070AF0"/>
    <w:rsid w:val="0007255A"/>
    <w:rsid w:val="00093543"/>
    <w:rsid w:val="000A739A"/>
    <w:rsid w:val="000C7ACF"/>
    <w:rsid w:val="001517E3"/>
    <w:rsid w:val="001553F4"/>
    <w:rsid w:val="00161857"/>
    <w:rsid w:val="00194676"/>
    <w:rsid w:val="001D4FF5"/>
    <w:rsid w:val="001F1257"/>
    <w:rsid w:val="001F4B75"/>
    <w:rsid w:val="002676E1"/>
    <w:rsid w:val="0028236A"/>
    <w:rsid w:val="002A26F3"/>
    <w:rsid w:val="00314847"/>
    <w:rsid w:val="00323B26"/>
    <w:rsid w:val="003A4581"/>
    <w:rsid w:val="003D7C38"/>
    <w:rsid w:val="003F0C8D"/>
    <w:rsid w:val="00403C15"/>
    <w:rsid w:val="00420678"/>
    <w:rsid w:val="00486227"/>
    <w:rsid w:val="004955BC"/>
    <w:rsid w:val="004B2675"/>
    <w:rsid w:val="00513084"/>
    <w:rsid w:val="00516C13"/>
    <w:rsid w:val="0055772B"/>
    <w:rsid w:val="00582AFA"/>
    <w:rsid w:val="005D0589"/>
    <w:rsid w:val="00632C2E"/>
    <w:rsid w:val="00676BE7"/>
    <w:rsid w:val="006A069A"/>
    <w:rsid w:val="007437B4"/>
    <w:rsid w:val="007A32AB"/>
    <w:rsid w:val="00837EB1"/>
    <w:rsid w:val="00875901"/>
    <w:rsid w:val="00883329"/>
    <w:rsid w:val="008E0863"/>
    <w:rsid w:val="00900CD8"/>
    <w:rsid w:val="00904682"/>
    <w:rsid w:val="00935E11"/>
    <w:rsid w:val="0094006A"/>
    <w:rsid w:val="00955C77"/>
    <w:rsid w:val="00957BA8"/>
    <w:rsid w:val="00A05E15"/>
    <w:rsid w:val="00A322FB"/>
    <w:rsid w:val="00AC2614"/>
    <w:rsid w:val="00B530F0"/>
    <w:rsid w:val="00B54F8F"/>
    <w:rsid w:val="00B57790"/>
    <w:rsid w:val="00B8164D"/>
    <w:rsid w:val="00B94417"/>
    <w:rsid w:val="00BE270C"/>
    <w:rsid w:val="00BE5B57"/>
    <w:rsid w:val="00C33004"/>
    <w:rsid w:val="00C35B96"/>
    <w:rsid w:val="00C51B8D"/>
    <w:rsid w:val="00C7666F"/>
    <w:rsid w:val="00CC5559"/>
    <w:rsid w:val="00D16BE7"/>
    <w:rsid w:val="00D17EB1"/>
    <w:rsid w:val="00DD68B4"/>
    <w:rsid w:val="00DF5B89"/>
    <w:rsid w:val="00E8744C"/>
    <w:rsid w:val="00EA1833"/>
    <w:rsid w:val="00F70C38"/>
    <w:rsid w:val="00FA3A56"/>
    <w:rsid w:val="10205709"/>
    <w:rsid w:val="19CD3751"/>
    <w:rsid w:val="22F66496"/>
    <w:rsid w:val="2CE40912"/>
    <w:rsid w:val="32AE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locked="1" w:semiHidden="0" w:uiPriority="0"/>
    <w:lsdException w:name="footnote text" w:unhideWhenUsed="1"/>
    <w:lsdException w:name="annotation text" w:locked="1" w:semiHidden="0" w:uiPriority="0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206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420678"/>
    <w:pPr>
      <w:ind w:firstLineChars="200" w:firstLine="420"/>
    </w:pPr>
    <w:rPr>
      <w:rFonts w:ascii="Times New Roman" w:eastAsia="仿宋_GB2312" w:hAnsi="Times New Roman"/>
      <w:sz w:val="32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42067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2067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0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067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0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067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4206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2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20678"/>
    <w:rPr>
      <w:b/>
      <w:bCs/>
    </w:rPr>
  </w:style>
  <w:style w:type="character" w:styleId="Strong">
    <w:name w:val="Strong"/>
    <w:basedOn w:val="DefaultParagraphFont"/>
    <w:uiPriority w:val="99"/>
    <w:qFormat/>
    <w:rsid w:val="00420678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420678"/>
    <w:rPr>
      <w:rFonts w:cs="Times New Roman"/>
      <w:sz w:val="21"/>
      <w:szCs w:val="21"/>
    </w:rPr>
  </w:style>
  <w:style w:type="paragraph" w:customStyle="1" w:styleId="NewNewNew">
    <w:name w:val="正文 New New New"/>
    <w:uiPriority w:val="99"/>
    <w:rsid w:val="00420678"/>
    <w:pPr>
      <w:widowControl w:val="0"/>
      <w:jc w:val="both"/>
    </w:pPr>
    <w:rPr>
      <w:rFonts w:ascii="Times New Roman" w:eastAsia="仿宋" w:hAnsi="Times New Roman"/>
      <w:sz w:val="32"/>
      <w:szCs w:val="24"/>
    </w:rPr>
  </w:style>
  <w:style w:type="character" w:styleId="PageNumber">
    <w:name w:val="page number"/>
    <w:basedOn w:val="DefaultParagraphFont"/>
    <w:uiPriority w:val="99"/>
    <w:rsid w:val="001618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4</Pages>
  <Words>312</Words>
  <Characters>1780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黄嘉佳</dc:creator>
  <cp:keywords/>
  <dc:description/>
  <cp:lastModifiedBy>LENOVO</cp:lastModifiedBy>
  <cp:revision>35</cp:revision>
  <cp:lastPrinted>2022-03-28T02:15:00Z</cp:lastPrinted>
  <dcterms:created xsi:type="dcterms:W3CDTF">2022-03-26T12:35:00Z</dcterms:created>
  <dcterms:modified xsi:type="dcterms:W3CDTF">2022-03-28T02:15:00Z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2DF68E588A264190B050BD0BF5E11D4E</vt:lpwstr>
  </property>
</Properties>
</file>