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汕尾市农村生活污水治理攻坚行动方案（2021-2025</w:t>
      </w:r>
      <w:r>
        <w:rPr>
          <w:rFonts w:hint="eastAsia" w:ascii="方正小标宋简体" w:hAnsi="方正小标宋简体" w:eastAsia="方正小标宋简体" w:cs="方正小标宋简体"/>
          <w:color w:val="auto"/>
          <w:sz w:val="44"/>
          <w:szCs w:val="44"/>
          <w:highlight w:val="none"/>
          <w:lang w:val="en-US" w:eastAsia="zh-CN"/>
        </w:rPr>
        <w:t>年</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征求意见稿</w:t>
      </w:r>
      <w:r>
        <w:rPr>
          <w:rFonts w:hint="eastAsia" w:ascii="方正小标宋简体" w:hAnsi="方正小标宋简体" w:eastAsia="方正小标宋简体" w:cs="方正小标宋简体"/>
          <w:color w:val="auto"/>
          <w:sz w:val="44"/>
          <w:szCs w:val="44"/>
          <w:highlight w:val="none"/>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bookmarkStart w:id="3" w:name="_GoBack"/>
      <w:bookmarkEnd w:id="3"/>
      <w:r>
        <w:rPr>
          <w:rFonts w:hint="eastAsia" w:ascii="仿宋_GB2312" w:hAnsi="仿宋_GB2312" w:eastAsia="仿宋_GB2312" w:cs="仿宋_GB2312"/>
          <w:color w:val="auto"/>
          <w:sz w:val="32"/>
          <w:szCs w:val="32"/>
          <w:highlight w:val="none"/>
        </w:rPr>
        <w:t>为深入践行习近平生态文明思想，贯彻落实党中央、国务院</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省委、省政府关于全面推进乡村振兴</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战略部署，按照《广东省人民政府办公厅关于印发深化我省农村生活污水治理攻坚行动指导意见的通知》（粤办函﹝2021﹞285号）要求，着力提高我市农村生活污水治理成效，切实改善农村生态环境质量，加快建设美丽宜居乡村，结合我市实际，制定本方案。</w:t>
      </w:r>
    </w:p>
    <w:p>
      <w:pPr>
        <w:pStyle w:val="6"/>
        <w:spacing w:line="560" w:lineRule="exact"/>
        <w:ind w:firstLine="640" w:firstLineChars="200"/>
        <w:rPr>
          <w:rFonts w:ascii="Times New Roman" w:hAnsi="Times New Roman"/>
          <w:color w:val="auto"/>
          <w:sz w:val="32"/>
          <w:highlight w:val="none"/>
        </w:rPr>
      </w:pPr>
      <w:r>
        <w:rPr>
          <w:rFonts w:hint="eastAsia" w:ascii="Times New Roman" w:hAnsi="Times New Roman"/>
          <w:color w:val="auto"/>
          <w:sz w:val="32"/>
          <w:highlight w:val="none"/>
        </w:rPr>
        <w:t>一、总体要求</w:t>
      </w:r>
    </w:p>
    <w:p>
      <w:pPr>
        <w:keepNext/>
        <w:keepLines/>
        <w:spacing w:line="560" w:lineRule="exact"/>
        <w:ind w:firstLine="643" w:firstLineChars="200"/>
        <w:outlineLvl w:val="1"/>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（一）指导思想</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以习近平新时代中国特色社会主义思想为指导，全面贯彻党的十九大及十九届</w:t>
      </w:r>
      <w:r>
        <w:rPr>
          <w:rFonts w:hint="eastAsia" w:ascii="仿宋_GB2312" w:hAnsi="仿宋_GB2312" w:eastAsia="仿宋_GB2312" w:cs="仿宋_GB2312"/>
          <w:color w:val="auto"/>
          <w:sz w:val="32"/>
          <w:szCs w:val="32"/>
          <w:highlight w:val="none"/>
          <w:lang w:val="en-US" w:eastAsia="zh-CN"/>
        </w:rPr>
        <w:t>历次</w:t>
      </w:r>
      <w:r>
        <w:rPr>
          <w:rFonts w:hint="eastAsia" w:ascii="仿宋_GB2312" w:hAnsi="仿宋_GB2312" w:eastAsia="仿宋_GB2312" w:cs="仿宋_GB2312"/>
          <w:color w:val="auto"/>
          <w:sz w:val="32"/>
          <w:szCs w:val="32"/>
          <w:highlight w:val="none"/>
        </w:rPr>
        <w:t>全会精神，紧扣省委、省政府“三农”领域“九大攻坚”行动，以改善农村人居环境为核心，以提高农村生活污水治理率、设施有效运行率、村民满意率为目标，加快建立符合</w:t>
      </w:r>
      <w:r>
        <w:rPr>
          <w:rFonts w:hint="eastAsia" w:ascii="仿宋_GB2312" w:hAnsi="仿宋_GB2312" w:eastAsia="仿宋_GB2312" w:cs="仿宋_GB2312"/>
          <w:color w:val="auto"/>
          <w:sz w:val="32"/>
          <w:szCs w:val="32"/>
          <w:highlight w:val="none"/>
          <w:lang w:val="en-US" w:eastAsia="zh-CN"/>
        </w:rPr>
        <w:t>我</w:t>
      </w:r>
      <w:r>
        <w:rPr>
          <w:rFonts w:hint="eastAsia" w:ascii="仿宋_GB2312" w:hAnsi="仿宋_GB2312" w:eastAsia="仿宋_GB2312" w:cs="仿宋_GB2312"/>
          <w:color w:val="auto"/>
          <w:sz w:val="32"/>
          <w:szCs w:val="32"/>
          <w:highlight w:val="none"/>
        </w:rPr>
        <w:t>市基础设施薄弱、经济底子较差、农户分散、人口潮汐等特征的且可复制可推广的农村生活污水治理模式，保质保量完成既定的攻坚目标，为推进乡村振兴奠定坚实的环境基础。</w:t>
      </w:r>
    </w:p>
    <w:p>
      <w:pPr>
        <w:keepNext/>
        <w:keepLines/>
        <w:spacing w:line="560" w:lineRule="exact"/>
        <w:ind w:firstLine="643" w:firstLineChars="200"/>
        <w:outlineLvl w:val="1"/>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（二）基本原则</w:t>
      </w:r>
    </w:p>
    <w:p>
      <w:pPr>
        <w:spacing w:line="560" w:lineRule="exact"/>
        <w:ind w:firstLine="643" w:firstLineChars="200"/>
        <w:rPr>
          <w:rFonts w:hint="eastAsia" w:ascii="仿宋_GB2312" w:hAnsi="仿宋_GB2312" w:eastAsia="仿宋_GB2312" w:cs="仿宋_GB2312"/>
          <w:color w:val="auto"/>
          <w:sz w:val="32"/>
          <w:szCs w:val="32"/>
          <w:highlight w:val="none"/>
        </w:rPr>
      </w:pPr>
      <w:r>
        <w:rPr>
          <w:rFonts w:eastAsia="仿宋_GB2312"/>
          <w:b/>
          <w:bCs/>
          <w:color w:val="auto"/>
          <w:sz w:val="32"/>
          <w:szCs w:val="32"/>
          <w:highlight w:val="none"/>
        </w:rPr>
        <w:t>——分区指导、突出重点。</w:t>
      </w:r>
      <w:r>
        <w:rPr>
          <w:rFonts w:hint="eastAsia" w:ascii="仿宋_GB2312" w:hAnsi="仿宋_GB2312" w:eastAsia="仿宋_GB2312" w:cs="仿宋_GB2312"/>
          <w:color w:val="auto"/>
          <w:sz w:val="32"/>
          <w:szCs w:val="32"/>
          <w:highlight w:val="none"/>
        </w:rPr>
        <w:t>结合各</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市、区</w:t>
      </w:r>
      <w:r>
        <w:rPr>
          <w:rFonts w:hint="eastAsia" w:ascii="仿宋_GB2312" w:hAnsi="仿宋_GB2312" w:eastAsia="仿宋_GB2312" w:cs="仿宋_GB2312"/>
          <w:color w:val="auto"/>
          <w:sz w:val="32"/>
          <w:szCs w:val="32"/>
          <w:highlight w:val="none"/>
        </w:rPr>
        <w:t>）全面摸查底数差别化设置近远期治理目标任务。优先治理</w:t>
      </w:r>
      <w:r>
        <w:rPr>
          <w:rFonts w:hint="eastAsia" w:ascii="仿宋_GB2312" w:hAnsi="仿宋_GB2312" w:eastAsia="仿宋_GB2312" w:cs="仿宋_GB2312"/>
          <w:color w:val="auto"/>
          <w:sz w:val="32"/>
          <w:szCs w:val="32"/>
          <w:highlight w:val="none"/>
          <w:lang w:eastAsia="zh-CN"/>
        </w:rPr>
        <w:t>农村</w:t>
      </w:r>
      <w:r>
        <w:rPr>
          <w:rFonts w:hint="eastAsia" w:ascii="仿宋_GB2312" w:hAnsi="仿宋_GB2312" w:eastAsia="仿宋_GB2312" w:cs="仿宋_GB2312"/>
          <w:color w:val="auto"/>
          <w:sz w:val="32"/>
          <w:szCs w:val="32"/>
          <w:highlight w:val="none"/>
        </w:rPr>
        <w:t>黑臭水体、</w:t>
      </w:r>
      <w:r>
        <w:rPr>
          <w:rFonts w:hint="eastAsia" w:ascii="仿宋_GB2312" w:hAnsi="仿宋_GB2312" w:eastAsia="仿宋_GB2312" w:cs="仿宋_GB2312"/>
          <w:color w:val="auto"/>
          <w:sz w:val="32"/>
          <w:szCs w:val="32"/>
          <w:highlight w:val="none"/>
          <w:lang w:val="en-US" w:eastAsia="zh-CN"/>
        </w:rPr>
        <w:t>饮用水</w:t>
      </w:r>
      <w:r>
        <w:rPr>
          <w:rFonts w:hint="eastAsia" w:ascii="仿宋_GB2312" w:hAnsi="仿宋_GB2312" w:eastAsia="仿宋_GB2312" w:cs="仿宋_GB2312"/>
          <w:color w:val="auto"/>
          <w:sz w:val="32"/>
          <w:szCs w:val="32"/>
          <w:highlight w:val="none"/>
        </w:rPr>
        <w:t>水源保护区、农村旅游风景区、</w:t>
      </w:r>
      <w:r>
        <w:rPr>
          <w:rFonts w:hint="eastAsia" w:ascii="仿宋_GB2312" w:hAnsi="仿宋_GB2312" w:eastAsia="仿宋_GB2312" w:cs="仿宋_GB2312"/>
          <w:color w:val="auto"/>
          <w:sz w:val="32"/>
          <w:szCs w:val="32"/>
          <w:highlight w:val="none"/>
          <w:lang w:eastAsia="zh-CN"/>
        </w:rPr>
        <w:t>乡村振兴</w:t>
      </w:r>
      <w:r>
        <w:rPr>
          <w:rFonts w:hint="eastAsia" w:ascii="仿宋_GB2312" w:hAnsi="仿宋_GB2312" w:eastAsia="仿宋_GB2312" w:cs="仿宋_GB2312"/>
          <w:color w:val="auto"/>
          <w:sz w:val="32"/>
          <w:szCs w:val="32"/>
          <w:highlight w:val="none"/>
        </w:rPr>
        <w:t>示范带、国考断面周边</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重点区域内</w:t>
      </w:r>
      <w:r>
        <w:rPr>
          <w:rFonts w:hint="eastAsia" w:ascii="仿宋_GB2312" w:hAnsi="仿宋_GB2312" w:eastAsia="仿宋_GB2312" w:cs="仿宋_GB2312"/>
          <w:color w:val="auto"/>
          <w:sz w:val="32"/>
          <w:szCs w:val="32"/>
          <w:highlight w:val="none"/>
          <w:lang w:val="en-US" w:eastAsia="zh-CN"/>
        </w:rPr>
        <w:t>及老百姓治理需求迫切的</w:t>
      </w:r>
      <w:r>
        <w:rPr>
          <w:rFonts w:hint="eastAsia" w:ascii="仿宋_GB2312" w:hAnsi="仿宋_GB2312" w:eastAsia="仿宋_GB2312" w:cs="仿宋_GB2312"/>
          <w:color w:val="auto"/>
          <w:sz w:val="32"/>
          <w:szCs w:val="32"/>
          <w:highlight w:val="none"/>
        </w:rPr>
        <w:t>农村生活污水。</w:t>
      </w:r>
    </w:p>
    <w:p>
      <w:pPr>
        <w:widowControl/>
        <w:spacing w:line="240" w:lineRule="auto"/>
        <w:ind w:firstLine="643" w:firstLineChars="200"/>
        <w:jc w:val="left"/>
        <w:rPr>
          <w:rFonts w:hint="eastAsia" w:ascii="仿宋_GB2312" w:hAnsi="仿宋_GB2312" w:eastAsia="仿宋_GB2312" w:cs="仿宋_GB2312"/>
          <w:color w:val="auto"/>
          <w:sz w:val="32"/>
          <w:szCs w:val="32"/>
          <w:highlight w:val="none"/>
        </w:rPr>
      </w:pPr>
      <w:r>
        <w:rPr>
          <w:rFonts w:eastAsia="仿宋_GB2312"/>
          <w:b/>
          <w:bCs/>
          <w:color w:val="auto"/>
          <w:sz w:val="32"/>
          <w:szCs w:val="32"/>
          <w:highlight w:val="none"/>
        </w:rPr>
        <w:t>——因地制宜、</w:t>
      </w:r>
      <w:r>
        <w:rPr>
          <w:rFonts w:hint="eastAsia" w:eastAsia="仿宋_GB2312"/>
          <w:b/>
          <w:bCs/>
          <w:color w:val="auto"/>
          <w:sz w:val="32"/>
          <w:szCs w:val="32"/>
          <w:highlight w:val="none"/>
        </w:rPr>
        <w:t>一村一策</w:t>
      </w:r>
      <w:r>
        <w:rPr>
          <w:rFonts w:eastAsia="仿宋_GB2312"/>
          <w:b/>
          <w:bCs/>
          <w:color w:val="auto"/>
          <w:sz w:val="32"/>
          <w:szCs w:val="32"/>
          <w:highlight w:val="none"/>
        </w:rPr>
        <w:t>。</w:t>
      </w:r>
      <w:r>
        <w:rPr>
          <w:rFonts w:hint="eastAsia" w:ascii="仿宋_GB2312" w:hAnsi="仿宋_GB2312" w:eastAsia="仿宋_GB2312" w:cs="仿宋_GB2312"/>
          <w:color w:val="auto"/>
          <w:sz w:val="32"/>
          <w:szCs w:val="32"/>
          <w:highlight w:val="none"/>
        </w:rPr>
        <w:t>根据村庄人口规模、产业结构、地理环境等因素，</w:t>
      </w:r>
      <w:r>
        <w:rPr>
          <w:rFonts w:hint="eastAsia" w:ascii="仿宋_GB2312" w:hAnsi="仿宋_GB2312" w:eastAsia="仿宋_GB2312" w:cs="仿宋_GB2312"/>
          <w:color w:val="auto"/>
          <w:sz w:val="32"/>
          <w:szCs w:val="32"/>
          <w:highlight w:val="none"/>
          <w:lang w:val="en-US" w:eastAsia="zh-CN"/>
        </w:rPr>
        <w:t>坚持因地制宜，</w:t>
      </w:r>
      <w:r>
        <w:rPr>
          <w:rFonts w:hint="eastAsia" w:ascii="仿宋_GB2312" w:hAnsi="仿宋_GB2312" w:eastAsia="仿宋_GB2312" w:cs="仿宋_GB2312"/>
          <w:color w:val="auto"/>
          <w:sz w:val="32"/>
          <w:szCs w:val="32"/>
          <w:highlight w:val="none"/>
        </w:rPr>
        <w:t>一村一策确定污水治理模式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科学选择排水体制，优先采用纳厂或资源化利用模式，尽可能减少一体化设施的建设，做到农村生活污水“应收尽收、应治尽治”</w:t>
      </w:r>
      <w:r>
        <w:rPr>
          <w:rFonts w:hint="eastAsia" w:ascii="仿宋_GB2312" w:hAnsi="仿宋_GB2312" w:eastAsia="仿宋_GB2312" w:cs="仿宋_GB2312"/>
          <w:color w:val="auto"/>
          <w:sz w:val="32"/>
          <w:szCs w:val="32"/>
          <w:highlight w:val="none"/>
        </w:rPr>
        <w:t>。</w:t>
      </w:r>
    </w:p>
    <w:p>
      <w:pPr>
        <w:spacing w:line="560" w:lineRule="exact"/>
        <w:ind w:firstLine="643" w:firstLineChars="200"/>
        <w:rPr>
          <w:rFonts w:hint="eastAsia" w:ascii="仿宋_GB2312" w:hAnsi="仿宋_GB2312" w:eastAsia="仿宋_GB2312" w:cs="仿宋_GB2312"/>
          <w:color w:val="auto"/>
          <w:sz w:val="32"/>
          <w:szCs w:val="32"/>
          <w:highlight w:val="none"/>
        </w:rPr>
      </w:pPr>
      <w:r>
        <w:rPr>
          <w:rFonts w:eastAsia="仿宋_GB2312"/>
          <w:b/>
          <w:bCs/>
          <w:color w:val="auto"/>
          <w:sz w:val="32"/>
          <w:szCs w:val="32"/>
          <w:highlight w:val="none"/>
        </w:rPr>
        <w:t>——完善机制、建管并重。</w:t>
      </w:r>
      <w:r>
        <w:rPr>
          <w:rFonts w:hint="eastAsia" w:ascii="仿宋_GB2312" w:hAnsi="仿宋_GB2312" w:eastAsia="仿宋_GB2312" w:cs="仿宋_GB2312"/>
          <w:color w:val="auto"/>
          <w:sz w:val="32"/>
          <w:szCs w:val="32"/>
          <w:highlight w:val="none"/>
          <w:lang w:val="en-US" w:eastAsia="zh-CN"/>
        </w:rPr>
        <w:t>树立系统观念，先规划后建设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结合厕所革命、集中供水、道路建设等民生工程，协同</w:t>
      </w:r>
      <w:r>
        <w:rPr>
          <w:rFonts w:hint="eastAsia" w:ascii="仿宋_GB2312" w:hAnsi="仿宋_GB2312" w:eastAsia="仿宋_GB2312" w:cs="仿宋_GB2312"/>
          <w:color w:val="auto"/>
          <w:sz w:val="32"/>
          <w:szCs w:val="32"/>
          <w:highlight w:val="none"/>
        </w:rPr>
        <w:t>推动处理设施、管网的建设和运行维护，强化工程建设质量监督管理，坚持质量第一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确保建一个成一个。</w:t>
      </w:r>
    </w:p>
    <w:p>
      <w:pPr>
        <w:spacing w:line="560" w:lineRule="exact"/>
        <w:ind w:firstLine="643" w:firstLineChars="200"/>
        <w:rPr>
          <w:rFonts w:hint="eastAsia" w:ascii="仿宋_GB2312" w:hAnsi="仿宋_GB2312" w:eastAsia="仿宋_GB2312" w:cs="仿宋_GB2312"/>
          <w:color w:val="auto"/>
          <w:sz w:val="32"/>
          <w:szCs w:val="32"/>
          <w:highlight w:val="none"/>
          <w:lang w:val="en-US" w:eastAsia="zh-CN"/>
        </w:rPr>
      </w:pPr>
      <w:r>
        <w:rPr>
          <w:rFonts w:eastAsia="仿宋_GB2312"/>
          <w:b/>
          <w:bCs/>
          <w:color w:val="auto"/>
          <w:sz w:val="32"/>
          <w:szCs w:val="32"/>
          <w:highlight w:val="none"/>
        </w:rPr>
        <w:t>——政企结合、群众参与。</w:t>
      </w:r>
      <w:r>
        <w:rPr>
          <w:rFonts w:hint="eastAsia" w:ascii="仿宋_GB2312" w:hAnsi="仿宋_GB2312" w:eastAsia="仿宋_GB2312" w:cs="仿宋_GB2312"/>
          <w:color w:val="auto"/>
          <w:sz w:val="32"/>
          <w:szCs w:val="32"/>
          <w:highlight w:val="none"/>
          <w:lang w:val="en-US" w:eastAsia="zh-CN"/>
        </w:rPr>
        <w:t>压实各级政府责任，加强对第三方运维单位的考核，督促建设进度及后续运维工作的开展。充分发挥镇（街）、村和农民工匠作用，鼓励社会力量和老百姓积极参与，构建政府、市场主体、村集体、村民等多方共建共管格局。</w:t>
      </w:r>
    </w:p>
    <w:p>
      <w:pPr>
        <w:spacing w:line="560" w:lineRule="exact"/>
        <w:ind w:firstLine="643" w:firstLineChars="200"/>
        <w:rPr>
          <w:rFonts w:hint="eastAsia" w:ascii="仿宋_GB2312" w:hAnsi="仿宋_GB2312" w:eastAsia="仿宋_GB2312" w:cs="仿宋_GB2312"/>
          <w:color w:val="auto"/>
          <w:sz w:val="32"/>
          <w:szCs w:val="32"/>
          <w:highlight w:val="none"/>
          <w:lang w:val="en-US" w:eastAsia="zh-CN"/>
        </w:rPr>
      </w:pPr>
      <w:r>
        <w:rPr>
          <w:rFonts w:eastAsia="仿宋_GB2312"/>
          <w:b/>
          <w:bCs/>
          <w:color w:val="auto"/>
          <w:sz w:val="32"/>
          <w:szCs w:val="32"/>
          <w:highlight w:val="none"/>
        </w:rPr>
        <w:t>——多元投入、形成合力。</w:t>
      </w:r>
      <w:r>
        <w:rPr>
          <w:rFonts w:hint="eastAsia" w:ascii="仿宋_GB2312" w:hAnsi="仿宋_GB2312" w:eastAsia="仿宋_GB2312" w:cs="仿宋_GB2312"/>
          <w:color w:val="auto"/>
          <w:sz w:val="32"/>
          <w:szCs w:val="32"/>
          <w:highlight w:val="none"/>
          <w:lang w:val="en-US" w:eastAsia="zh-CN"/>
        </w:rPr>
        <w:t>积极申报涉农资金，用好相关金融政策，拓宽资金筹措渠道，积极推动现有涉农村生活污水治理PPP项目发挥成效。建立健全市县负担、企业投资、省级奖补、镇村自筹和社会支持的多元投入机制。</w:t>
      </w:r>
    </w:p>
    <w:p>
      <w:pPr>
        <w:keepNext/>
        <w:keepLines/>
        <w:spacing w:line="560" w:lineRule="exact"/>
        <w:ind w:firstLine="643" w:firstLineChars="200"/>
        <w:outlineLvl w:val="1"/>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（三）工作目标</w:t>
      </w:r>
    </w:p>
    <w:p>
      <w:pPr>
        <w:spacing w:line="560" w:lineRule="exact"/>
        <w:ind w:firstLine="643" w:firstLineChars="200"/>
        <w:rPr>
          <w:rFonts w:hint="eastAsia" w:ascii="仿宋_GB2312" w:hAnsi="仿宋_GB2312" w:eastAsia="仿宋_GB2312" w:cs="仿宋_GB2312"/>
          <w:color w:val="auto"/>
          <w:sz w:val="32"/>
          <w:szCs w:val="32"/>
          <w:highlight w:val="none"/>
        </w:rPr>
      </w:pPr>
      <w:r>
        <w:rPr>
          <w:rFonts w:eastAsia="仿宋_GB2312"/>
          <w:b/>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2021年底前，高质量完成50个纳入2021年省政府农村生活污水治理民生实事办理储备库的自然村生活污水治理的工作任务。</w:t>
      </w:r>
    </w:p>
    <w:p>
      <w:pPr>
        <w:keepNext w:val="0"/>
        <w:keepLines w:val="0"/>
        <w:widowControl/>
        <w:suppressLineNumbers w:val="0"/>
        <w:jc w:val="left"/>
        <w:rPr>
          <w:rFonts w:ascii="仿宋_GB2312" w:hAnsi="仿宋_GB2312" w:eastAsia="仿宋_GB2312" w:cs="仿宋_GB2312"/>
          <w:color w:val="auto"/>
          <w:sz w:val="32"/>
          <w:szCs w:val="32"/>
          <w:highlight w:val="none"/>
        </w:rPr>
      </w:pPr>
      <w:r>
        <w:rPr>
          <w:rFonts w:hint="eastAsia" w:eastAsia="仿宋_GB2312"/>
          <w:b w:val="0"/>
          <w:bCs w:val="0"/>
          <w:color w:val="auto"/>
          <w:sz w:val="32"/>
          <w:szCs w:val="32"/>
          <w:highlight w:val="none"/>
          <w:lang w:eastAsia="zh-CN"/>
        </w:rPr>
        <w:t>　　</w:t>
      </w:r>
      <w:r>
        <w:rPr>
          <w:rFonts w:eastAsia="仿宋_GB2312"/>
          <w:b w:val="0"/>
          <w:bCs w:val="0"/>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2022年3月底之前，各县（</w:t>
      </w:r>
      <w:r>
        <w:rPr>
          <w:rFonts w:hint="eastAsia" w:ascii="仿宋_GB2312" w:hAnsi="仿宋_GB2312" w:eastAsia="仿宋_GB2312" w:cs="仿宋_GB2312"/>
          <w:color w:val="auto"/>
          <w:sz w:val="32"/>
          <w:szCs w:val="32"/>
          <w:highlight w:val="none"/>
          <w:lang w:val="en-US" w:eastAsia="zh-CN"/>
        </w:rPr>
        <w:t>市、区）完成《县域农村生活污水治理专项规划》印发实施并向社会公开；力争</w:t>
      </w:r>
      <w:r>
        <w:rPr>
          <w:rFonts w:hint="eastAsia" w:ascii="仿宋_GB2312" w:hAnsi="仿宋_GB2312" w:eastAsia="仿宋_GB2312" w:cs="仿宋_GB2312"/>
          <w:color w:val="auto"/>
          <w:sz w:val="32"/>
          <w:szCs w:val="32"/>
          <w:highlight w:val="none"/>
          <w:lang w:val="en-US" w:eastAsia="zh-CN"/>
        </w:rPr>
        <w:t>2022年6月底之前，制定或者完善县域农村生活污水运维管理办法（或方案），</w:t>
      </w:r>
      <w:r>
        <w:rPr>
          <w:rFonts w:hint="eastAsia" w:ascii="仿宋_GB2312" w:hAnsi="仿宋_GB2312" w:eastAsia="仿宋_GB2312" w:cs="仿宋_GB2312"/>
          <w:color w:val="auto"/>
          <w:sz w:val="32"/>
          <w:szCs w:val="32"/>
          <w:highlight w:val="none"/>
          <w:lang w:val="en-US" w:eastAsia="zh-CN"/>
        </w:rPr>
        <w:t>并印发实施；2022年底前，高质量完成全市 72 个以上自然村农村生活污水治理任务，力争基本完成重点区域内自然村新建治理工程及老旧设施和管网提升改造，全市农村生活污水治理率达到50%以上。</w:t>
      </w:r>
    </w:p>
    <w:p>
      <w:pPr>
        <w:spacing w:line="560" w:lineRule="exact"/>
        <w:ind w:firstLine="643" w:firstLineChars="200"/>
        <w:rPr>
          <w:rFonts w:hint="eastAsia" w:ascii="仿宋_GB2312" w:hAnsi="仿宋_GB2312" w:eastAsia="仿宋_GB2312" w:cs="仿宋_GB2312"/>
          <w:color w:val="auto"/>
          <w:sz w:val="32"/>
          <w:szCs w:val="32"/>
          <w:highlight w:val="none"/>
          <w:lang w:val="en-US" w:eastAsia="zh-CN"/>
        </w:rPr>
      </w:pPr>
      <w:r>
        <w:rPr>
          <w:rFonts w:eastAsia="仿宋_GB2312"/>
          <w:b/>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2023年底前，农村生活污水治理率达到55%以上，基本完成</w:t>
      </w:r>
      <w:r>
        <w:rPr>
          <w:rFonts w:hint="eastAsia" w:ascii="仿宋_GB2312" w:hAnsi="仿宋_GB2312" w:eastAsia="仿宋_GB2312" w:cs="仿宋_GB2312"/>
          <w:color w:val="auto"/>
          <w:sz w:val="32"/>
          <w:szCs w:val="32"/>
          <w:highlight w:val="none"/>
          <w:lang w:val="en-US" w:eastAsia="zh-CN"/>
        </w:rPr>
        <w:t>符合资源化利用</w:t>
      </w:r>
      <w:r>
        <w:rPr>
          <w:rFonts w:hint="eastAsia" w:ascii="仿宋_GB2312" w:hAnsi="仿宋_GB2312" w:eastAsia="仿宋_GB2312" w:cs="仿宋_GB2312"/>
          <w:color w:val="auto"/>
          <w:sz w:val="32"/>
          <w:szCs w:val="32"/>
          <w:highlight w:val="none"/>
          <w:lang w:val="en-US" w:eastAsia="zh-CN"/>
        </w:rPr>
        <w:t>自然村的治理工作，进一步完善农村生活污水治理长效运维管理机制。</w:t>
      </w:r>
    </w:p>
    <w:p>
      <w:pPr>
        <w:spacing w:line="560" w:lineRule="exact"/>
        <w:ind w:firstLine="643" w:firstLineChars="200"/>
        <w:rPr>
          <w:rFonts w:hint="eastAsia" w:ascii="仿宋_GB2312" w:hAnsi="仿宋_GB2312" w:eastAsia="仿宋_GB2312" w:cs="仿宋_GB2312"/>
          <w:color w:val="auto"/>
          <w:sz w:val="32"/>
          <w:szCs w:val="32"/>
          <w:highlight w:val="none"/>
          <w:lang w:val="en-US" w:eastAsia="zh-CN"/>
        </w:rPr>
      </w:pPr>
      <w:r>
        <w:rPr>
          <w:rFonts w:eastAsia="仿宋_GB2312"/>
          <w:b/>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2024年底前，</w:t>
      </w:r>
      <w:r>
        <w:rPr>
          <w:rFonts w:hint="eastAsia" w:ascii="仿宋_GB2312" w:hAnsi="仿宋_GB2312" w:eastAsia="仿宋_GB2312" w:cs="仿宋_GB2312"/>
          <w:color w:val="auto"/>
          <w:sz w:val="32"/>
          <w:szCs w:val="32"/>
          <w:highlight w:val="none"/>
          <w:lang w:val="en-US" w:eastAsia="zh-CN"/>
        </w:rPr>
        <w:t>全市农村生活污水治理率力争达到6</w:t>
      </w:r>
      <w:r>
        <w:rPr>
          <w:rFonts w:hint="eastAsia" w:ascii="仿宋_GB2312" w:hAnsi="仿宋_GB2312" w:eastAsia="仿宋_GB2312" w:cs="仿宋_GB2312"/>
          <w:color w:val="auto"/>
          <w:sz w:val="32"/>
          <w:szCs w:val="32"/>
          <w:highlight w:val="none"/>
          <w:lang w:val="en-US" w:eastAsia="zh-CN"/>
        </w:rPr>
        <w:t>0%以上。</w:t>
      </w:r>
    </w:p>
    <w:p>
      <w:pPr>
        <w:spacing w:line="560" w:lineRule="exact"/>
        <w:ind w:firstLine="643" w:firstLineChars="200"/>
        <w:rPr>
          <w:rFonts w:ascii="仿宋_GB2312" w:hAnsi="仿宋_GB2312" w:eastAsia="仿宋_GB2312" w:cs="仿宋_GB2312"/>
          <w:color w:val="auto"/>
          <w:sz w:val="32"/>
          <w:szCs w:val="32"/>
          <w:highlight w:val="none"/>
        </w:rPr>
      </w:pPr>
      <w:r>
        <w:rPr>
          <w:rFonts w:eastAsia="仿宋_GB2312"/>
          <w:b/>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2025年底前，基本建立有制度、有标准、有队伍、有经费、有监督的长效运维管理体系，全市农村生活污水治理率稳定达到6</w:t>
      </w:r>
      <w:r>
        <w:rPr>
          <w:rFonts w:hint="eastAsia" w:ascii="仿宋_GB2312" w:hAnsi="仿宋_GB2312" w:eastAsia="仿宋_GB2312" w:cs="仿宋_GB2312"/>
          <w:color w:val="auto"/>
          <w:sz w:val="32"/>
          <w:szCs w:val="32"/>
          <w:highlight w:val="none"/>
          <w:lang w:val="en-US" w:eastAsia="zh-CN"/>
        </w:rPr>
        <w:t>0%以上，设施有效运行率</w:t>
      </w:r>
      <w:r>
        <w:rPr>
          <w:rFonts w:hint="eastAsia" w:ascii="仿宋_GB2312" w:hAnsi="仿宋_GB2312" w:eastAsia="仿宋_GB2312" w:cs="仿宋_GB2312"/>
          <w:color w:val="auto"/>
          <w:sz w:val="32"/>
          <w:szCs w:val="32"/>
          <w:highlight w:val="none"/>
          <w:lang w:val="en-US" w:eastAsia="zh-CN"/>
        </w:rPr>
        <w:t>稳定保持在8</w:t>
      </w:r>
      <w:r>
        <w:rPr>
          <w:rFonts w:hint="eastAsia" w:ascii="仿宋_GB2312" w:hAnsi="仿宋_GB2312" w:eastAsia="仿宋_GB2312" w:cs="仿宋_GB2312"/>
          <w:color w:val="auto"/>
          <w:sz w:val="32"/>
          <w:szCs w:val="32"/>
          <w:highlight w:val="none"/>
          <w:lang w:val="en-US" w:eastAsia="zh-CN"/>
        </w:rPr>
        <w:t>0%以上，</w:t>
      </w:r>
      <w:r>
        <w:rPr>
          <w:rFonts w:hint="eastAsia" w:ascii="仿宋_GB2312" w:hAnsi="仿宋_GB2312" w:eastAsia="仿宋_GB2312" w:cs="仿宋_GB2312"/>
          <w:color w:val="auto"/>
          <w:sz w:val="32"/>
          <w:szCs w:val="32"/>
          <w:highlight w:val="none"/>
          <w:lang w:val="en-US" w:eastAsia="zh-CN"/>
        </w:rPr>
        <w:t>村民满意率达到80%以上。</w:t>
      </w:r>
    </w:p>
    <w:p>
      <w:pPr>
        <w:pStyle w:val="32"/>
        <w:snapToGrid w:val="0"/>
        <w:spacing w:line="600" w:lineRule="exact"/>
        <w:ind w:firstLine="640" w:firstLineChars="200"/>
        <w:jc w:val="both"/>
        <w:textAlignment w:val="baseline"/>
        <w:rPr>
          <w:rFonts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二、主要</w:t>
      </w:r>
      <w:r>
        <w:rPr>
          <w:rFonts w:hint="eastAsia" w:ascii="黑体" w:hAnsi="黑体" w:eastAsia="黑体" w:cs="黑体"/>
          <w:color w:val="auto"/>
          <w:sz w:val="32"/>
          <w:szCs w:val="32"/>
          <w:highlight w:val="none"/>
          <w:lang w:val="en-US" w:eastAsia="zh-CN"/>
        </w:rPr>
        <w:t>任务</w:t>
      </w:r>
    </w:p>
    <w:p>
      <w:pPr>
        <w:pStyle w:val="32"/>
        <w:snapToGrid w:val="0"/>
        <w:spacing w:line="600" w:lineRule="exact"/>
        <w:ind w:firstLine="643" w:firstLineChars="200"/>
        <w:jc w:val="both"/>
        <w:textAlignment w:val="baseline"/>
        <w:rPr>
          <w:rFonts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rPr>
        <w:t>（</w:t>
      </w:r>
      <w:r>
        <w:rPr>
          <w:rFonts w:hint="eastAsia" w:ascii="楷体" w:hAnsi="楷体" w:eastAsia="楷体" w:cs="楷体"/>
          <w:b/>
          <w:bCs/>
          <w:color w:val="auto"/>
          <w:sz w:val="32"/>
          <w:szCs w:val="32"/>
          <w:highlight w:val="none"/>
          <w:lang w:val="en-US" w:eastAsia="zh-CN"/>
        </w:rPr>
        <w:t>四</w:t>
      </w:r>
      <w:r>
        <w:rPr>
          <w:rFonts w:hint="eastAsia" w:ascii="楷体" w:hAnsi="楷体" w:eastAsia="楷体" w:cs="楷体"/>
          <w:b/>
          <w:bCs/>
          <w:color w:val="auto"/>
          <w:sz w:val="32"/>
          <w:szCs w:val="32"/>
          <w:highlight w:val="none"/>
        </w:rPr>
        <w:t>）</w:t>
      </w:r>
      <w:r>
        <w:rPr>
          <w:rFonts w:hint="eastAsia" w:ascii="楷体" w:hAnsi="楷体" w:eastAsia="楷体" w:cs="楷体"/>
          <w:b/>
          <w:bCs/>
          <w:color w:val="auto"/>
          <w:sz w:val="32"/>
          <w:szCs w:val="32"/>
          <w:highlight w:val="none"/>
          <w:lang w:val="en-US" w:eastAsia="zh-CN"/>
        </w:rPr>
        <w:t>全面摸排现状，明确治理模式</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县（市、区）应组织技术团队，结合全省全面摸排反馈的问题清单，对问题设施或管网开展自查复核，并以自然村为单位全面开展摸查和评估，举一反三，摸清自然村生活污水收集、处理设施建设和运行状况，梳理收集管网（管网错接漏接、覆盖率不足、外水渗入等）、设施站点（老旧破损、渗漏、废弃停用、长期在建、超负荷运行、出水异常、功能单元缺失等）、治理模式不符合实际等问题。对于问题设施与管网，建立老旧、废弃设施提升改造及管网修复改造清单。对于新建设施，形成农村生活污水“一村一策”治理台账，明确治理模式。位于城镇周边的自然村应优先纳入城镇生活污水处理厂处理；规模较大、人口较集中的村庄有序安排新建设施；人口规模小、居住分散的自然村或片区，在无黑臭水体且周边水环境容量足够的前提下，鼓励就近就地污水资源化利用。其中，陆丰市、陆河县、海丰县、华侨管理区等存在空心化或者人口较少且居住分散的村庄，应优先考虑资源化利用的治理模式。</w:t>
      </w:r>
    </w:p>
    <w:p>
      <w:pPr>
        <w:spacing w:line="560" w:lineRule="exact"/>
        <w:ind w:firstLine="643" w:firstLineChars="200"/>
        <w:rPr>
          <w:rFonts w:ascii="仿宋_GB2312" w:hAnsi="仿宋_GB2312" w:eastAsia="仿宋_GB2312" w:cs="仿宋_GB2312"/>
          <w:b/>
          <w:bCs/>
          <w:color w:val="auto"/>
          <w:sz w:val="32"/>
          <w:szCs w:val="32"/>
          <w:highlight w:val="none"/>
        </w:rPr>
      </w:pPr>
      <w:r>
        <w:rPr>
          <w:rFonts w:hint="eastAsia" w:eastAsia="仿宋_GB2312" w:cs="仿宋_GB2312"/>
          <w:b/>
          <w:bCs/>
          <w:color w:val="auto"/>
          <w:sz w:val="32"/>
          <w:szCs w:val="32"/>
          <w:highlight w:val="none"/>
          <w:lang w:bidi="ar"/>
        </w:rPr>
        <w:t>（</w:t>
      </w:r>
      <w:r>
        <w:rPr>
          <w:rFonts w:hint="eastAsia" w:ascii="仿宋_GB2312" w:hAnsi="仿宋_GB2312" w:eastAsia="仿宋_GB2312" w:cs="仿宋_GB2312"/>
          <w:b/>
          <w:bCs/>
          <w:color w:val="auto"/>
          <w:sz w:val="32"/>
          <w:szCs w:val="32"/>
          <w:highlight w:val="none"/>
        </w:rPr>
        <w:t>责任单位：各县（市、区）人民政府；指导单位：市生态环境局牵头，市住房城乡建设局</w:t>
      </w:r>
      <w:r>
        <w:rPr>
          <w:rFonts w:hint="eastAsia" w:eastAsia="仿宋_GB2312" w:cs="仿宋_GB2312"/>
          <w:b/>
          <w:bCs/>
          <w:color w:val="auto"/>
          <w:sz w:val="32"/>
          <w:szCs w:val="32"/>
          <w:highlight w:val="none"/>
          <w:lang w:bidi="ar"/>
        </w:rPr>
        <w:t>、农业农村局、水务局按职责负责</w:t>
      </w:r>
      <w:r>
        <w:rPr>
          <w:rFonts w:hint="eastAsia" w:ascii="仿宋_GB2312" w:hAnsi="仿宋_GB2312" w:eastAsia="仿宋_GB2312" w:cs="仿宋_GB2312"/>
          <w:b/>
          <w:bCs/>
          <w:color w:val="auto"/>
          <w:sz w:val="32"/>
          <w:szCs w:val="32"/>
          <w:highlight w:val="none"/>
        </w:rPr>
        <w:t>）</w:t>
      </w:r>
    </w:p>
    <w:p>
      <w:pPr>
        <w:pStyle w:val="32"/>
        <w:snapToGrid w:val="0"/>
        <w:spacing w:line="600" w:lineRule="exact"/>
        <w:ind w:firstLine="643" w:firstLineChars="200"/>
        <w:jc w:val="both"/>
        <w:textAlignment w:val="baseline"/>
        <w:rPr>
          <w:rFonts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rPr>
        <w:t>（</w:t>
      </w:r>
      <w:r>
        <w:rPr>
          <w:rFonts w:hint="eastAsia" w:ascii="楷体" w:hAnsi="楷体" w:eastAsia="楷体" w:cs="楷体"/>
          <w:b/>
          <w:bCs/>
          <w:color w:val="auto"/>
          <w:sz w:val="32"/>
          <w:szCs w:val="32"/>
          <w:highlight w:val="none"/>
          <w:lang w:val="en-US" w:eastAsia="zh-CN"/>
        </w:rPr>
        <w:t>五</w:t>
      </w:r>
      <w:r>
        <w:rPr>
          <w:rFonts w:hint="eastAsia" w:ascii="楷体" w:hAnsi="楷体" w:eastAsia="楷体" w:cs="楷体"/>
          <w:b/>
          <w:bCs/>
          <w:color w:val="auto"/>
          <w:sz w:val="32"/>
          <w:szCs w:val="32"/>
          <w:highlight w:val="none"/>
        </w:rPr>
        <w:t>）</w:t>
      </w:r>
      <w:r>
        <w:rPr>
          <w:rFonts w:hint="eastAsia" w:ascii="楷体" w:hAnsi="楷体" w:eastAsia="楷体" w:cs="楷体"/>
          <w:b/>
          <w:bCs/>
          <w:color w:val="auto"/>
          <w:sz w:val="32"/>
          <w:szCs w:val="32"/>
          <w:highlight w:val="none"/>
          <w:lang w:val="en-US" w:eastAsia="zh-CN"/>
        </w:rPr>
        <w:t>编制县域规划，明确治理时序</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全面摸排结果，合理确定规划目标、细化年度任务，结合重点区域识别及地方财力，合理规划新建工程与老旧设施、管网提质增效工程，明确项目实施模式、运维管理模式和资金来源，配套做好用地保障及项目开展过程中的政策、技术支持，扎实编制县域农村生活污水治理专项规划。</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优先治理人口规模大且居住集中</w:t>
      </w:r>
      <w:r>
        <w:rPr>
          <w:rFonts w:hint="eastAsia" w:ascii="仿宋_GB2312" w:hAnsi="仿宋_GB2312" w:eastAsia="仿宋_GB2312" w:cs="仿宋_GB2312"/>
          <w:color w:val="auto"/>
          <w:sz w:val="32"/>
          <w:szCs w:val="32"/>
          <w:highlight w:val="none"/>
          <w:lang w:val="en-US" w:eastAsia="zh-CN"/>
        </w:rPr>
        <w:t>区域、村民治理需求迫切、乡镇政府驻地、</w:t>
      </w:r>
      <w:r>
        <w:rPr>
          <w:rFonts w:hint="eastAsia" w:ascii="仿宋_GB2312" w:hAnsi="仿宋_GB2312" w:eastAsia="仿宋_GB2312" w:cs="仿宋_GB2312"/>
          <w:color w:val="auto"/>
          <w:sz w:val="32"/>
          <w:szCs w:val="32"/>
          <w:highlight w:val="none"/>
          <w:lang w:val="en-US" w:eastAsia="zh-CN"/>
        </w:rPr>
        <w:t>中心村、农村黑臭水体、</w:t>
      </w:r>
      <w:r>
        <w:rPr>
          <w:rFonts w:hint="eastAsia" w:ascii="仿宋_GB2312" w:hAnsi="仿宋_GB2312" w:eastAsia="仿宋_GB2312" w:cs="仿宋_GB2312"/>
          <w:color w:val="auto"/>
          <w:sz w:val="32"/>
          <w:szCs w:val="32"/>
          <w:highlight w:val="none"/>
          <w:lang w:val="en-US" w:eastAsia="zh-CN"/>
        </w:rPr>
        <w:t>饮用水水源保护区、城乡结合部、旅游风景区、乡村振兴示范带、</w:t>
      </w:r>
      <w:r>
        <w:rPr>
          <w:rFonts w:hint="eastAsia" w:ascii="仿宋_GB2312" w:hAnsi="仿宋_GB2312" w:eastAsia="仿宋_GB2312" w:cs="仿宋_GB2312"/>
          <w:color w:val="auto"/>
          <w:sz w:val="32"/>
          <w:szCs w:val="32"/>
          <w:highlight w:val="none"/>
          <w:lang w:val="en-US" w:eastAsia="zh-CN"/>
        </w:rPr>
        <w:t>国考断面水质达标控制单元及其他重点治理区域内的村庄，尤其是陆丰市、海丰县应结合近期东溪河国考断面攻坚达标任务靠前安排新建与整改任务。纳入合并、撤并、搬迁及城市化改造计划的自然村可结合规划合理安排生活污水治理工作。各县（市、区）规划方案应组织相关专家评议，经各县（市、区）人民政府报市生态环境局审核后，力争于2022</w:t>
      </w:r>
      <w:r>
        <w:rPr>
          <w:rFonts w:hint="eastAsia" w:ascii="仿宋_GB2312" w:hAnsi="仿宋_GB2312" w:eastAsia="仿宋_GB2312" w:cs="仿宋_GB2312"/>
          <w:color w:val="auto"/>
          <w:sz w:val="32"/>
          <w:szCs w:val="32"/>
          <w:highlight w:val="none"/>
          <w:lang w:val="en-US" w:eastAsia="zh-CN"/>
        </w:rPr>
        <w:t>年3</w:t>
      </w:r>
      <w:r>
        <w:rPr>
          <w:rFonts w:hint="eastAsia" w:ascii="仿宋_GB2312" w:hAnsi="仿宋_GB2312" w:eastAsia="仿宋_GB2312" w:cs="仿宋_GB2312"/>
          <w:color w:val="auto"/>
          <w:sz w:val="32"/>
          <w:szCs w:val="32"/>
          <w:highlight w:val="none"/>
          <w:lang w:val="en-US" w:eastAsia="zh-CN"/>
        </w:rPr>
        <w:t>月底前印发实施并向社会公开。</w:t>
      </w:r>
    </w:p>
    <w:p>
      <w:pPr>
        <w:pStyle w:val="32"/>
        <w:snapToGrid w:val="0"/>
        <w:spacing w:line="600" w:lineRule="exact"/>
        <w:ind w:firstLine="643" w:firstLineChars="200"/>
        <w:jc w:val="both"/>
        <w:textAlignment w:val="baseline"/>
        <w:rPr>
          <w:rFonts w:ascii="仿宋_GB2312" w:hAnsi="仿宋_GB2312" w:eastAsia="仿宋"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责任单位：各</w:t>
      </w:r>
      <w:r>
        <w:rPr>
          <w:rFonts w:hint="eastAsia" w:ascii="仿宋_GB2312" w:hAnsi="仿宋_GB2312" w:eastAsia="仿宋_GB2312" w:cs="仿宋_GB2312"/>
          <w:b/>
          <w:bCs/>
          <w:color w:val="auto"/>
          <w:sz w:val="32"/>
          <w:szCs w:val="32"/>
          <w:highlight w:val="none"/>
          <w:lang w:val="en-US" w:eastAsia="zh-CN"/>
        </w:rPr>
        <w:t>县</w:t>
      </w:r>
      <w:r>
        <w:rPr>
          <w:rFonts w:hint="eastAsia" w:ascii="仿宋_GB2312" w:hAnsi="仿宋_GB2312" w:eastAsia="仿宋_GB2312" w:cs="仿宋_GB2312"/>
          <w:b/>
          <w:bCs/>
          <w:color w:val="auto"/>
          <w:sz w:val="32"/>
          <w:szCs w:val="32"/>
          <w:highlight w:val="none"/>
        </w:rPr>
        <w:t>（市</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区</w:t>
      </w:r>
      <w:r>
        <w:rPr>
          <w:rFonts w:hint="eastAsia" w:ascii="仿宋_GB2312" w:hAnsi="仿宋_GB2312" w:eastAsia="仿宋_GB2312" w:cs="仿宋_GB2312"/>
          <w:b/>
          <w:bCs/>
          <w:color w:val="auto"/>
          <w:sz w:val="32"/>
          <w:szCs w:val="32"/>
          <w:highlight w:val="none"/>
        </w:rPr>
        <w:t>）人民政府；指导单位：市生态环境局牵头，市发展改革局、</w:t>
      </w:r>
      <w:r>
        <w:rPr>
          <w:rFonts w:hint="eastAsia" w:ascii="仿宋_GB2312" w:hAnsi="仿宋_GB2312" w:eastAsia="仿宋_GB2312" w:cs="仿宋_GB2312"/>
          <w:b/>
          <w:bCs/>
          <w:color w:val="auto"/>
          <w:kern w:val="2"/>
          <w:sz w:val="32"/>
          <w:szCs w:val="32"/>
          <w:highlight w:val="none"/>
          <w:lang w:val="en-US" w:eastAsia="zh-CN" w:bidi="ar-SA"/>
        </w:rPr>
        <w:t>住房城乡建设局</w:t>
      </w:r>
      <w:r>
        <w:rPr>
          <w:rFonts w:hint="eastAsia" w:ascii="仿宋_GB2312" w:hAnsi="仿宋_GB2312" w:eastAsia="仿宋_GB2312" w:cs="仿宋_GB2312"/>
          <w:b/>
          <w:bCs/>
          <w:color w:val="auto"/>
          <w:sz w:val="32"/>
          <w:szCs w:val="32"/>
          <w:highlight w:val="none"/>
        </w:rPr>
        <w:t>、水务局、农业农村局</w:t>
      </w:r>
      <w:r>
        <w:rPr>
          <w:rFonts w:hint="eastAsia" w:ascii="仿宋_GB2312" w:hAnsi="仿宋_GB2312" w:eastAsia="仿宋_GB2312" w:cs="仿宋_GB2312"/>
          <w:b/>
          <w:bCs/>
          <w:color w:val="auto"/>
          <w:sz w:val="32"/>
          <w:szCs w:val="32"/>
          <w:highlight w:val="none"/>
          <w:lang w:eastAsia="zh-CN"/>
        </w:rPr>
        <w:t>、自然资源局、</w:t>
      </w:r>
      <w:r>
        <w:rPr>
          <w:rFonts w:hint="eastAsia" w:ascii="仿宋_GB2312" w:hAnsi="仿宋_GB2312" w:eastAsia="仿宋_GB2312" w:cs="仿宋_GB2312"/>
          <w:b/>
          <w:bCs/>
          <w:color w:val="auto"/>
          <w:sz w:val="32"/>
          <w:szCs w:val="32"/>
          <w:highlight w:val="none"/>
          <w:lang w:val="en-US" w:eastAsia="zh-CN"/>
        </w:rPr>
        <w:t>财政局</w:t>
      </w:r>
      <w:r>
        <w:rPr>
          <w:rFonts w:hint="eastAsia" w:ascii="仿宋_GB2312" w:hAnsi="仿宋_GB2312" w:eastAsia="仿宋_GB2312" w:cs="仿宋_GB2312"/>
          <w:b/>
          <w:bCs/>
          <w:color w:val="auto"/>
          <w:sz w:val="32"/>
          <w:szCs w:val="32"/>
          <w:highlight w:val="none"/>
        </w:rPr>
        <w:t>等按职责负责。）</w:t>
      </w:r>
    </w:p>
    <w:p>
      <w:pPr>
        <w:pStyle w:val="32"/>
        <w:snapToGrid w:val="0"/>
        <w:spacing w:line="600" w:lineRule="exact"/>
        <w:ind w:firstLine="643" w:firstLineChars="200"/>
        <w:jc w:val="both"/>
        <w:textAlignment w:val="baseline"/>
        <w:rPr>
          <w:rFonts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（六）因地制宜推进新建治理工程</w:t>
      </w:r>
    </w:p>
    <w:p>
      <w:pPr>
        <w:pStyle w:val="32"/>
        <w:snapToGrid w:val="0"/>
        <w:spacing w:line="600" w:lineRule="exact"/>
        <w:ind w:firstLine="643"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分区分类推进。</w:t>
      </w:r>
      <w:r>
        <w:rPr>
          <w:rFonts w:hint="eastAsia" w:ascii="仿宋_GB2312" w:hAnsi="仿宋_GB2312" w:eastAsia="仿宋_GB2312" w:cs="仿宋_GB2312"/>
          <w:color w:val="auto"/>
          <w:kern w:val="2"/>
          <w:sz w:val="32"/>
          <w:szCs w:val="32"/>
          <w:highlight w:val="none"/>
          <w:lang w:val="en-US" w:eastAsia="zh-CN" w:bidi="ar-SA"/>
        </w:rPr>
        <w:t>结合“一村一策”治理台账，分区分类推进新建治理工程，要优先选择经济适用、易于维护的工艺设备。拟采用纳厂模式的自然村，应高质量谋划管网的建设，加快村内接户管的建设及村外总口与市政管网的接驳，并结合污水处理厂的提质增效有序开展村庄内雨污分流的建设工程。对于拟纳入城镇污水处理厂未建、建设停滞或者正在调试运行的，应加快污水处理厂的建设及调试，确保污水的有效处置。拟建设设施的自然村，应结合常住人口规模、用地情况、排水现状及排入水质要求，合理确定处理设施的处理规模，科学选择排放标准，并在充分论证后选择经济适用、易于维护的工艺设备，尽量减少一体化设施的数量，杜绝“晒太阳”工程。在海丰西闸、东溪水闸国考断面附近的自然村，应结合国考断面达标攻坚目标，倒逼工程进度，出水直接排入敏感水体的设施应严格执行</w:t>
      </w:r>
      <w:bookmarkStart w:id="0" w:name="OLE_LINK1"/>
      <w:r>
        <w:rPr>
          <w:rFonts w:hint="eastAsia" w:ascii="仿宋_GB2312" w:hAnsi="仿宋_GB2312" w:eastAsia="仿宋_GB2312" w:cs="仿宋_GB2312"/>
          <w:color w:val="auto"/>
          <w:kern w:val="2"/>
          <w:sz w:val="32"/>
          <w:szCs w:val="32"/>
          <w:highlight w:val="none"/>
          <w:lang w:val="en-US" w:eastAsia="zh-CN" w:bidi="ar-SA"/>
        </w:rPr>
        <w:t>《广东省农村生活污水处理排放标准》（DB 44/2208）</w:t>
      </w:r>
      <w:bookmarkEnd w:id="0"/>
      <w:r>
        <w:rPr>
          <w:rFonts w:hint="eastAsia" w:ascii="仿宋_GB2312" w:hAnsi="仿宋_GB2312" w:eastAsia="仿宋_GB2312" w:cs="仿宋_GB2312"/>
          <w:color w:val="auto"/>
          <w:kern w:val="2"/>
          <w:sz w:val="32"/>
          <w:szCs w:val="32"/>
          <w:highlight w:val="none"/>
          <w:lang w:val="en-US" w:eastAsia="zh-CN" w:bidi="ar-SA"/>
        </w:rPr>
        <w:t>中的一级标准，减轻国考断面达标压力。</w:t>
      </w:r>
    </w:p>
    <w:p>
      <w:pPr>
        <w:pStyle w:val="32"/>
        <w:spacing w:line="416"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加强工作统筹。</w:t>
      </w:r>
      <w:r>
        <w:rPr>
          <w:rFonts w:hint="eastAsia" w:ascii="仿宋_GB2312" w:hAnsi="仿宋_GB2312" w:eastAsia="仿宋_GB2312" w:cs="仿宋_GB2312"/>
          <w:color w:val="auto"/>
          <w:kern w:val="2"/>
          <w:sz w:val="32"/>
          <w:szCs w:val="32"/>
          <w:highlight w:val="none"/>
          <w:lang w:val="en-US" w:eastAsia="zh-CN" w:bidi="ar-SA"/>
        </w:rPr>
        <w:t>各地要统筹辖区内农村生活污水处理、厕所革命、化粪池、雨污分流管网及道路建设，避免反复开挖和拆建。应推动户用三级化粪池建设或改造，完善防渗措施，实现收集管网周边农户应接尽接，并注重公共厕所污水的有效接入。对于存在非居民产生的污水（如农家乐、民宿学校等）的村庄或者在规划期内拟发展乡村旅游产业的村庄，应在项目规划初期做好衔接，妥善预留相应处理能力。</w:t>
      </w:r>
    </w:p>
    <w:p>
      <w:pPr>
        <w:widowControl/>
        <w:snapToGrid/>
        <w:ind w:firstLine="643"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强化监督监管。</w:t>
      </w:r>
      <w:r>
        <w:rPr>
          <w:rFonts w:hint="eastAsia" w:ascii="仿宋_GB2312" w:hAnsi="仿宋_GB2312" w:eastAsia="仿宋_GB2312" w:cs="仿宋_GB2312"/>
          <w:color w:val="auto"/>
          <w:kern w:val="2"/>
          <w:sz w:val="32"/>
          <w:szCs w:val="32"/>
          <w:highlight w:val="none"/>
          <w:lang w:val="en-US" w:eastAsia="zh-CN" w:bidi="ar-SA"/>
        </w:rPr>
        <w:t>加强建设过程中质量和进度监督，建立工程质量管理工作情况定期汇报机制，定期上报治理项目进度、反馈建设过程中存在的问题；加强督导重点区域内及纳入年度民生实事范围自然村的治理进度，不定期对于上报完成的自然村开展抽查，以省委农办“广东省美丽乡村建设信息系统”为基础，严格各级农村生活污水治理数据填报及审核工作；建立工作帮扶机制，对于技术力量薄弱的或者工作推进过程存在问题的地区，邀请相关专家开展下沉式技术帮扶；加强项目建设质量监控与巡检，压实工程质量监督责任，严把设计关、材料关、施工关、验收关。建立详细的建设工程项目台账；工程验收后，建设单位、管理部门、镇级政府应妥善保管竣工图等相关资料，以备查验；运维移交时应确保水质水量、工艺、规模与设计相符，设施、设备完整。</w:t>
      </w:r>
    </w:p>
    <w:p>
      <w:pPr>
        <w:pStyle w:val="32"/>
        <w:snapToGrid w:val="0"/>
        <w:spacing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到2022年底前，力争新增完成672个自然村的治理；2023年底前，力争新增完成175个自然村的治理；2024年底前，力争新增完成154个自然村的治理；2025年底前，力争新增完成152个自然村的治理。（“十四五”期间，力争新增完成纳入城镇生活污水处理厂的自然村237个，新增完成建设设施的自然村667个，新增完成资源化利用的自然村249个）。</w:t>
      </w:r>
    </w:p>
    <w:p>
      <w:pPr>
        <w:pStyle w:val="32"/>
        <w:snapToGrid w:val="0"/>
        <w:spacing w:line="600" w:lineRule="exact"/>
        <w:ind w:firstLine="643" w:firstLineChars="200"/>
        <w:jc w:val="both"/>
        <w:textAlignment w:val="baseline"/>
        <w:rPr>
          <w:rFonts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责任单位：各</w:t>
      </w:r>
      <w:r>
        <w:rPr>
          <w:rFonts w:hint="eastAsia" w:ascii="仿宋_GB2312" w:hAnsi="仿宋_GB2312" w:eastAsia="仿宋_GB2312" w:cs="仿宋_GB2312"/>
          <w:b/>
          <w:bCs/>
          <w:color w:val="auto"/>
          <w:sz w:val="32"/>
          <w:szCs w:val="32"/>
          <w:highlight w:val="none"/>
          <w:lang w:val="en-US" w:eastAsia="zh-CN"/>
        </w:rPr>
        <w:t>县</w:t>
      </w:r>
      <w:r>
        <w:rPr>
          <w:rFonts w:hint="eastAsia" w:ascii="仿宋_GB2312" w:hAnsi="仿宋_GB2312" w:eastAsia="仿宋_GB2312" w:cs="仿宋_GB2312"/>
          <w:b/>
          <w:bCs/>
          <w:color w:val="auto"/>
          <w:sz w:val="32"/>
          <w:szCs w:val="32"/>
          <w:highlight w:val="none"/>
        </w:rPr>
        <w:t>（市</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区</w:t>
      </w:r>
      <w:r>
        <w:rPr>
          <w:rFonts w:hint="eastAsia" w:ascii="仿宋_GB2312" w:hAnsi="仿宋_GB2312" w:eastAsia="仿宋_GB2312" w:cs="仿宋_GB2312"/>
          <w:b/>
          <w:bCs/>
          <w:color w:val="auto"/>
          <w:sz w:val="32"/>
          <w:szCs w:val="32"/>
          <w:highlight w:val="none"/>
        </w:rPr>
        <w:t>）人民政府；指导单位：市生态环境局牵头，市</w:t>
      </w:r>
      <w:r>
        <w:rPr>
          <w:rFonts w:hint="eastAsia" w:ascii="仿宋_GB2312" w:hAnsi="仿宋_GB2312" w:eastAsia="仿宋_GB2312" w:cs="仿宋_GB2312"/>
          <w:b/>
          <w:bCs/>
          <w:color w:val="auto"/>
          <w:sz w:val="32"/>
          <w:szCs w:val="32"/>
          <w:highlight w:val="none"/>
          <w:lang w:eastAsia="zh-CN"/>
        </w:rPr>
        <w:t>发展改革局、</w:t>
      </w:r>
      <w:r>
        <w:rPr>
          <w:rFonts w:hint="eastAsia" w:ascii="仿宋_GB2312" w:hAnsi="仿宋_GB2312" w:eastAsia="仿宋_GB2312" w:cs="仿宋_GB2312"/>
          <w:b/>
          <w:bCs/>
          <w:color w:val="auto"/>
          <w:kern w:val="2"/>
          <w:sz w:val="32"/>
          <w:szCs w:val="32"/>
          <w:highlight w:val="none"/>
          <w:lang w:val="en-US" w:eastAsia="zh-CN" w:bidi="ar-SA"/>
        </w:rPr>
        <w:t>住房城乡建设局</w:t>
      </w:r>
      <w:r>
        <w:rPr>
          <w:rFonts w:hint="eastAsia" w:ascii="仿宋_GB2312" w:hAnsi="仿宋_GB2312" w:eastAsia="仿宋_GB2312" w:cs="仿宋_GB2312"/>
          <w:b/>
          <w:bCs/>
          <w:color w:val="auto"/>
          <w:sz w:val="32"/>
          <w:szCs w:val="32"/>
          <w:highlight w:val="none"/>
        </w:rPr>
        <w:t>、水务局、农业农村局</w:t>
      </w:r>
      <w:r>
        <w:rPr>
          <w:rFonts w:hint="eastAsia" w:ascii="仿宋_GB2312" w:hAnsi="仿宋_GB2312" w:eastAsia="仿宋_GB2312" w:cs="仿宋_GB2312"/>
          <w:b/>
          <w:bCs/>
          <w:color w:val="auto"/>
          <w:sz w:val="32"/>
          <w:szCs w:val="32"/>
          <w:highlight w:val="none"/>
          <w:lang w:eastAsia="zh-CN"/>
        </w:rPr>
        <w:t>、自然资源局、林业局</w:t>
      </w:r>
      <w:r>
        <w:rPr>
          <w:rFonts w:hint="eastAsia" w:ascii="仿宋_GB2312" w:hAnsi="仿宋_GB2312" w:eastAsia="仿宋_GB2312" w:cs="仿宋_GB2312"/>
          <w:b/>
          <w:bCs/>
          <w:color w:val="auto"/>
          <w:sz w:val="32"/>
          <w:szCs w:val="32"/>
          <w:highlight w:val="none"/>
        </w:rPr>
        <w:t>等按职责负责。）</w:t>
      </w:r>
    </w:p>
    <w:p>
      <w:pPr>
        <w:pStyle w:val="32"/>
        <w:snapToGrid w:val="0"/>
        <w:spacing w:line="600" w:lineRule="exact"/>
        <w:ind w:firstLine="643" w:firstLineChars="200"/>
        <w:jc w:val="both"/>
        <w:textAlignment w:val="baseline"/>
        <w:rPr>
          <w:rFonts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（七）全面完成老旧设施及管网修复提升</w:t>
      </w:r>
    </w:p>
    <w:p>
      <w:pPr>
        <w:widowControl/>
        <w:snapToGrid/>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以提升污水处理成效为目标，通过“修复、改造、重建”等方式，分级实施提质增效工程。采用纳厂模式的自然村，应加快城镇污水处理厂的建设及接户管与市政管网的接驳；优先完善居住集中、人口规模大的自然村管网，提升管网覆盖率及接户率；有序推进破损严重、外水渗入、错接、漏接等管网修复工作，注重灰水接入管道的防臭改造；对于只建设施不建管网的自然村，应当加快村内最后一公里管网的建设工作，确保与处理设施的有效衔接；开展废弃或损坏闲置、施工停滞以及处理规模偏差较大、处理成效较差的设施修复或重建；对因未落实运维造成闲置的设施宜纳入新建设施运维管理统筹考虑；对治理模式不合实际、超出实际需求的设施进行整改，经充分论证后可淘汰处理设施，更换村庄污水治理模式；对于摸查发现原有PPP项目中自然村的治理模式不合理或者排放标准过高的，应结合实际情况予以调整。结合提升改造等工作，加强对农村生活污水治理设施、管网等历史资料的收集和重新建档，切实做到一村一档案，同步落实做好提升改造后设施与管网的运维工作，避免再次出现问题。各县（市、区）的整改率力争于2022年底前达到50%以上，基本完成重点区域内老旧设施及管网提升改造任务，其余非重点区域村庄应结合整改任务的难易程度（大、中、小修）及日常运维合理安排时序</w:t>
      </w:r>
      <w:r>
        <w:rPr>
          <w:rFonts w:hint="eastAsia" w:ascii="仿宋_GB2312" w:hAnsi="仿宋_GB2312" w:eastAsia="仿宋_GB2312" w:cs="仿宋_GB2312"/>
          <w:color w:val="auto"/>
          <w:kern w:val="2"/>
          <w:sz w:val="32"/>
          <w:szCs w:val="32"/>
          <w:highlight w:val="none"/>
          <w:lang w:val="zh-TW" w:eastAsia="zh-CN" w:bidi="ar-SA"/>
        </w:rPr>
        <w:t>。</w:t>
      </w:r>
      <w:r>
        <w:rPr>
          <w:rFonts w:hint="eastAsia" w:ascii="仿宋_GB2312" w:hAnsi="仿宋_GB2312" w:eastAsia="仿宋_GB2312" w:cs="仿宋_GB2312"/>
          <w:color w:val="auto"/>
          <w:kern w:val="2"/>
          <w:sz w:val="32"/>
          <w:szCs w:val="32"/>
          <w:highlight w:val="none"/>
          <w:lang w:val="en-US" w:eastAsia="zh-CN" w:bidi="ar-SA"/>
        </w:rPr>
        <w:t>“十四五”期间，共有267个以上自然村需要提升改造设施或者修复管网，其中2022年底前有237个以上自然村需要提升改造设施或者修复管网。</w:t>
      </w:r>
    </w:p>
    <w:p>
      <w:pPr>
        <w:widowControl/>
        <w:snapToGrid w:val="0"/>
        <w:spacing w:line="600" w:lineRule="exact"/>
        <w:ind w:firstLine="643" w:firstLineChars="200"/>
        <w:textAlignment w:val="baseline"/>
        <w:rPr>
          <w:rFonts w:ascii="仿宋_GB2312" w:hAnsi="仿宋_GB2312" w:eastAsia="仿宋_GB2312" w:cs="仿宋_GB2312"/>
          <w:b/>
          <w:bCs/>
          <w:color w:val="auto"/>
          <w:sz w:val="32"/>
          <w:szCs w:val="32"/>
          <w:highlight w:val="none"/>
          <w:lang w:bidi="zh-TW"/>
        </w:rPr>
      </w:pPr>
      <w:r>
        <w:rPr>
          <w:rFonts w:hint="eastAsia" w:ascii="仿宋_GB2312" w:hAnsi="仿宋_GB2312" w:eastAsia="仿宋_GB2312" w:cs="仿宋_GB2312"/>
          <w:b/>
          <w:bCs/>
          <w:color w:val="auto"/>
          <w:sz w:val="32"/>
          <w:szCs w:val="32"/>
          <w:highlight w:val="none"/>
        </w:rPr>
        <w:t>（责任单位：各县（市、区）人民政府；指导单位：</w:t>
      </w:r>
      <w:r>
        <w:rPr>
          <w:rFonts w:hint="eastAsia" w:ascii="仿宋_GB2312" w:hAnsi="仿宋_GB2312" w:eastAsia="仿宋_GB2312" w:cs="仿宋_GB2312"/>
          <w:b/>
          <w:bCs/>
          <w:color w:val="auto"/>
          <w:kern w:val="2"/>
          <w:sz w:val="32"/>
          <w:szCs w:val="32"/>
          <w:highlight w:val="none"/>
          <w:lang w:val="en-US" w:eastAsia="zh-CN" w:bidi="ar-SA"/>
        </w:rPr>
        <w:t>市生态环境局、市住房城乡建设局、市发展改革局、市农业农村局、市水务局等按职责负责。</w:t>
      </w:r>
      <w:r>
        <w:rPr>
          <w:rFonts w:hint="eastAsia" w:ascii="仿宋_GB2312" w:hAnsi="仿宋_GB2312" w:eastAsia="仿宋_GB2312" w:cs="仿宋_GB2312"/>
          <w:b/>
          <w:bCs/>
          <w:color w:val="auto"/>
          <w:sz w:val="32"/>
          <w:szCs w:val="32"/>
          <w:highlight w:val="none"/>
        </w:rPr>
        <w:t>）</w:t>
      </w:r>
    </w:p>
    <w:p>
      <w:pPr>
        <w:pStyle w:val="32"/>
        <w:snapToGrid w:val="0"/>
        <w:spacing w:line="600" w:lineRule="exact"/>
        <w:ind w:firstLine="643" w:firstLineChars="200"/>
        <w:jc w:val="both"/>
        <w:textAlignment w:val="baseline"/>
        <w:rPr>
          <w:rFonts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eastAsia="zh-CN"/>
        </w:rPr>
        <w:t>（八）科学推进</w:t>
      </w:r>
      <w:r>
        <w:rPr>
          <w:rFonts w:hint="eastAsia" w:ascii="楷体" w:hAnsi="楷体" w:eastAsia="楷体" w:cs="楷体"/>
          <w:b/>
          <w:bCs/>
          <w:color w:val="auto"/>
          <w:sz w:val="32"/>
          <w:szCs w:val="32"/>
          <w:highlight w:val="none"/>
          <w:lang w:val="en-US" w:eastAsia="zh-CN"/>
        </w:rPr>
        <w:t>资源化利用</w:t>
      </w:r>
    </w:p>
    <w:p>
      <w:pPr>
        <w:widowControl/>
        <w:snapToGrid/>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对于人口规模小（一般常住人口低于50人）、居住分散或者呈现空心化的自然村，可依循村民传统生活习惯，充分利用村庄周边自然消纳能力，实现污水就近就地资源化利用；对于人口规模相对较多（常住人口200人以下）且周边受纳水体消纳能力充足的自然村，根据常住人口、聚集程度及污水产生量与受纳水体的匹配情况，完善输送管渠、预处理设施等配套设施建设。鼓励将无害化处理后的污水输送至农田、林地、草地、水塘、小微湿地或房前屋后小花园、小菜园、小果园、小公园（四小园）等再利用。在尊重老百姓风俗习惯的前提下，优先收集、治理风水塘区域周边农户的生活污水。为进一步增加风水塘的消纳能力，宜增加污水预处理设施或对风水塘进行生态化和景观化改造。</w:t>
      </w:r>
    </w:p>
    <w:p>
      <w:pPr>
        <w:widowControl/>
        <w:snapToGrid/>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采用污水资源化利用的村庄，应建立资源化利用运维台账，定期开展出水情况监管与利用现状评估。对于出现黑臭水体、环境恶化或者人口突增不再符合资源化利用条件的自然村，应当及时调整治理模式。结合《广东省推进污水资源化利用实施方案》节水即治污的相关精神，鼓励将农村生活污水处理设施的尾水用于农田灌溉、河水补给等。</w:t>
      </w:r>
    </w:p>
    <w:p>
      <w:pPr>
        <w:widowControl/>
        <w:snapToGrid/>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到2023年底，各地力争基本完成符合资源化利用条件的村庄的治理工作，并建立完善的资源化利用监管体系。</w:t>
      </w:r>
    </w:p>
    <w:p>
      <w:pPr>
        <w:pStyle w:val="32"/>
        <w:snapToGrid w:val="0"/>
        <w:spacing w:line="600" w:lineRule="exact"/>
        <w:ind w:firstLine="643" w:firstLineChars="200"/>
        <w:jc w:val="both"/>
        <w:textAlignment w:val="baseline"/>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责任单位：各</w:t>
      </w:r>
      <w:r>
        <w:rPr>
          <w:rFonts w:hint="eastAsia" w:ascii="仿宋_GB2312" w:hAnsi="仿宋_GB2312" w:eastAsia="仿宋_GB2312" w:cs="仿宋_GB2312"/>
          <w:b/>
          <w:bCs/>
          <w:color w:val="auto"/>
          <w:sz w:val="32"/>
          <w:szCs w:val="32"/>
          <w:highlight w:val="none"/>
          <w:lang w:val="en-US" w:eastAsia="zh-CN"/>
        </w:rPr>
        <w:t>县</w:t>
      </w:r>
      <w:r>
        <w:rPr>
          <w:rFonts w:hint="eastAsia" w:ascii="仿宋_GB2312" w:hAnsi="仿宋_GB2312" w:eastAsia="仿宋_GB2312" w:cs="仿宋_GB2312"/>
          <w:b/>
          <w:bCs/>
          <w:color w:val="auto"/>
          <w:sz w:val="32"/>
          <w:szCs w:val="32"/>
          <w:highlight w:val="none"/>
        </w:rPr>
        <w:t>（市</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区</w:t>
      </w:r>
      <w:r>
        <w:rPr>
          <w:rFonts w:hint="eastAsia" w:ascii="仿宋_GB2312" w:hAnsi="仿宋_GB2312" w:eastAsia="仿宋_GB2312" w:cs="仿宋_GB2312"/>
          <w:b/>
          <w:bCs/>
          <w:color w:val="auto"/>
          <w:sz w:val="32"/>
          <w:szCs w:val="32"/>
          <w:highlight w:val="none"/>
        </w:rPr>
        <w:t>）人民政府；指导单位：市生态环境局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农业农村局牵头，市住房城乡建设局、水务局等按职责负责。）</w:t>
      </w:r>
    </w:p>
    <w:p>
      <w:pPr>
        <w:pStyle w:val="32"/>
        <w:snapToGrid w:val="0"/>
        <w:spacing w:line="600" w:lineRule="exact"/>
        <w:ind w:firstLine="643" w:firstLineChars="200"/>
        <w:jc w:val="both"/>
        <w:textAlignment w:val="baseline"/>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九</w:t>
      </w:r>
      <w:r>
        <w:rPr>
          <w:rFonts w:hint="eastAsia" w:ascii="楷体" w:hAnsi="楷体" w:eastAsia="楷体" w:cs="楷体"/>
          <w:b/>
          <w:bCs/>
          <w:color w:val="auto"/>
          <w:sz w:val="32"/>
          <w:szCs w:val="32"/>
          <w:highlight w:val="none"/>
          <w:lang w:eastAsia="zh-CN"/>
        </w:rPr>
        <w:t>）强化项目建设的组织实施</w:t>
      </w:r>
    </w:p>
    <w:p>
      <w:pPr>
        <w:pStyle w:val="32"/>
        <w:snapToGrid w:val="0"/>
        <w:spacing w:line="600" w:lineRule="exact"/>
        <w:ind w:firstLine="643"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rPr>
        <w:t>优化审批流程。</w:t>
      </w:r>
      <w:r>
        <w:rPr>
          <w:rFonts w:hint="eastAsia" w:ascii="仿宋_GB2312" w:hAnsi="仿宋_GB2312" w:eastAsia="仿宋_GB2312" w:cs="仿宋_GB2312"/>
          <w:color w:val="auto"/>
          <w:kern w:val="2"/>
          <w:sz w:val="32"/>
          <w:szCs w:val="32"/>
          <w:highlight w:val="none"/>
          <w:lang w:val="en-US" w:eastAsia="zh-CN" w:bidi="ar-SA"/>
        </w:rPr>
        <w:t>各县(市、区)要按照《广东省农村人居环境整治工程项目审批制度改革工作指导意见》《关于印发村庄建设项目施行简易审批实施意见的通知》有关要求,进一步压缩农村生活污水治理项目审批时间和办理成本。使用集体建设用地建设农村生活污水处理项目,无需办理建设项目用地预审与选址意见书;对符合国土空间规划和用途管制的项目,免于办理乡村建设规划许可证。区域一体推进的农村生活污水治理项目,其子项目达不到必须招标的规模标准的,可以不进行招标,不视同为拆分项目。</w:t>
      </w:r>
    </w:p>
    <w:p>
      <w:pPr>
        <w:ind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rPr>
        <w:t>明确实施模式。</w:t>
      </w:r>
      <w:r>
        <w:rPr>
          <w:rFonts w:hint="eastAsia" w:ascii="仿宋_GB2312" w:hAnsi="仿宋_GB2312" w:eastAsia="仿宋_GB2312" w:cs="仿宋_GB2312"/>
          <w:color w:val="auto"/>
          <w:kern w:val="2"/>
          <w:sz w:val="32"/>
          <w:szCs w:val="32"/>
          <w:highlight w:val="none"/>
          <w:lang w:val="en-US" w:eastAsia="zh-CN" w:bidi="ar-SA"/>
        </w:rPr>
        <w:t>各地应深入总结涉农村生活污水治理PPP项目推进过程中存在的问题，加强对PPP项目公司的考核、监督。结合各地PPP项目推进的实际情况，分区开展重点工作。市城区结合PPP项目扎实推进雨污分流建设及管网的查漏补缺；华侨管理区重点推进原采用资源化利用自然村的提升改造；红海湾开发区重点开展污水处理厂及接户管的建设；陆丰市重点推进原PPP项目中城镇生活污水处理厂的建设，优先收治人口规模大、治理需求迫切、黑臭水体集中区域的自然村，有序推进处理设施的建设；陆河县重点推进村内接户管的建设，加强已建设施与管网的接驳；海丰县结合PPP项目有序推进生活污水处理设施的建设。对于位置偏远、技术要求不高的农村生活污水处理设施或者资源化利用工程的建设管护，可根据《关于印发广东省支持村级组织和农民工匠承接农村小型工程项目指导意见的通知》，积极推行由村级组织和农民工匠带头人承接的村民自建方式组织实施。</w:t>
      </w:r>
    </w:p>
    <w:p>
      <w:pPr>
        <w:pStyle w:val="32"/>
        <w:snapToGrid w:val="0"/>
        <w:spacing w:line="600" w:lineRule="exact"/>
        <w:ind w:firstLine="643" w:firstLineChars="200"/>
        <w:jc w:val="both"/>
        <w:textAlignment w:val="baseline"/>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责任单位：各</w:t>
      </w:r>
      <w:r>
        <w:rPr>
          <w:rFonts w:hint="eastAsia" w:ascii="仿宋_GB2312" w:hAnsi="仿宋_GB2312" w:eastAsia="仿宋_GB2312" w:cs="仿宋_GB2312"/>
          <w:b/>
          <w:bCs/>
          <w:color w:val="auto"/>
          <w:sz w:val="32"/>
          <w:szCs w:val="32"/>
          <w:highlight w:val="none"/>
          <w:lang w:val="en-US" w:eastAsia="zh-CN"/>
        </w:rPr>
        <w:t>县</w:t>
      </w:r>
      <w:r>
        <w:rPr>
          <w:rFonts w:hint="eastAsia" w:ascii="仿宋_GB2312" w:hAnsi="仿宋_GB2312" w:eastAsia="仿宋_GB2312" w:cs="仿宋_GB2312"/>
          <w:b/>
          <w:bCs/>
          <w:color w:val="auto"/>
          <w:sz w:val="32"/>
          <w:szCs w:val="32"/>
          <w:highlight w:val="none"/>
        </w:rPr>
        <w:t>（市</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区</w:t>
      </w:r>
      <w:r>
        <w:rPr>
          <w:rFonts w:hint="eastAsia" w:ascii="仿宋_GB2312" w:hAnsi="仿宋_GB2312" w:eastAsia="仿宋_GB2312" w:cs="仿宋_GB2312"/>
          <w:b/>
          <w:bCs/>
          <w:color w:val="auto"/>
          <w:sz w:val="32"/>
          <w:szCs w:val="32"/>
          <w:highlight w:val="none"/>
        </w:rPr>
        <w:t>）人民政府；指导单位：</w:t>
      </w:r>
      <w:r>
        <w:rPr>
          <w:rFonts w:hint="eastAsia" w:ascii="仿宋_GB2312" w:hAnsi="仿宋_GB2312" w:eastAsia="仿宋_GB2312" w:cs="仿宋_GB2312"/>
          <w:b/>
          <w:bCs/>
          <w:color w:val="auto"/>
          <w:kern w:val="2"/>
          <w:sz w:val="32"/>
          <w:szCs w:val="32"/>
          <w:highlight w:val="none"/>
          <w:lang w:val="en-US" w:eastAsia="zh-CN" w:bidi="ar-SA"/>
        </w:rPr>
        <w:t>市市发展改革局、市住房城乡建设局、市生态环境局、市水务局、市农业农村局等按职责负责</w:t>
      </w:r>
      <w:r>
        <w:rPr>
          <w:rFonts w:hint="eastAsia" w:ascii="仿宋_GB2312" w:hAnsi="仿宋_GB2312" w:eastAsia="仿宋_GB2312" w:cs="仿宋_GB2312"/>
          <w:b/>
          <w:bCs/>
          <w:color w:val="auto"/>
          <w:sz w:val="32"/>
          <w:szCs w:val="32"/>
          <w:highlight w:val="none"/>
        </w:rPr>
        <w:t>。）</w:t>
      </w:r>
    </w:p>
    <w:p>
      <w:pPr>
        <w:pStyle w:val="32"/>
        <w:snapToGrid w:val="0"/>
        <w:spacing w:line="600" w:lineRule="exact"/>
        <w:ind w:firstLine="643" w:firstLineChars="200"/>
        <w:jc w:val="both"/>
        <w:textAlignment w:val="baseline"/>
        <w:rPr>
          <w:rFonts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十</w:t>
      </w:r>
      <w:r>
        <w:rPr>
          <w:rFonts w:hint="eastAsia" w:ascii="楷体" w:hAnsi="楷体" w:eastAsia="楷体" w:cs="楷体"/>
          <w:b/>
          <w:bCs/>
          <w:color w:val="auto"/>
          <w:sz w:val="32"/>
          <w:szCs w:val="32"/>
          <w:highlight w:val="none"/>
          <w:lang w:eastAsia="zh-CN"/>
        </w:rPr>
        <w:t>）长效化运维管理</w:t>
      </w:r>
    </w:p>
    <w:p>
      <w:pPr>
        <w:pStyle w:val="32"/>
        <w:snapToGrid w:val="0"/>
        <w:spacing w:line="600" w:lineRule="exact"/>
        <w:ind w:firstLine="643"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rPr>
        <w:t>建立运维机制。</w:t>
      </w:r>
      <w:r>
        <w:rPr>
          <w:rFonts w:hint="eastAsia" w:ascii="仿宋_GB2312" w:hAnsi="仿宋_GB2312" w:eastAsia="仿宋_GB2312" w:cs="仿宋_GB2312"/>
          <w:color w:val="auto"/>
          <w:kern w:val="2"/>
          <w:sz w:val="32"/>
          <w:szCs w:val="32"/>
          <w:highlight w:val="none"/>
          <w:lang w:val="en-US" w:eastAsia="zh-CN" w:bidi="ar-SA"/>
        </w:rPr>
        <w:t>各县（市、区）要落实主体责任，确定设施运维主体和模式，落实运维经费保障。未明确建设及运营资金保障的项目，不得动工建设。各地应力争于2022年6月底之前印发县域农村生活污水运行维护管理办法（或方案）并报市生态环境局备案。</w:t>
      </w:r>
    </w:p>
    <w:p>
      <w:pPr>
        <w:pStyle w:val="32"/>
        <w:snapToGrid w:val="0"/>
        <w:spacing w:line="600" w:lineRule="exact"/>
        <w:ind w:firstLine="643"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rPr>
        <w:t>压实运维责任。</w:t>
      </w:r>
      <w:r>
        <w:rPr>
          <w:rFonts w:hint="eastAsia" w:ascii="仿宋_GB2312" w:hAnsi="仿宋_GB2312" w:eastAsia="仿宋_GB2312" w:cs="仿宋_GB2312"/>
          <w:color w:val="auto"/>
          <w:kern w:val="2"/>
          <w:sz w:val="32"/>
          <w:szCs w:val="32"/>
          <w:highlight w:val="none"/>
          <w:lang w:val="en-US" w:eastAsia="zh-CN" w:bidi="ar-SA"/>
        </w:rPr>
        <w:t>各</w:t>
      </w:r>
      <w:r>
        <w:rPr>
          <w:rFonts w:hint="eastAsia" w:ascii="仿宋_GB2312" w:hAnsi="仿宋_GB2312" w:eastAsia="仿宋_GB2312" w:cs="仿宋_GB2312"/>
          <w:color w:val="auto"/>
          <w:kern w:val="2"/>
          <w:sz w:val="32"/>
          <w:szCs w:val="32"/>
          <w:highlight w:val="none"/>
          <w:lang w:val="zh-TW" w:eastAsia="zh-CN" w:bidi="ar-SA"/>
        </w:rPr>
        <w:t>镇（街道）人民政府落实运维管理直接责任，负责组织、管理区域内农村生活污水处理设施的运行维护、自行监测等。</w:t>
      </w:r>
      <w:r>
        <w:rPr>
          <w:rFonts w:hint="eastAsia" w:ascii="仿宋_GB2312" w:hAnsi="仿宋_GB2312" w:eastAsia="仿宋_GB2312" w:cs="仿宋_GB2312"/>
          <w:color w:val="auto"/>
          <w:kern w:val="2"/>
          <w:sz w:val="32"/>
          <w:szCs w:val="32"/>
          <w:highlight w:val="none"/>
          <w:lang w:val="en-US" w:eastAsia="zh-CN" w:bidi="ar-SA"/>
        </w:rPr>
        <w:t>各级生态环境监测部门按照国家和省的相关要求，对农村生活污水处理设施开展自行监测检查及抽测。村（居）民委员会应当配合做好污水处理设施建设改造和运行维护相关工作，引导村民负责户内处理设施的养护、维修。</w:t>
      </w:r>
    </w:p>
    <w:p>
      <w:pPr>
        <w:pStyle w:val="32"/>
        <w:snapToGrid w:val="0"/>
        <w:spacing w:line="600" w:lineRule="exact"/>
        <w:ind w:firstLine="643"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rPr>
        <w:t>明确运维模式。</w:t>
      </w:r>
      <w:r>
        <w:rPr>
          <w:rFonts w:hint="eastAsia" w:ascii="仿宋_GB2312" w:hAnsi="仿宋_GB2312" w:eastAsia="仿宋_GB2312" w:cs="仿宋_GB2312"/>
          <w:color w:val="auto"/>
          <w:kern w:val="2"/>
          <w:sz w:val="32"/>
          <w:szCs w:val="32"/>
          <w:highlight w:val="none"/>
          <w:lang w:val="en-US" w:eastAsia="zh-CN" w:bidi="ar-SA"/>
        </w:rPr>
        <w:t>根据地方经济情况、设施管理专业化要求等因地制宜选择运维管理模式。经济条件允许的地方可采用第三方运维机构按照技术托管和总承包方式开展运维管理服务；对于第三方负责建设和运维的设施，应加强运维成效考核，督促PPP项目公司规范化运维；规模较小、工艺简易、运行维护技术要求较低的农村生活污水处理设施，可由乡镇（街道）委托村（居）民委员会运行维护。建立村民参与机制，充分尊重农民意愿，将农村生活污水治理纳入村规民约。发挥村党组织作用，鼓励农民投工投劳，积极参与监督农村生活污水治理工作。</w:t>
      </w:r>
    </w:p>
    <w:p>
      <w:pPr>
        <w:pStyle w:val="32"/>
        <w:snapToGrid w:val="0"/>
        <w:spacing w:line="600" w:lineRule="exact"/>
        <w:ind w:firstLine="643"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eastAsia="zh-CN"/>
        </w:rPr>
        <w:t>试点数字化监管。</w:t>
      </w:r>
      <w:r>
        <w:rPr>
          <w:rFonts w:hint="eastAsia" w:ascii="仿宋_GB2312" w:hAnsi="仿宋_GB2312" w:eastAsia="仿宋_GB2312" w:cs="仿宋_GB2312"/>
          <w:color w:val="auto"/>
          <w:kern w:val="2"/>
          <w:sz w:val="32"/>
          <w:szCs w:val="32"/>
          <w:highlight w:val="none"/>
          <w:lang w:val="en-US" w:eastAsia="zh-CN" w:bidi="ar-SA"/>
        </w:rPr>
        <w:t>结合汕尾实际在条件合适的重要区域试点开展20吨以上农村生活污水处理设施数字化管理，通过电量、流量数据、视频监控等方式及时开展数据信息的分析研判，对农村生活污水治理效果进行实时监管，确保处理设施的正常运行，并不断总结试点经验，逐步建立全市农村生活污水处理设施电子运维台账，实现全市农村生活污水治理基础信息数字化、问题处置便捷化、辅助决策智能化。适时开发移动客户端，畅通农民和基层干部的监督与问题反馈渠道。将农村生活污水治理纳入数字政府“一网统管”，建立上下联动、部门共享的信息交流机制。</w:t>
      </w:r>
    </w:p>
    <w:p>
      <w:pPr>
        <w:pStyle w:val="32"/>
        <w:snapToGrid w:val="0"/>
        <w:spacing w:line="600" w:lineRule="exact"/>
        <w:ind w:firstLine="643" w:firstLineChars="200"/>
        <w:jc w:val="both"/>
        <w:textAlignment w:val="baseline"/>
        <w:rPr>
          <w:rFonts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（责任单位：各县（市、区）人民政府；指导单位：市住房城乡建设局、市生态环境局牵头，市农业农村局、财政局、水务局、市政务服务数据管理局等按职责负责）</w:t>
      </w:r>
    </w:p>
    <w:p>
      <w:pPr>
        <w:pStyle w:val="32"/>
        <w:snapToGrid w:val="0"/>
        <w:spacing w:line="600" w:lineRule="exact"/>
        <w:ind w:firstLine="640" w:firstLineChars="200"/>
        <w:jc w:val="both"/>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、保障措施</w:t>
      </w:r>
    </w:p>
    <w:p>
      <w:pPr>
        <w:pStyle w:val="32"/>
        <w:snapToGrid w:val="0"/>
        <w:spacing w:line="600" w:lineRule="exact"/>
        <w:ind w:firstLine="643" w:firstLineChars="200"/>
        <w:jc w:val="both"/>
        <w:textAlignment w:val="baseline"/>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十一</w:t>
      </w:r>
      <w:r>
        <w:rPr>
          <w:rFonts w:hint="eastAsia" w:ascii="楷体" w:hAnsi="楷体" w:eastAsia="楷体" w:cs="楷体"/>
          <w:b/>
          <w:bCs/>
          <w:color w:val="auto"/>
          <w:sz w:val="32"/>
          <w:szCs w:val="32"/>
          <w:highlight w:val="none"/>
          <w:lang w:eastAsia="zh-CN"/>
        </w:rPr>
        <w:t>）加强组织领导</w:t>
      </w:r>
    </w:p>
    <w:p>
      <w:pPr>
        <w:pStyle w:val="32"/>
        <w:snapToGrid w:val="0"/>
        <w:spacing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汕尾市人民政府办公室关于成立汕尾市实施“三农”领域突出短板“九大攻坚”行动领导小组的通知》（汕府办函〔2021〕212号），我市已成立了汕尾市实施“三农”领域“九大攻坚”行动领导小组，“九大攻坚”行动按工作任务成立 9 个专项工作组，其中：农村生活污水治理攻坚专项工作组由市政府分管农村生活污水治理工作副市长任组长，市生态环境局、市农业农村局、市住房城乡建设局、市水务局主要负责同志任副组长，日常工作由市生态环境局负责。专项工作组要加强系统谋划和统筹协调，负责具体落实农村改厕和农村生活污水、黑臭水体治理，全面摸查农村生活污水治理情况，因地制宜分类推进农村生活污水治理，建立多元长效投入和管护机制，推动完成全市农村生活污水治理的年度任务目标。将农村生活污水治理作为组团式驻镇帮镇扶村工作队的重点工作任务，推动各地切实解决规划、建设、运维中的突出问题和困难。</w:t>
      </w:r>
    </w:p>
    <w:p>
      <w:pPr>
        <w:pStyle w:val="32"/>
        <w:snapToGrid w:val="0"/>
        <w:spacing w:line="600" w:lineRule="exact"/>
        <w:ind w:firstLine="643" w:firstLineChars="200"/>
        <w:jc w:val="both"/>
        <w:textAlignment w:val="baseline"/>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（十二）强化责任落实</w:t>
      </w:r>
    </w:p>
    <w:p>
      <w:pPr>
        <w:pStyle w:val="32"/>
        <w:snapToGrid w:val="0"/>
        <w:spacing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各地、各有关部门应充分认识农村生活污水治理工作的重要性、紧迫性、艰巨性，把农村生活污水治理作为实施乡村振兴战略的重要内容。</w:t>
      </w:r>
    </w:p>
    <w:p>
      <w:pPr>
        <w:pStyle w:val="32"/>
        <w:snapToGrid w:val="0"/>
        <w:spacing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各县（市、区）人民政府要参照市成立县级农村生活污水治理攻坚专项工作组，落实主体责任，组织做好区域内农村生活污水处理设施规划、建设改造、运行维护、自行监测和资金保障等工作。市生态环境局要切实履行市级部门牵头责任，组织各级生态环境监测部门按照国家和省的相关要求，对农村生活污水处理设施开展自行监测检查及抽测，细化技术指导服务，强化环境监管执法。市农业农村局将农村生活污水治理作为农村人居环境整治重要内容和考核指标，指导各地有机统筹、一体化推进农村生活污水治理与厕所革命、道路建设等。市住房城乡建设局要督促各地加快城镇生活污水处理厂及配套管网建设，并会同市生态环境局推进城镇周边自然村生活污水纳入城镇生活污水处理厂处理，指导各地规范建设设施，加强工程质量监督和农村生活污水处理设施运行维护工作，督促各地落实解决涉农村生活污水治理PPP项目建设的遗留问题。市水务局指导做好供排水统筹，将农村生活污水治理设施日常巡查纳入镇、村级河湖长职责。市发展改革局指导各县（市、区）将农村生活污水治理项目纳入村庄建设项目简易审批范围，推动项目建设采用以工代赈方式，牵头做好农村水价机制的研究。市财政局指导加大涉农资金支持农村生活污水治理的支持力度；在严控地方政府新增隐性债务前提下，积极与国开行广东分行沟通对接，申请国开行“千县万亿”专项贷款等。市自然资源局将农村生活污水处理设施纳入国土空间规划，做好用地指标保障。市科技、电力、税务等相关部门按职责落实农村生活污水治理科学技术研究、用电、税收等优惠政策。审计部门要加强治理工作全链条的监督，对监督发现问题，严格依法依规进行问责处理。</w:t>
      </w:r>
    </w:p>
    <w:p>
      <w:pPr>
        <w:pStyle w:val="32"/>
        <w:snapToGrid w:val="0"/>
        <w:spacing w:line="600" w:lineRule="exact"/>
        <w:ind w:firstLine="643" w:firstLineChars="200"/>
        <w:jc w:val="both"/>
        <w:textAlignment w:val="baseline"/>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（十</w:t>
      </w: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lang w:eastAsia="zh-CN"/>
        </w:rPr>
        <w:t>）加强资金保障</w:t>
      </w:r>
    </w:p>
    <w:p>
      <w:pPr>
        <w:pStyle w:val="32"/>
        <w:snapToGrid w:val="0"/>
        <w:spacing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资金投入需求。结合我市任务攻坚目标，我市2021－2025年间，需投入农村生活污水治理新建工程和提升改造工程资金合计约38.4213亿元（包含涉农村生活污水治理PPP项目8.8436亿），其中：新建工程资金约35.2951亿元，提升改造工程资金约3.1262亿元。需投入农村生活污水治理运维资金约1.0117亿元。新建工程、提升改造工程及运维资金投入计划详见附表5。</w:t>
      </w:r>
    </w:p>
    <w:p>
      <w:pPr>
        <w:pStyle w:val="32"/>
        <w:snapToGrid w:val="0"/>
        <w:spacing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多渠道筹措资金。各县（市、区）人民政府要统筹用好生态环境保护资金、涉农资金和土地出让收益，加大对农村生活污水治理工作的支持力度，对未完成年度治理任务或进展较慢的地区，要结合自身财力适当加大资金支持力度。积极申报中央、省专项资金，鼓励各地积极拓展投融资渠道，优化涉农村生活污水治理PPP等项目实施，引导企业、乡贤通过赞助、冠名等方式支持农村生活污水治理；统筹公益性和经营性资源，以丰补歉，推动农村生活污水治理类项目与收益较好的关联产业开发类项目整合搭配、一体实施。</w:t>
      </w:r>
    </w:p>
    <w:p>
      <w:pPr>
        <w:pStyle w:val="32"/>
        <w:snapToGrid w:val="0"/>
        <w:spacing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落实运维保障。各县（市、区）应建立运维资金保障机制，逐步构建“政府补一点、社会筹一点、村里出一点、村民掏一点”机制。鼓励有投融资能力、项目建设运营能力及相关经验的国有企业直接参与或者通过成立县（市、区）属国企参与农村生活处理设施的建设与运维。对于村集体收入少的村庄，探索建立受益者付费机制。</w:t>
      </w:r>
    </w:p>
    <w:p>
      <w:pPr>
        <w:pStyle w:val="32"/>
        <w:snapToGrid w:val="0"/>
        <w:spacing w:line="600" w:lineRule="exact"/>
        <w:ind w:firstLine="643" w:firstLineChars="200"/>
        <w:jc w:val="both"/>
        <w:textAlignment w:val="baseline"/>
        <w:rPr>
          <w:rFonts w:hint="eastAsia" w:ascii="楷体" w:hAnsi="楷体" w:eastAsia="楷体" w:cs="楷体"/>
          <w:b/>
          <w:bCs/>
          <w:color w:val="auto"/>
          <w:sz w:val="32"/>
          <w:szCs w:val="32"/>
          <w:highlight w:val="none"/>
          <w:lang w:eastAsia="zh-CN"/>
        </w:rPr>
      </w:pPr>
      <w:bookmarkStart w:id="1" w:name="bookmark9"/>
      <w:r>
        <w:rPr>
          <w:rFonts w:hint="eastAsia" w:ascii="楷体" w:hAnsi="楷体" w:eastAsia="楷体" w:cs="楷体"/>
          <w:b/>
          <w:bCs/>
          <w:color w:val="auto"/>
          <w:sz w:val="32"/>
          <w:szCs w:val="32"/>
          <w:highlight w:val="none"/>
          <w:lang w:eastAsia="zh-CN"/>
        </w:rPr>
        <w:t>（</w:t>
      </w:r>
      <w:bookmarkEnd w:id="1"/>
      <w:r>
        <w:rPr>
          <w:rFonts w:hint="eastAsia" w:ascii="楷体" w:hAnsi="楷体" w:eastAsia="楷体" w:cs="楷体"/>
          <w:b/>
          <w:bCs/>
          <w:color w:val="auto"/>
          <w:sz w:val="32"/>
          <w:szCs w:val="32"/>
          <w:highlight w:val="none"/>
          <w:lang w:val="en-US" w:eastAsia="zh-CN"/>
        </w:rPr>
        <w:t>十四</w:t>
      </w:r>
      <w:r>
        <w:rPr>
          <w:rFonts w:hint="eastAsia" w:ascii="楷体" w:hAnsi="楷体" w:eastAsia="楷体" w:cs="楷体"/>
          <w:b/>
          <w:bCs/>
          <w:color w:val="auto"/>
          <w:sz w:val="32"/>
          <w:szCs w:val="32"/>
          <w:highlight w:val="none"/>
          <w:lang w:eastAsia="zh-CN"/>
        </w:rPr>
        <w:t>）严格监督考核</w:t>
      </w:r>
    </w:p>
    <w:p>
      <w:pPr>
        <w:pStyle w:val="32"/>
        <w:snapToGrid w:val="0"/>
        <w:spacing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建立健全监督考核机制，将农村生活污水治理工作纳入乡村振兴战略实绩考核、污染防治攻坚战成效等考核内容。加强考核结果应用，不达年度目标的县（市、区）不得评先评优。将治理设施日常巡查等工作纳入驻镇帮镇扶村工作队、村级河（湖）长、村（居）委会等工作内容，发现问题及时上报并督促整改。充分发挥老百姓及媒体的监督作用，对于反馈的问题及时整改。</w:t>
      </w:r>
    </w:p>
    <w:p>
      <w:pPr>
        <w:pStyle w:val="32"/>
        <w:snapToGrid w:val="0"/>
        <w:spacing w:line="600" w:lineRule="exact"/>
        <w:ind w:firstLine="643" w:firstLineChars="200"/>
        <w:jc w:val="both"/>
        <w:textAlignment w:val="baseline"/>
        <w:rPr>
          <w:rFonts w:hint="eastAsia" w:ascii="楷体" w:hAnsi="楷体" w:eastAsia="楷体" w:cs="楷体"/>
          <w:b/>
          <w:bCs/>
          <w:color w:val="auto"/>
          <w:sz w:val="32"/>
          <w:szCs w:val="32"/>
          <w:highlight w:val="none"/>
          <w:lang w:eastAsia="zh-CN"/>
        </w:rPr>
      </w:pPr>
      <w:bookmarkStart w:id="2" w:name="bookmark11"/>
      <w:r>
        <w:rPr>
          <w:rFonts w:hint="eastAsia" w:ascii="楷体" w:hAnsi="楷体" w:eastAsia="楷体" w:cs="楷体"/>
          <w:b/>
          <w:bCs/>
          <w:color w:val="auto"/>
          <w:sz w:val="32"/>
          <w:szCs w:val="32"/>
          <w:highlight w:val="none"/>
          <w:lang w:eastAsia="zh-CN"/>
        </w:rPr>
        <w:t>（</w:t>
      </w:r>
      <w:bookmarkEnd w:id="2"/>
      <w:r>
        <w:rPr>
          <w:rFonts w:hint="eastAsia" w:ascii="楷体" w:hAnsi="楷体" w:eastAsia="楷体" w:cs="楷体"/>
          <w:b/>
          <w:bCs/>
          <w:color w:val="auto"/>
          <w:sz w:val="32"/>
          <w:szCs w:val="32"/>
          <w:highlight w:val="none"/>
          <w:lang w:val="en-US" w:eastAsia="zh-CN"/>
        </w:rPr>
        <w:t>十五</w:t>
      </w:r>
      <w:r>
        <w:rPr>
          <w:rFonts w:hint="eastAsia" w:ascii="楷体" w:hAnsi="楷体" w:eastAsia="楷体" w:cs="楷体"/>
          <w:b/>
          <w:bCs/>
          <w:color w:val="auto"/>
          <w:sz w:val="32"/>
          <w:szCs w:val="32"/>
          <w:highlight w:val="none"/>
          <w:lang w:eastAsia="zh-CN"/>
        </w:rPr>
        <w:t>）加强宣传教育</w:t>
      </w:r>
    </w:p>
    <w:p>
      <w:pPr>
        <w:pStyle w:val="32"/>
        <w:snapToGrid w:val="0"/>
        <w:spacing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各地要结合乡村振兴战略开展宣传，借助手机、电视、广播等媒介宣传污水处理设施运行维护知识，培育提升村民生态环境保护意识，逐步规范村民生活排水行为；要充分发挥基层党组织战斗堡垒和党员先锋模范作用，带头参与治理工程建设和运维工作；要引导村民参与项目前期设计、过程建设和后期监督，建立共谋、共建、共管、共享的机制，提高村民对生活污水治理的参与感和满意率。</w:t>
      </w:r>
    </w:p>
    <w:p>
      <w:pPr>
        <w:pStyle w:val="32"/>
        <w:snapToGrid w:val="0"/>
        <w:spacing w:line="600" w:lineRule="exact"/>
        <w:ind w:firstLine="643" w:firstLineChars="200"/>
        <w:jc w:val="both"/>
        <w:textAlignment w:val="baseline"/>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十六</w:t>
      </w:r>
      <w:r>
        <w:rPr>
          <w:rFonts w:hint="eastAsia" w:ascii="楷体" w:hAnsi="楷体" w:eastAsia="楷体" w:cs="楷体"/>
          <w:b/>
          <w:bCs/>
          <w:color w:val="auto"/>
          <w:sz w:val="32"/>
          <w:szCs w:val="32"/>
          <w:highlight w:val="none"/>
          <w:lang w:eastAsia="zh-CN"/>
        </w:rPr>
        <w:t>）加强技术支撑</w:t>
      </w:r>
    </w:p>
    <w:p>
      <w:pPr>
        <w:pStyle w:val="32"/>
        <w:snapToGrid w:val="0"/>
        <w:spacing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各县（市、区）人民政府要定期组织运维管理人员教育培训，加强农村生活污水治理人才队伍建设。结合当地实际情况，聘请第三方技术服务团队，对重点区域尤其是东溪河、黄江河断面达标的治理攻坚及项目实施进行全方位技术指导，避免不切实际和重复建设。定期邀请省、市相关专家，开展农村生活污水治理最新的技术、指南、精神解读，确保对最新政策的应知应会。市直有关部门加大对其他地区先进实用农村生活污水治理的技术推广和运维案例推介，形成一批可复制可推广的案例库和样板。</w:t>
      </w:r>
    </w:p>
    <w:p>
      <w:pPr>
        <w:pStyle w:val="32"/>
        <w:tabs>
          <w:tab w:val="left" w:pos="1513"/>
        </w:tabs>
        <w:snapToGrid w:val="0"/>
        <w:spacing w:line="600" w:lineRule="exact"/>
        <w:ind w:firstLine="640" w:firstLineChars="200"/>
        <w:textAlignment w:val="baseline"/>
        <w:rPr>
          <w:rFonts w:ascii="仿宋_GB2312" w:hAnsi="仿宋_GB2312" w:eastAsia="PMingLiU" w:cs="仿宋_GB2312"/>
          <w:color w:val="auto"/>
          <w:sz w:val="32"/>
          <w:szCs w:val="32"/>
          <w:highlight w:val="none"/>
        </w:rPr>
      </w:pPr>
    </w:p>
    <w:p>
      <w:pPr>
        <w:pStyle w:val="32"/>
        <w:tabs>
          <w:tab w:val="left" w:pos="1513"/>
        </w:tabs>
        <w:snapToGrid w:val="0"/>
        <w:spacing w:line="600" w:lineRule="exact"/>
        <w:ind w:firstLine="640" w:firstLineChars="200"/>
        <w:textAlignment w:val="baseline"/>
        <w:rPr>
          <w:rFonts w:ascii="仿宋_GB2312" w:hAnsi="仿宋_GB2312" w:eastAsia="PMingLiU" w:cs="仿宋_GB2312"/>
          <w:color w:val="auto"/>
          <w:sz w:val="32"/>
          <w:szCs w:val="32"/>
          <w:highlight w:val="none"/>
        </w:rPr>
      </w:pPr>
    </w:p>
    <w:p>
      <w:pPr>
        <w:pStyle w:val="32"/>
        <w:tabs>
          <w:tab w:val="left" w:pos="1513"/>
        </w:tabs>
        <w:snapToGrid w:val="0"/>
        <w:spacing w:line="600" w:lineRule="exact"/>
        <w:ind w:firstLine="640" w:firstLineChars="200"/>
        <w:textAlignment w:val="baseline"/>
        <w:rPr>
          <w:rFonts w:ascii="仿宋_GB2312" w:hAnsi="仿宋_GB2312" w:eastAsia="PMingLiU" w:cs="仿宋_GB2312"/>
          <w:color w:val="auto"/>
          <w:sz w:val="32"/>
          <w:szCs w:val="32"/>
          <w:highlight w:val="none"/>
        </w:rPr>
      </w:pPr>
    </w:p>
    <w:p>
      <w:pPr>
        <w:pStyle w:val="32"/>
        <w:tabs>
          <w:tab w:val="left" w:pos="1513"/>
        </w:tabs>
        <w:snapToGrid w:val="0"/>
        <w:spacing w:line="600" w:lineRule="exact"/>
        <w:ind w:firstLine="720" w:firstLineChars="200"/>
        <w:textAlignment w:val="baseline"/>
        <w:rPr>
          <w:rFonts w:ascii="仿宋_GB2312" w:hAnsi="仿宋_GB2312" w:eastAsia="PMingLiU" w:cs="仿宋_GB2312"/>
          <w:color w:val="auto"/>
          <w:sz w:val="36"/>
          <w:szCs w:val="36"/>
          <w:highlight w:val="none"/>
        </w:rPr>
      </w:pPr>
    </w:p>
    <w:p>
      <w:pPr>
        <w:spacing w:line="560" w:lineRule="exact"/>
        <w:ind w:firstLine="640" w:firstLineChars="200"/>
        <w:rPr>
          <w:rFonts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TW"/>
        </w:rPr>
        <w:t>附件：</w:t>
      </w:r>
    </w:p>
    <w:p>
      <w:pPr>
        <w:spacing w:line="560" w:lineRule="exact"/>
        <w:ind w:firstLine="640" w:firstLineChars="200"/>
        <w:rPr>
          <w:rFonts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TW"/>
        </w:rPr>
        <w:t>.汕尾</w:t>
      </w:r>
      <w:r>
        <w:rPr>
          <w:rFonts w:ascii="仿宋_GB2312" w:hAnsi="仿宋_GB2312" w:eastAsia="仿宋_GB2312" w:cs="仿宋_GB2312"/>
          <w:color w:val="auto"/>
          <w:sz w:val="32"/>
          <w:szCs w:val="32"/>
          <w:highlight w:val="none"/>
          <w:lang w:eastAsia="zh-TW"/>
        </w:rPr>
        <w:t>市各县（市、区）农村生活污水治理分年度攻坚任务表格</w:t>
      </w:r>
    </w:p>
    <w:p>
      <w:pPr>
        <w:spacing w:line="560" w:lineRule="exact"/>
        <w:ind w:firstLine="640" w:firstLineChars="200"/>
        <w:rPr>
          <w:rFonts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TW"/>
        </w:rPr>
        <w:t>.汕尾</w:t>
      </w:r>
      <w:r>
        <w:rPr>
          <w:rFonts w:ascii="仿宋_GB2312" w:hAnsi="仿宋_GB2312" w:eastAsia="仿宋_GB2312" w:cs="仿宋_GB2312"/>
          <w:color w:val="auto"/>
          <w:sz w:val="32"/>
          <w:szCs w:val="32"/>
          <w:highlight w:val="none"/>
          <w:lang w:eastAsia="zh-TW"/>
        </w:rPr>
        <w:t>市各县（市、区）涉及重点区域村庄的类型与名称</w:t>
      </w:r>
    </w:p>
    <w:p>
      <w:pPr>
        <w:spacing w:line="560" w:lineRule="exact"/>
        <w:ind w:firstLine="640" w:firstLineChars="200"/>
        <w:rPr>
          <w:rFonts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TW"/>
        </w:rPr>
        <w:t>.汕尾</w:t>
      </w:r>
      <w:r>
        <w:rPr>
          <w:rFonts w:ascii="仿宋_GB2312" w:hAnsi="仿宋_GB2312" w:eastAsia="仿宋_GB2312" w:cs="仿宋_GB2312"/>
          <w:color w:val="auto"/>
          <w:sz w:val="32"/>
          <w:szCs w:val="32"/>
          <w:highlight w:val="none"/>
          <w:lang w:eastAsia="zh-TW"/>
        </w:rPr>
        <w:t>市各县（市、区）一村一策治理台账</w:t>
      </w:r>
    </w:p>
    <w:p>
      <w:pPr>
        <w:spacing w:line="560" w:lineRule="exact"/>
        <w:ind w:firstLine="640" w:firstLineChars="200"/>
        <w:rPr>
          <w:rFonts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TW"/>
        </w:rPr>
        <w:t>.汕尾</w:t>
      </w:r>
      <w:r>
        <w:rPr>
          <w:rFonts w:ascii="仿宋_GB2312" w:hAnsi="仿宋_GB2312" w:eastAsia="仿宋_GB2312" w:cs="仿宋_GB2312"/>
          <w:color w:val="auto"/>
          <w:sz w:val="32"/>
          <w:szCs w:val="32"/>
          <w:highlight w:val="none"/>
          <w:lang w:eastAsia="zh-TW"/>
        </w:rPr>
        <w:t>市各县（市、区）老旧、废弃设施提升改造及管网修复完善工程清单</w:t>
      </w:r>
    </w:p>
    <w:p>
      <w:pPr>
        <w:spacing w:line="560" w:lineRule="exact"/>
        <w:ind w:firstLine="640" w:firstLineChars="200"/>
        <w:rPr>
          <w:color w:val="auto"/>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TW"/>
        </w:rPr>
        <w:t>.汕尾</w:t>
      </w:r>
      <w:r>
        <w:rPr>
          <w:rFonts w:ascii="仿宋_GB2312" w:hAnsi="仿宋_GB2312" w:eastAsia="仿宋_GB2312" w:cs="仿宋_GB2312"/>
          <w:color w:val="auto"/>
          <w:sz w:val="32"/>
          <w:szCs w:val="32"/>
          <w:highlight w:val="none"/>
          <w:lang w:eastAsia="zh-TW"/>
        </w:rPr>
        <w:t>市各县（市、区）主要推进模式及建设、运维资金估算统计</w:t>
      </w:r>
    </w:p>
    <w:sectPr>
      <w:footerReference r:id="rId3" w:type="default"/>
      <w:type w:val="continuous"/>
      <w:pgSz w:w="11906" w:h="16838"/>
      <w:pgMar w:top="1440" w:right="1797" w:bottom="1440" w:left="179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261615"/>
      <w:docPartObj>
        <w:docPartGallery w:val="autotext"/>
      </w:docPartObj>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D0"/>
    <w:rsid w:val="00015101"/>
    <w:rsid w:val="000217E6"/>
    <w:rsid w:val="000345D4"/>
    <w:rsid w:val="000561EC"/>
    <w:rsid w:val="0007056D"/>
    <w:rsid w:val="000759E6"/>
    <w:rsid w:val="00080BDC"/>
    <w:rsid w:val="000A4B46"/>
    <w:rsid w:val="000B0A55"/>
    <w:rsid w:val="000B6E73"/>
    <w:rsid w:val="000C4383"/>
    <w:rsid w:val="000D456B"/>
    <w:rsid w:val="000E530B"/>
    <w:rsid w:val="000F6180"/>
    <w:rsid w:val="00112B30"/>
    <w:rsid w:val="00132FA2"/>
    <w:rsid w:val="0014043E"/>
    <w:rsid w:val="001546BB"/>
    <w:rsid w:val="0018481D"/>
    <w:rsid w:val="0018680F"/>
    <w:rsid w:val="00196BD2"/>
    <w:rsid w:val="001B12B8"/>
    <w:rsid w:val="001B5BAE"/>
    <w:rsid w:val="001C22AF"/>
    <w:rsid w:val="001D04A3"/>
    <w:rsid w:val="002234E9"/>
    <w:rsid w:val="002338D7"/>
    <w:rsid w:val="002430B9"/>
    <w:rsid w:val="00253387"/>
    <w:rsid w:val="00285CCF"/>
    <w:rsid w:val="00291F0B"/>
    <w:rsid w:val="0029692E"/>
    <w:rsid w:val="00296B32"/>
    <w:rsid w:val="002B6FA8"/>
    <w:rsid w:val="002C076C"/>
    <w:rsid w:val="002C14C4"/>
    <w:rsid w:val="002D1979"/>
    <w:rsid w:val="003121D6"/>
    <w:rsid w:val="003124FD"/>
    <w:rsid w:val="00315DEA"/>
    <w:rsid w:val="00324B19"/>
    <w:rsid w:val="003575D0"/>
    <w:rsid w:val="003721BD"/>
    <w:rsid w:val="00387EA3"/>
    <w:rsid w:val="003A158B"/>
    <w:rsid w:val="003A51C4"/>
    <w:rsid w:val="003C7762"/>
    <w:rsid w:val="003D5A25"/>
    <w:rsid w:val="003E38F0"/>
    <w:rsid w:val="003E3FFB"/>
    <w:rsid w:val="003F4248"/>
    <w:rsid w:val="0041208F"/>
    <w:rsid w:val="00464FF0"/>
    <w:rsid w:val="00465D81"/>
    <w:rsid w:val="00467D16"/>
    <w:rsid w:val="004722F5"/>
    <w:rsid w:val="004B2D29"/>
    <w:rsid w:val="00515D1D"/>
    <w:rsid w:val="00531494"/>
    <w:rsid w:val="00556BE1"/>
    <w:rsid w:val="005B181D"/>
    <w:rsid w:val="005B49C9"/>
    <w:rsid w:val="005D02F2"/>
    <w:rsid w:val="005F5B5B"/>
    <w:rsid w:val="00600C9D"/>
    <w:rsid w:val="006416E9"/>
    <w:rsid w:val="00660582"/>
    <w:rsid w:val="00672F57"/>
    <w:rsid w:val="00681BEF"/>
    <w:rsid w:val="00684ABD"/>
    <w:rsid w:val="00692B39"/>
    <w:rsid w:val="006A00E8"/>
    <w:rsid w:val="006A304D"/>
    <w:rsid w:val="006B6D88"/>
    <w:rsid w:val="006C4579"/>
    <w:rsid w:val="00703E0B"/>
    <w:rsid w:val="00705637"/>
    <w:rsid w:val="00743151"/>
    <w:rsid w:val="007454F3"/>
    <w:rsid w:val="00767B98"/>
    <w:rsid w:val="00771624"/>
    <w:rsid w:val="007717DA"/>
    <w:rsid w:val="007B4B06"/>
    <w:rsid w:val="007C1AF7"/>
    <w:rsid w:val="007D301C"/>
    <w:rsid w:val="007E31A2"/>
    <w:rsid w:val="007F08B1"/>
    <w:rsid w:val="007F194B"/>
    <w:rsid w:val="0081783E"/>
    <w:rsid w:val="00821032"/>
    <w:rsid w:val="008213FD"/>
    <w:rsid w:val="00830894"/>
    <w:rsid w:val="0083725E"/>
    <w:rsid w:val="00837D2B"/>
    <w:rsid w:val="0084296C"/>
    <w:rsid w:val="00851916"/>
    <w:rsid w:val="00867901"/>
    <w:rsid w:val="00883B85"/>
    <w:rsid w:val="008A7642"/>
    <w:rsid w:val="008C75F1"/>
    <w:rsid w:val="008C7BC4"/>
    <w:rsid w:val="008D10D7"/>
    <w:rsid w:val="008D4195"/>
    <w:rsid w:val="008E3171"/>
    <w:rsid w:val="008E5C9B"/>
    <w:rsid w:val="008F4C74"/>
    <w:rsid w:val="008F51B0"/>
    <w:rsid w:val="00970A72"/>
    <w:rsid w:val="00971433"/>
    <w:rsid w:val="009A7904"/>
    <w:rsid w:val="009B4B7E"/>
    <w:rsid w:val="009C32B3"/>
    <w:rsid w:val="009D069D"/>
    <w:rsid w:val="00A0057A"/>
    <w:rsid w:val="00A2210C"/>
    <w:rsid w:val="00A2738C"/>
    <w:rsid w:val="00A33481"/>
    <w:rsid w:val="00A34396"/>
    <w:rsid w:val="00A36A33"/>
    <w:rsid w:val="00AC1A68"/>
    <w:rsid w:val="00AE427E"/>
    <w:rsid w:val="00B11130"/>
    <w:rsid w:val="00B32D68"/>
    <w:rsid w:val="00B43CE2"/>
    <w:rsid w:val="00B5097A"/>
    <w:rsid w:val="00B776FA"/>
    <w:rsid w:val="00B80373"/>
    <w:rsid w:val="00B94071"/>
    <w:rsid w:val="00BA061D"/>
    <w:rsid w:val="00BC463F"/>
    <w:rsid w:val="00BD66C8"/>
    <w:rsid w:val="00BE6FAE"/>
    <w:rsid w:val="00BF0B3A"/>
    <w:rsid w:val="00BF3ACF"/>
    <w:rsid w:val="00C07E02"/>
    <w:rsid w:val="00C14C64"/>
    <w:rsid w:val="00C4674A"/>
    <w:rsid w:val="00C667C3"/>
    <w:rsid w:val="00C70451"/>
    <w:rsid w:val="00C70BFA"/>
    <w:rsid w:val="00C8686D"/>
    <w:rsid w:val="00C953F5"/>
    <w:rsid w:val="00CA18EC"/>
    <w:rsid w:val="00CB52E1"/>
    <w:rsid w:val="00CC13B1"/>
    <w:rsid w:val="00CC5D4C"/>
    <w:rsid w:val="00CD4311"/>
    <w:rsid w:val="00CD7840"/>
    <w:rsid w:val="00D06EBD"/>
    <w:rsid w:val="00D176AD"/>
    <w:rsid w:val="00D66FDE"/>
    <w:rsid w:val="00D76089"/>
    <w:rsid w:val="00D961CF"/>
    <w:rsid w:val="00E0327D"/>
    <w:rsid w:val="00E07354"/>
    <w:rsid w:val="00E1195B"/>
    <w:rsid w:val="00E135FD"/>
    <w:rsid w:val="00E17E06"/>
    <w:rsid w:val="00E243F1"/>
    <w:rsid w:val="00E25B72"/>
    <w:rsid w:val="00E27388"/>
    <w:rsid w:val="00E327F0"/>
    <w:rsid w:val="00E36D2C"/>
    <w:rsid w:val="00E6510D"/>
    <w:rsid w:val="00E6528A"/>
    <w:rsid w:val="00E94591"/>
    <w:rsid w:val="00EA1971"/>
    <w:rsid w:val="00EB0CBD"/>
    <w:rsid w:val="00EC3C41"/>
    <w:rsid w:val="00EC7F04"/>
    <w:rsid w:val="00ED7EC2"/>
    <w:rsid w:val="00EE10EB"/>
    <w:rsid w:val="00F15DDF"/>
    <w:rsid w:val="00F31DBF"/>
    <w:rsid w:val="00F34541"/>
    <w:rsid w:val="00F7644D"/>
    <w:rsid w:val="00F765AD"/>
    <w:rsid w:val="00F87DB2"/>
    <w:rsid w:val="00FA1D0C"/>
    <w:rsid w:val="00FC3ED4"/>
    <w:rsid w:val="00FD079B"/>
    <w:rsid w:val="00FE0DEE"/>
    <w:rsid w:val="00FF322A"/>
    <w:rsid w:val="015C2B0C"/>
    <w:rsid w:val="018D35E9"/>
    <w:rsid w:val="02F254D6"/>
    <w:rsid w:val="058C7E64"/>
    <w:rsid w:val="06C90C44"/>
    <w:rsid w:val="07554285"/>
    <w:rsid w:val="08A70163"/>
    <w:rsid w:val="08D5056A"/>
    <w:rsid w:val="099866AB"/>
    <w:rsid w:val="0B422D73"/>
    <w:rsid w:val="0BE04A65"/>
    <w:rsid w:val="0BFA53FB"/>
    <w:rsid w:val="0C195F5C"/>
    <w:rsid w:val="0D4D7169"/>
    <w:rsid w:val="0E7A3490"/>
    <w:rsid w:val="0F0B16AB"/>
    <w:rsid w:val="0FB0474F"/>
    <w:rsid w:val="0FE32D76"/>
    <w:rsid w:val="10681997"/>
    <w:rsid w:val="106A2B50"/>
    <w:rsid w:val="10900B26"/>
    <w:rsid w:val="136441CE"/>
    <w:rsid w:val="13A778A2"/>
    <w:rsid w:val="14CD5DA3"/>
    <w:rsid w:val="14E62D2B"/>
    <w:rsid w:val="15B900D5"/>
    <w:rsid w:val="168B77E6"/>
    <w:rsid w:val="17A83048"/>
    <w:rsid w:val="17D91D0E"/>
    <w:rsid w:val="1908139C"/>
    <w:rsid w:val="19E41BC5"/>
    <w:rsid w:val="1A5F56EF"/>
    <w:rsid w:val="1B134EE2"/>
    <w:rsid w:val="1BCF616F"/>
    <w:rsid w:val="1C536B8E"/>
    <w:rsid w:val="1CC843B0"/>
    <w:rsid w:val="1E01505B"/>
    <w:rsid w:val="1EB03FD2"/>
    <w:rsid w:val="1F2F34BE"/>
    <w:rsid w:val="213810E1"/>
    <w:rsid w:val="21B300CF"/>
    <w:rsid w:val="23D87252"/>
    <w:rsid w:val="26413EFB"/>
    <w:rsid w:val="269009DE"/>
    <w:rsid w:val="270A0791"/>
    <w:rsid w:val="27502E45"/>
    <w:rsid w:val="27605FA6"/>
    <w:rsid w:val="27C1438E"/>
    <w:rsid w:val="28F039B6"/>
    <w:rsid w:val="29CA033A"/>
    <w:rsid w:val="2A7D1EFE"/>
    <w:rsid w:val="2C0A1567"/>
    <w:rsid w:val="2CC55886"/>
    <w:rsid w:val="2D306BA2"/>
    <w:rsid w:val="2EAB4607"/>
    <w:rsid w:val="2EE07A0D"/>
    <w:rsid w:val="2FF630AA"/>
    <w:rsid w:val="306739E5"/>
    <w:rsid w:val="306C426A"/>
    <w:rsid w:val="31A04753"/>
    <w:rsid w:val="31CD098D"/>
    <w:rsid w:val="32236BAB"/>
    <w:rsid w:val="325D20BC"/>
    <w:rsid w:val="33802506"/>
    <w:rsid w:val="34272982"/>
    <w:rsid w:val="34C16BB3"/>
    <w:rsid w:val="362829E1"/>
    <w:rsid w:val="37DC2C2B"/>
    <w:rsid w:val="383A2449"/>
    <w:rsid w:val="389820A0"/>
    <w:rsid w:val="38E54BBA"/>
    <w:rsid w:val="39D85016"/>
    <w:rsid w:val="39F5707E"/>
    <w:rsid w:val="3A583188"/>
    <w:rsid w:val="3EF1250A"/>
    <w:rsid w:val="3F6D4BE6"/>
    <w:rsid w:val="404D24CD"/>
    <w:rsid w:val="40C824F0"/>
    <w:rsid w:val="41310582"/>
    <w:rsid w:val="41C55CAE"/>
    <w:rsid w:val="43100E04"/>
    <w:rsid w:val="4359242C"/>
    <w:rsid w:val="44C611E4"/>
    <w:rsid w:val="44EB0B14"/>
    <w:rsid w:val="44FE02DD"/>
    <w:rsid w:val="454D5A68"/>
    <w:rsid w:val="45CA7611"/>
    <w:rsid w:val="4614041D"/>
    <w:rsid w:val="47003343"/>
    <w:rsid w:val="47044DA5"/>
    <w:rsid w:val="47941CF0"/>
    <w:rsid w:val="48643D4D"/>
    <w:rsid w:val="48B41631"/>
    <w:rsid w:val="48CF4706"/>
    <w:rsid w:val="492B3C32"/>
    <w:rsid w:val="495042D1"/>
    <w:rsid w:val="499F7CAD"/>
    <w:rsid w:val="49E54A1A"/>
    <w:rsid w:val="4D3214CF"/>
    <w:rsid w:val="4DF17FD5"/>
    <w:rsid w:val="4EBB32BB"/>
    <w:rsid w:val="4EBB600C"/>
    <w:rsid w:val="4FCE7CFE"/>
    <w:rsid w:val="505226DD"/>
    <w:rsid w:val="50591AC4"/>
    <w:rsid w:val="5111496A"/>
    <w:rsid w:val="525F7333"/>
    <w:rsid w:val="52C6332B"/>
    <w:rsid w:val="531D3476"/>
    <w:rsid w:val="540B1521"/>
    <w:rsid w:val="547551B7"/>
    <w:rsid w:val="558A7762"/>
    <w:rsid w:val="578C2978"/>
    <w:rsid w:val="57C00A32"/>
    <w:rsid w:val="58F9513C"/>
    <w:rsid w:val="59FA0737"/>
    <w:rsid w:val="5A731BCE"/>
    <w:rsid w:val="5ACF03BF"/>
    <w:rsid w:val="5B043D00"/>
    <w:rsid w:val="5CAC68C1"/>
    <w:rsid w:val="5CB00EB7"/>
    <w:rsid w:val="5CE71638"/>
    <w:rsid w:val="5DCA4672"/>
    <w:rsid w:val="5E13150F"/>
    <w:rsid w:val="5EC02437"/>
    <w:rsid w:val="615E35D8"/>
    <w:rsid w:val="62A414BE"/>
    <w:rsid w:val="649E243B"/>
    <w:rsid w:val="66CB563E"/>
    <w:rsid w:val="675A65EF"/>
    <w:rsid w:val="6773145F"/>
    <w:rsid w:val="67FB3638"/>
    <w:rsid w:val="68111068"/>
    <w:rsid w:val="69783ECC"/>
    <w:rsid w:val="6A773014"/>
    <w:rsid w:val="6AAB30DA"/>
    <w:rsid w:val="6AC65D4A"/>
    <w:rsid w:val="6AF457AC"/>
    <w:rsid w:val="6BAB7313"/>
    <w:rsid w:val="6CBC48EA"/>
    <w:rsid w:val="6CD81D64"/>
    <w:rsid w:val="6CE82E1D"/>
    <w:rsid w:val="6DDD3AD6"/>
    <w:rsid w:val="6DF87E9B"/>
    <w:rsid w:val="6F124039"/>
    <w:rsid w:val="7024623C"/>
    <w:rsid w:val="712D3B75"/>
    <w:rsid w:val="71DA5955"/>
    <w:rsid w:val="723C2E92"/>
    <w:rsid w:val="73B40A19"/>
    <w:rsid w:val="762E6FE7"/>
    <w:rsid w:val="76875D72"/>
    <w:rsid w:val="770A31D1"/>
    <w:rsid w:val="775070C7"/>
    <w:rsid w:val="79863996"/>
    <w:rsid w:val="7A0B6EE5"/>
    <w:rsid w:val="7A5B5C9A"/>
    <w:rsid w:val="7B9E2FAF"/>
    <w:rsid w:val="7BAA49DF"/>
    <w:rsid w:val="7D710568"/>
    <w:rsid w:val="7DB008BF"/>
    <w:rsid w:val="7FFF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4"/>
    <w:qFormat/>
    <w:uiPriority w:val="9"/>
    <w:pPr>
      <w:keepNext/>
      <w:keepLines/>
      <w:outlineLvl w:val="0"/>
    </w:pPr>
    <w:rPr>
      <w:rFonts w:ascii="Calibri" w:hAnsi="Calibri" w:eastAsia="黑体"/>
      <w:bCs/>
      <w:kern w:val="44"/>
      <w:szCs w:val="44"/>
    </w:rPr>
  </w:style>
  <w:style w:type="paragraph" w:styleId="7">
    <w:name w:val="heading 2"/>
    <w:basedOn w:val="1"/>
    <w:next w:val="1"/>
    <w:link w:val="33"/>
    <w:unhideWhenUsed/>
    <w:qFormat/>
    <w:uiPriority w:val="9"/>
    <w:pPr>
      <w:keepNext/>
      <w:keepLines/>
      <w:spacing w:before="260" w:after="260" w:line="416" w:lineRule="auto"/>
      <w:ind w:firstLine="300" w:firstLineChars="100"/>
      <w:outlineLvl w:val="1"/>
    </w:pPr>
    <w:rPr>
      <w:b/>
      <w:bCs/>
      <w:sz w:val="30"/>
      <w:szCs w:val="30"/>
    </w:rPr>
  </w:style>
  <w:style w:type="paragraph" w:styleId="8">
    <w:name w:val="heading 3"/>
    <w:basedOn w:val="1"/>
    <w:next w:val="1"/>
    <w:link w:val="34"/>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paragraph" w:styleId="9">
    <w:name w:val="heading 4"/>
    <w:basedOn w:val="1"/>
    <w:next w:val="1"/>
    <w:link w:val="3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30"/>
    <w:qFormat/>
    <w:uiPriority w:val="0"/>
    <w:pPr>
      <w:spacing w:after="0"/>
      <w:ind w:firstLine="420" w:firstLineChars="200"/>
      <w:jc w:val="left"/>
    </w:pPr>
    <w:rPr>
      <w:color w:val="000000"/>
      <w:kern w:val="0"/>
      <w:sz w:val="30"/>
      <w:lang w:eastAsia="en-US" w:bidi="en-US"/>
    </w:rPr>
  </w:style>
  <w:style w:type="paragraph" w:styleId="3">
    <w:name w:val="Body Text Indent"/>
    <w:basedOn w:val="1"/>
    <w:next w:val="1"/>
    <w:link w:val="26"/>
    <w:unhideWhenUsed/>
    <w:qFormat/>
    <w:uiPriority w:val="0"/>
    <w:pPr>
      <w:spacing w:after="120"/>
      <w:ind w:left="420" w:leftChars="200"/>
    </w:pPr>
  </w:style>
  <w:style w:type="paragraph" w:styleId="4">
    <w:name w:val="Body Text First Indent"/>
    <w:basedOn w:val="5"/>
    <w:link w:val="29"/>
    <w:semiHidden/>
    <w:unhideWhenUsed/>
    <w:qFormat/>
    <w:uiPriority w:val="99"/>
    <w:pPr>
      <w:ind w:firstLine="420" w:firstLineChars="100"/>
    </w:pPr>
  </w:style>
  <w:style w:type="paragraph" w:styleId="5">
    <w:name w:val="Body Text"/>
    <w:basedOn w:val="1"/>
    <w:next w:val="1"/>
    <w:link w:val="25"/>
    <w:unhideWhenUsed/>
    <w:qFormat/>
    <w:uiPriority w:val="0"/>
    <w:pPr>
      <w:spacing w:after="120"/>
    </w:pPr>
  </w:style>
  <w:style w:type="paragraph" w:styleId="10">
    <w:name w:val="annotation text"/>
    <w:basedOn w:val="1"/>
    <w:link w:val="36"/>
    <w:semiHidden/>
    <w:unhideWhenUsed/>
    <w:qFormat/>
    <w:uiPriority w:val="99"/>
    <w:pPr>
      <w:jc w:val="left"/>
    </w:pPr>
    <w:rPr>
      <w:rFonts w:asciiTheme="minorHAnsi" w:hAnsiTheme="minorHAnsi" w:eastAsiaTheme="minorEastAsia" w:cstheme="minorBidi"/>
      <w:szCs w:val="22"/>
    </w:rPr>
  </w:style>
  <w:style w:type="paragraph" w:styleId="11">
    <w:name w:val="toc 3"/>
    <w:basedOn w:val="1"/>
    <w:next w:val="1"/>
    <w:unhideWhenUsed/>
    <w:qFormat/>
    <w:uiPriority w:val="39"/>
    <w:pPr>
      <w:ind w:left="840" w:leftChars="400"/>
    </w:pPr>
    <w:rPr>
      <w:rFonts w:asciiTheme="minorHAnsi" w:hAnsiTheme="minorHAnsi" w:eastAsiaTheme="minorEastAsia" w:cstheme="minorBidi"/>
      <w:szCs w:val="22"/>
    </w:rPr>
  </w:style>
  <w:style w:type="paragraph" w:styleId="12">
    <w:name w:val="Balloon Text"/>
    <w:basedOn w:val="1"/>
    <w:link w:val="37"/>
    <w:semiHidden/>
    <w:unhideWhenUsed/>
    <w:qFormat/>
    <w:uiPriority w:val="99"/>
    <w:rPr>
      <w:rFonts w:asciiTheme="minorHAnsi" w:hAnsiTheme="minorHAnsi" w:eastAsiaTheme="minorEastAsia" w:cstheme="minorBidi"/>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rPr>
      <w:rFonts w:asciiTheme="minorHAnsi" w:hAnsiTheme="minorHAnsi" w:eastAsiaTheme="minorEastAsia" w:cstheme="minorBidi"/>
      <w:szCs w:val="22"/>
    </w:rPr>
  </w:style>
  <w:style w:type="paragraph" w:styleId="16">
    <w:name w:val="toc 2"/>
    <w:basedOn w:val="1"/>
    <w:next w:val="1"/>
    <w:unhideWhenUsed/>
    <w:qFormat/>
    <w:uiPriority w:val="39"/>
    <w:pPr>
      <w:ind w:left="420" w:leftChars="200"/>
    </w:pPr>
    <w:rPr>
      <w:rFonts w:asciiTheme="minorHAnsi" w:hAnsiTheme="minorHAnsi" w:eastAsiaTheme="minorEastAsia" w:cstheme="minorBidi"/>
      <w:szCs w:val="22"/>
    </w:rPr>
  </w:style>
  <w:style w:type="paragraph" w:styleId="17">
    <w:name w:val="Normal (Web)"/>
    <w:basedOn w:val="1"/>
    <w:qFormat/>
    <w:uiPriority w:val="99"/>
    <w:pPr>
      <w:spacing w:beforeAutospacing="1" w:afterAutospacing="1"/>
      <w:jc w:val="left"/>
    </w:pPr>
    <w:rPr>
      <w:rFonts w:eastAsia="仿宋_GB2312"/>
      <w:kern w:val="0"/>
      <w:sz w:val="24"/>
      <w:szCs w:val="20"/>
    </w:rPr>
  </w:style>
  <w:style w:type="paragraph" w:styleId="18">
    <w:name w:val="annotation subject"/>
    <w:basedOn w:val="10"/>
    <w:next w:val="10"/>
    <w:link w:val="38"/>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annotation reference"/>
    <w:basedOn w:val="21"/>
    <w:semiHidden/>
    <w:unhideWhenUsed/>
    <w:qFormat/>
    <w:uiPriority w:val="99"/>
    <w:rPr>
      <w:sz w:val="21"/>
      <w:szCs w:val="21"/>
    </w:rPr>
  </w:style>
  <w:style w:type="character" w:customStyle="1" w:styleId="24">
    <w:name w:val="标题 1 字符"/>
    <w:basedOn w:val="21"/>
    <w:link w:val="6"/>
    <w:qFormat/>
    <w:uiPriority w:val="9"/>
    <w:rPr>
      <w:rFonts w:ascii="Calibri" w:hAnsi="Calibri" w:eastAsia="黑体" w:cs="Times New Roman"/>
      <w:bCs/>
      <w:kern w:val="44"/>
      <w:szCs w:val="44"/>
    </w:rPr>
  </w:style>
  <w:style w:type="character" w:customStyle="1" w:styleId="25">
    <w:name w:val="正文文本 字符"/>
    <w:basedOn w:val="21"/>
    <w:link w:val="5"/>
    <w:qFormat/>
    <w:uiPriority w:val="0"/>
    <w:rPr>
      <w:rFonts w:ascii="Times New Roman" w:hAnsi="Times New Roman" w:eastAsia="宋体" w:cs="Times New Roman"/>
      <w:szCs w:val="24"/>
    </w:rPr>
  </w:style>
  <w:style w:type="character" w:customStyle="1" w:styleId="26">
    <w:name w:val="正文文本缩进 字符"/>
    <w:basedOn w:val="21"/>
    <w:link w:val="3"/>
    <w:semiHidden/>
    <w:qFormat/>
    <w:uiPriority w:val="0"/>
    <w:rPr>
      <w:rFonts w:ascii="Times New Roman" w:hAnsi="Times New Roman" w:eastAsia="宋体" w:cs="Times New Roman"/>
      <w:szCs w:val="24"/>
    </w:rPr>
  </w:style>
  <w:style w:type="character" w:customStyle="1" w:styleId="27">
    <w:name w:val="页脚 字符"/>
    <w:basedOn w:val="21"/>
    <w:link w:val="13"/>
    <w:qFormat/>
    <w:uiPriority w:val="99"/>
    <w:rPr>
      <w:sz w:val="18"/>
      <w:szCs w:val="18"/>
    </w:rPr>
  </w:style>
  <w:style w:type="character" w:customStyle="1" w:styleId="28">
    <w:name w:val="页眉 字符"/>
    <w:basedOn w:val="21"/>
    <w:link w:val="14"/>
    <w:qFormat/>
    <w:uiPriority w:val="99"/>
    <w:rPr>
      <w:sz w:val="18"/>
      <w:szCs w:val="18"/>
    </w:rPr>
  </w:style>
  <w:style w:type="character" w:customStyle="1" w:styleId="29">
    <w:name w:val="正文文本首行缩进 字符"/>
    <w:basedOn w:val="25"/>
    <w:link w:val="4"/>
    <w:semiHidden/>
    <w:qFormat/>
    <w:uiPriority w:val="99"/>
    <w:rPr>
      <w:rFonts w:ascii="Times New Roman" w:hAnsi="Times New Roman" w:eastAsia="宋体" w:cs="Times New Roman"/>
      <w:szCs w:val="24"/>
    </w:rPr>
  </w:style>
  <w:style w:type="character" w:customStyle="1" w:styleId="30">
    <w:name w:val="正文文本首行缩进 2 字符"/>
    <w:basedOn w:val="26"/>
    <w:link w:val="2"/>
    <w:qFormat/>
    <w:uiPriority w:val="0"/>
    <w:rPr>
      <w:rFonts w:ascii="Times New Roman" w:hAnsi="Times New Roman" w:eastAsia="宋体" w:cs="Times New Roman"/>
      <w:color w:val="000000"/>
      <w:kern w:val="0"/>
      <w:sz w:val="30"/>
      <w:szCs w:val="24"/>
      <w:lang w:eastAsia="en-US" w:bidi="en-US"/>
    </w:rPr>
  </w:style>
  <w:style w:type="character" w:customStyle="1" w:styleId="31">
    <w:name w:val="Body text|1_"/>
    <w:basedOn w:val="21"/>
    <w:link w:val="32"/>
    <w:qFormat/>
    <w:uiPriority w:val="0"/>
    <w:rPr>
      <w:rFonts w:ascii="宋体" w:hAnsi="宋体" w:cs="宋体"/>
      <w:sz w:val="28"/>
      <w:szCs w:val="28"/>
      <w:lang w:val="zh-TW" w:eastAsia="zh-TW" w:bidi="zh-TW"/>
    </w:rPr>
  </w:style>
  <w:style w:type="paragraph" w:customStyle="1" w:styleId="32">
    <w:name w:val="Body text|1"/>
    <w:basedOn w:val="1"/>
    <w:link w:val="31"/>
    <w:qFormat/>
    <w:uiPriority w:val="0"/>
    <w:pPr>
      <w:spacing w:line="415" w:lineRule="auto"/>
      <w:ind w:firstLine="400"/>
      <w:jc w:val="left"/>
    </w:pPr>
    <w:rPr>
      <w:rFonts w:ascii="宋体" w:hAnsi="宋体" w:cs="宋体" w:eastAsiaTheme="minorEastAsia"/>
      <w:sz w:val="28"/>
      <w:szCs w:val="28"/>
      <w:lang w:val="zh-TW" w:eastAsia="zh-TW" w:bidi="zh-TW"/>
    </w:rPr>
  </w:style>
  <w:style w:type="character" w:customStyle="1" w:styleId="33">
    <w:name w:val="标题 2 字符"/>
    <w:basedOn w:val="21"/>
    <w:link w:val="7"/>
    <w:qFormat/>
    <w:uiPriority w:val="9"/>
    <w:rPr>
      <w:b/>
      <w:bCs/>
      <w:kern w:val="2"/>
      <w:sz w:val="30"/>
      <w:szCs w:val="30"/>
    </w:rPr>
  </w:style>
  <w:style w:type="character" w:customStyle="1" w:styleId="34">
    <w:name w:val="标题 3 字符"/>
    <w:basedOn w:val="21"/>
    <w:link w:val="8"/>
    <w:qFormat/>
    <w:uiPriority w:val="9"/>
    <w:rPr>
      <w:rFonts w:asciiTheme="minorHAnsi" w:hAnsiTheme="minorHAnsi" w:eastAsiaTheme="minorEastAsia" w:cstheme="minorBidi"/>
      <w:b/>
      <w:bCs/>
      <w:kern w:val="2"/>
      <w:sz w:val="32"/>
      <w:szCs w:val="32"/>
    </w:rPr>
  </w:style>
  <w:style w:type="character" w:customStyle="1" w:styleId="35">
    <w:name w:val="标题 4 字符"/>
    <w:basedOn w:val="21"/>
    <w:link w:val="9"/>
    <w:qFormat/>
    <w:uiPriority w:val="9"/>
    <w:rPr>
      <w:rFonts w:asciiTheme="majorHAnsi" w:hAnsiTheme="majorHAnsi" w:eastAsiaTheme="majorEastAsia" w:cstheme="majorBidi"/>
      <w:b/>
      <w:bCs/>
      <w:kern w:val="2"/>
      <w:sz w:val="28"/>
      <w:szCs w:val="28"/>
    </w:rPr>
  </w:style>
  <w:style w:type="character" w:customStyle="1" w:styleId="36">
    <w:name w:val="批注文字 字符"/>
    <w:basedOn w:val="21"/>
    <w:link w:val="10"/>
    <w:semiHidden/>
    <w:qFormat/>
    <w:uiPriority w:val="99"/>
    <w:rPr>
      <w:rFonts w:asciiTheme="minorHAnsi" w:hAnsiTheme="minorHAnsi" w:eastAsiaTheme="minorEastAsia" w:cstheme="minorBidi"/>
      <w:kern w:val="2"/>
      <w:sz w:val="21"/>
      <w:szCs w:val="22"/>
    </w:rPr>
  </w:style>
  <w:style w:type="character" w:customStyle="1" w:styleId="37">
    <w:name w:val="批注框文本 字符"/>
    <w:basedOn w:val="21"/>
    <w:link w:val="12"/>
    <w:semiHidden/>
    <w:qFormat/>
    <w:uiPriority w:val="99"/>
    <w:rPr>
      <w:rFonts w:asciiTheme="minorHAnsi" w:hAnsiTheme="minorHAnsi" w:eastAsiaTheme="minorEastAsia" w:cstheme="minorBidi"/>
      <w:kern w:val="2"/>
      <w:sz w:val="18"/>
      <w:szCs w:val="18"/>
    </w:rPr>
  </w:style>
  <w:style w:type="character" w:customStyle="1" w:styleId="38">
    <w:name w:val="批注主题 字符"/>
    <w:basedOn w:val="36"/>
    <w:link w:val="18"/>
    <w:semiHidden/>
    <w:qFormat/>
    <w:uiPriority w:val="99"/>
    <w:rPr>
      <w:rFonts w:asciiTheme="minorHAnsi" w:hAnsiTheme="minorHAnsi" w:eastAsiaTheme="minorEastAsia" w:cstheme="minorBidi"/>
      <w:b/>
      <w:bCs/>
      <w:kern w:val="2"/>
      <w:sz w:val="21"/>
      <w:szCs w:val="22"/>
    </w:rPr>
  </w:style>
  <w:style w:type="paragraph" w:styleId="39">
    <w:name w:val="List Paragraph"/>
    <w:basedOn w:val="1"/>
    <w:qFormat/>
    <w:uiPriority w:val="1"/>
    <w:pPr>
      <w:ind w:firstLine="420" w:firstLineChars="200"/>
    </w:pPr>
    <w:rPr>
      <w:rFonts w:asciiTheme="minorHAnsi" w:hAnsiTheme="minorHAnsi" w:eastAsiaTheme="minorEastAsia" w:cstheme="minorBidi"/>
      <w:szCs w:val="22"/>
    </w:rPr>
  </w:style>
  <w:style w:type="paragraph" w:customStyle="1" w:styleId="40">
    <w:name w:val="TOC 标题1"/>
    <w:basedOn w:val="6"/>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41">
    <w:name w:val="图名"/>
    <w:basedOn w:val="1"/>
    <w:link w:val="42"/>
    <w:qFormat/>
    <w:uiPriority w:val="0"/>
    <w:pPr>
      <w:spacing w:line="480" w:lineRule="auto"/>
      <w:jc w:val="center"/>
    </w:pPr>
    <w:rPr>
      <w:rFonts w:eastAsia="黑体"/>
      <w:sz w:val="28"/>
    </w:rPr>
  </w:style>
  <w:style w:type="character" w:customStyle="1" w:styleId="42">
    <w:name w:val="图名 字符"/>
    <w:basedOn w:val="21"/>
    <w:link w:val="41"/>
    <w:qFormat/>
    <w:uiPriority w:val="0"/>
    <w:rPr>
      <w:rFonts w:eastAsia="黑体"/>
      <w:kern w:val="2"/>
      <w:sz w:val="28"/>
      <w:szCs w:val="24"/>
    </w:rPr>
  </w:style>
  <w:style w:type="paragraph" w:customStyle="1" w:styleId="43">
    <w:name w:val="0-表头"/>
    <w:basedOn w:val="1"/>
    <w:qFormat/>
    <w:uiPriority w:val="0"/>
    <w:pPr>
      <w:spacing w:before="50" w:beforeLines="50" w:line="360" w:lineRule="auto"/>
      <w:ind w:firstLine="482"/>
      <w:jc w:val="center"/>
    </w:pPr>
    <w:rPr>
      <w:rFonts w:eastAsia="黑体"/>
      <w:sz w:val="24"/>
      <w:szCs w:val="21"/>
    </w:rPr>
  </w:style>
  <w:style w:type="character" w:customStyle="1" w:styleId="44">
    <w:name w:val="fontstyle01"/>
    <w:basedOn w:val="21"/>
    <w:qFormat/>
    <w:uiPriority w:val="0"/>
    <w:rPr>
      <w:rFonts w:hint="eastAsia" w:ascii="宋体" w:hAnsi="宋体" w:eastAsia="宋体"/>
      <w:color w:val="000000"/>
      <w:sz w:val="28"/>
      <w:szCs w:val="28"/>
    </w:rPr>
  </w:style>
  <w:style w:type="paragraph" w:customStyle="1" w:styleId="4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8">
    <w:name w:val="font7"/>
    <w:basedOn w:val="1"/>
    <w:qFormat/>
    <w:uiPriority w:val="0"/>
    <w:pPr>
      <w:widowControl/>
      <w:spacing w:before="100" w:beforeAutospacing="1" w:after="100" w:afterAutospacing="1"/>
      <w:jc w:val="left"/>
    </w:pPr>
    <w:rPr>
      <w:b/>
      <w:bCs/>
      <w:color w:val="000000"/>
      <w:kern w:val="0"/>
      <w:sz w:val="20"/>
      <w:szCs w:val="20"/>
    </w:rPr>
  </w:style>
  <w:style w:type="paragraph" w:customStyle="1" w:styleId="49">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50">
    <w:name w:val="font9"/>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51">
    <w:name w:val="font10"/>
    <w:basedOn w:val="1"/>
    <w:qFormat/>
    <w:uiPriority w:val="0"/>
    <w:pPr>
      <w:widowControl/>
      <w:spacing w:before="100" w:beforeAutospacing="1" w:after="100" w:afterAutospacing="1"/>
      <w:jc w:val="left"/>
    </w:pPr>
    <w:rPr>
      <w:b/>
      <w:bCs/>
      <w:color w:val="000000"/>
      <w:kern w:val="0"/>
      <w:sz w:val="20"/>
      <w:szCs w:val="20"/>
    </w:rPr>
  </w:style>
  <w:style w:type="paragraph" w:customStyle="1" w:styleId="5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rPr>
  </w:style>
  <w:style w:type="paragraph" w:customStyle="1" w:styleId="53">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b/>
      <w:bCs/>
      <w:kern w:val="0"/>
      <w:sz w:val="20"/>
      <w:szCs w:val="20"/>
    </w:rPr>
  </w:style>
  <w:style w:type="paragraph" w:customStyle="1" w:styleId="54">
    <w:name w:val="xl6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kern w:val="0"/>
      <w:sz w:val="20"/>
      <w:szCs w:val="20"/>
    </w:rPr>
  </w:style>
  <w:style w:type="paragraph" w:customStyle="1" w:styleId="55">
    <w:name w:val="xl68"/>
    <w:basedOn w:val="1"/>
    <w:qFormat/>
    <w:uiPriority w:val="0"/>
    <w:pPr>
      <w:widowControl/>
      <w:pBdr>
        <w:left w:val="single" w:color="000000" w:sz="4" w:space="0"/>
        <w:right w:val="single" w:color="000000" w:sz="4" w:space="0"/>
      </w:pBdr>
      <w:spacing w:before="100" w:beforeAutospacing="1" w:after="100" w:afterAutospacing="1"/>
      <w:jc w:val="center"/>
      <w:textAlignment w:val="center"/>
    </w:pPr>
    <w:rPr>
      <w:kern w:val="0"/>
      <w:sz w:val="20"/>
      <w:szCs w:val="20"/>
    </w:rPr>
  </w:style>
  <w:style w:type="paragraph" w:customStyle="1" w:styleId="56">
    <w:name w:val="xl6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rPr>
  </w:style>
  <w:style w:type="paragraph" w:customStyle="1" w:styleId="57">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rPr>
  </w:style>
  <w:style w:type="paragraph" w:customStyle="1" w:styleId="58">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0"/>
      <w:szCs w:val="20"/>
    </w:rPr>
  </w:style>
  <w:style w:type="paragraph" w:customStyle="1" w:styleId="59">
    <w:name w:val="xl72"/>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60">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rPr>
  </w:style>
  <w:style w:type="paragraph" w:customStyle="1" w:styleId="61">
    <w:name w:val="xl74"/>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62">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b/>
      <w:bCs/>
      <w:kern w:val="0"/>
      <w:sz w:val="20"/>
      <w:szCs w:val="20"/>
    </w:rPr>
  </w:style>
  <w:style w:type="character" w:customStyle="1" w:styleId="63">
    <w:name w:val="font01"/>
    <w:basedOn w:val="21"/>
    <w:qFormat/>
    <w:uiPriority w:val="0"/>
    <w:rPr>
      <w:rFonts w:hint="default" w:ascii="Times New Roman" w:hAnsi="Times New Roman" w:cs="Times New Roman"/>
      <w:b/>
      <w:color w:val="000000"/>
      <w:sz w:val="20"/>
      <w:szCs w:val="20"/>
      <w:u w:val="none"/>
    </w:rPr>
  </w:style>
  <w:style w:type="character" w:customStyle="1" w:styleId="64">
    <w:name w:val="font31"/>
    <w:basedOn w:val="21"/>
    <w:qFormat/>
    <w:uiPriority w:val="0"/>
    <w:rPr>
      <w:rFonts w:hint="eastAsia" w:ascii="宋体" w:hAnsi="宋体" w:eastAsia="宋体" w:cs="宋体"/>
      <w:b/>
      <w:color w:val="000000"/>
      <w:sz w:val="20"/>
      <w:szCs w:val="20"/>
      <w:u w:val="none"/>
    </w:rPr>
  </w:style>
  <w:style w:type="character" w:customStyle="1" w:styleId="65">
    <w:name w:val="font61"/>
    <w:basedOn w:val="21"/>
    <w:qFormat/>
    <w:uiPriority w:val="0"/>
    <w:rPr>
      <w:rFonts w:hint="default" w:ascii="Times New Roman" w:hAnsi="Times New Roman" w:cs="Times New Roman"/>
      <w:b/>
      <w:color w:val="000000"/>
      <w:sz w:val="20"/>
      <w:szCs w:val="20"/>
      <w:u w:val="none"/>
      <w:vertAlign w:val="superscript"/>
    </w:rPr>
  </w:style>
  <w:style w:type="character" w:customStyle="1" w:styleId="66">
    <w:name w:val="font11"/>
    <w:basedOn w:val="21"/>
    <w:qFormat/>
    <w:uiPriority w:val="0"/>
    <w:rPr>
      <w:rFonts w:hint="eastAsia" w:ascii="宋体" w:hAnsi="宋体" w:eastAsia="宋体" w:cs="宋体"/>
      <w:color w:val="000000"/>
      <w:sz w:val="20"/>
      <w:szCs w:val="20"/>
      <w:u w:val="none"/>
    </w:rPr>
  </w:style>
  <w:style w:type="character" w:customStyle="1" w:styleId="67">
    <w:name w:val="font21"/>
    <w:basedOn w:val="21"/>
    <w:qFormat/>
    <w:uiPriority w:val="0"/>
    <w:rPr>
      <w:rFonts w:hint="default" w:ascii="Times New Roman" w:hAnsi="Times New Roman" w:cs="Times New Roman"/>
      <w:color w:val="000000"/>
      <w:sz w:val="20"/>
      <w:szCs w:val="20"/>
      <w:u w:val="none"/>
    </w:rPr>
  </w:style>
  <w:style w:type="character" w:customStyle="1" w:styleId="68">
    <w:name w:val="font51"/>
    <w:basedOn w:val="21"/>
    <w:qFormat/>
    <w:uiPriority w:val="0"/>
    <w:rPr>
      <w:rFonts w:hint="default" w:ascii="Times New Roman" w:hAnsi="Times New Roman" w:cs="Times New Roman"/>
      <w:b/>
      <w:color w:val="000000"/>
      <w:sz w:val="20"/>
      <w:szCs w:val="20"/>
      <w:u w:val="none"/>
    </w:rPr>
  </w:style>
  <w:style w:type="character" w:customStyle="1" w:styleId="69">
    <w:name w:val="font41"/>
    <w:basedOn w:val="21"/>
    <w:qFormat/>
    <w:uiPriority w:val="0"/>
    <w:rPr>
      <w:rFonts w:hint="default" w:ascii="Times New Roman" w:hAnsi="Times New Roman" w:cs="Times New Roman"/>
      <w:b/>
      <w:color w:val="000000"/>
      <w:sz w:val="20"/>
      <w:szCs w:val="20"/>
      <w:u w:val="none"/>
      <w:vertAlign w:val="superscript"/>
    </w:rPr>
  </w:style>
  <w:style w:type="character" w:customStyle="1" w:styleId="70">
    <w:name w:val="font101"/>
    <w:basedOn w:val="21"/>
    <w:qFormat/>
    <w:uiPriority w:val="0"/>
    <w:rPr>
      <w:rFonts w:hint="default" w:ascii="Times New Roman" w:hAnsi="Times New Roman" w:cs="Times New Roman"/>
      <w:b/>
      <w:color w:val="000000"/>
      <w:sz w:val="20"/>
      <w:szCs w:val="20"/>
      <w:u w:val="none"/>
    </w:rPr>
  </w:style>
  <w:style w:type="character" w:customStyle="1" w:styleId="71">
    <w:name w:val="font111"/>
    <w:basedOn w:val="21"/>
    <w:qFormat/>
    <w:uiPriority w:val="0"/>
    <w:rPr>
      <w:rFonts w:hint="eastAsia" w:ascii="宋体" w:hAnsi="宋体" w:eastAsia="宋体" w:cs="宋体"/>
      <w:b/>
      <w:color w:val="000000"/>
      <w:sz w:val="20"/>
      <w:szCs w:val="20"/>
      <w:u w:val="none"/>
    </w:rPr>
  </w:style>
  <w:style w:type="character" w:customStyle="1" w:styleId="72">
    <w:name w:val="font91"/>
    <w:basedOn w:val="21"/>
    <w:qFormat/>
    <w:uiPriority w:val="0"/>
    <w:rPr>
      <w:rFonts w:hint="default" w:ascii="Times New Roman" w:hAnsi="Times New Roman" w:cs="Times New Roman"/>
      <w:b/>
      <w:color w:val="000000"/>
      <w:sz w:val="20"/>
      <w:szCs w:val="20"/>
      <w:u w:val="none"/>
      <w:vertAlign w:val="superscript"/>
    </w:rPr>
  </w:style>
  <w:style w:type="character" w:customStyle="1" w:styleId="73">
    <w:name w:val="font81"/>
    <w:basedOn w:val="21"/>
    <w:qFormat/>
    <w:uiPriority w:val="0"/>
    <w:rPr>
      <w:rFonts w:hint="default" w:ascii="Times New Roman" w:hAnsi="Times New Roman" w:cs="Times New Roman"/>
      <w:b/>
      <w:color w:val="000000"/>
      <w:sz w:val="20"/>
      <w:szCs w:val="20"/>
      <w:u w:val="none"/>
    </w:rPr>
  </w:style>
  <w:style w:type="character" w:customStyle="1" w:styleId="74">
    <w:name w:val="font71"/>
    <w:basedOn w:val="21"/>
    <w:qFormat/>
    <w:uiPriority w:val="0"/>
    <w:rPr>
      <w:rFonts w:hint="default" w:ascii="Times New Roman" w:hAnsi="Times New Roman" w:cs="Times New Roman"/>
      <w:b/>
      <w:color w:val="000000"/>
      <w:sz w:val="20"/>
      <w:szCs w:val="20"/>
      <w:u w:val="none"/>
      <w:vertAlign w:val="superscript"/>
    </w:rPr>
  </w:style>
  <w:style w:type="character" w:customStyle="1" w:styleId="75">
    <w:name w:val="font12"/>
    <w:basedOn w:val="21"/>
    <w:qFormat/>
    <w:uiPriority w:val="0"/>
    <w:rPr>
      <w:rFonts w:hint="eastAsia" w:ascii="宋体" w:hAnsi="宋体" w:eastAsia="宋体" w:cs="宋体"/>
      <w:color w:val="000000"/>
      <w:sz w:val="20"/>
      <w:szCs w:val="20"/>
      <w:u w:val="none"/>
    </w:rPr>
  </w:style>
  <w:style w:type="paragraph" w:customStyle="1" w:styleId="76">
    <w:name w:val="font0"/>
    <w:basedOn w:val="1"/>
    <w:qFormat/>
    <w:uiPriority w:val="0"/>
    <w:pPr>
      <w:widowControl/>
      <w:spacing w:before="100" w:beforeAutospacing="1" w:after="100" w:afterAutospacing="1"/>
      <w:jc w:val="left"/>
    </w:pPr>
    <w:rPr>
      <w:b/>
      <w:bCs/>
      <w:color w:val="000000"/>
      <w:kern w:val="0"/>
      <w:sz w:val="20"/>
      <w:szCs w:val="20"/>
    </w:rPr>
  </w:style>
  <w:style w:type="paragraph" w:customStyle="1" w:styleId="77">
    <w:name w:val="font1"/>
    <w:basedOn w:val="1"/>
    <w:qFormat/>
    <w:uiPriority w:val="0"/>
    <w:pPr>
      <w:widowControl/>
      <w:spacing w:before="100" w:beforeAutospacing="1" w:after="100" w:afterAutospacing="1"/>
      <w:jc w:val="left"/>
    </w:pPr>
    <w:rPr>
      <w:rFonts w:ascii="等线" w:hAnsi="等线" w:eastAsia="等线" w:cs="宋体"/>
      <w:b/>
      <w:bCs/>
      <w:color w:val="000000"/>
      <w:kern w:val="0"/>
      <w:sz w:val="20"/>
      <w:szCs w:val="20"/>
    </w:rPr>
  </w:style>
  <w:style w:type="paragraph" w:customStyle="1" w:styleId="78">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79">
    <w:name w:val="font3"/>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80">
    <w:name w:val="font4"/>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81">
    <w:name w:val="et2"/>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et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83">
    <w:name w:val="et4"/>
    <w:basedOn w:val="1"/>
    <w:qFormat/>
    <w:uiPriority w:val="0"/>
    <w:pPr>
      <w:widowControl/>
      <w:spacing w:before="100" w:beforeAutospacing="1" w:after="100" w:afterAutospacing="1"/>
      <w:jc w:val="left"/>
    </w:pPr>
    <w:rPr>
      <w:rFonts w:ascii="宋体" w:hAnsi="宋体" w:cs="宋体"/>
      <w:kern w:val="0"/>
      <w:sz w:val="24"/>
    </w:rPr>
  </w:style>
  <w:style w:type="paragraph" w:customStyle="1" w:styleId="84">
    <w:name w:val="et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5">
    <w:name w:val="et6"/>
    <w:basedOn w:val="1"/>
    <w:qFormat/>
    <w:uiPriority w:val="0"/>
    <w:pPr>
      <w:widowControl/>
      <w:pBdr>
        <w:top w:val="single" w:color="BFBFBF" w:sz="4" w:space="0"/>
        <w:left w:val="single" w:color="BFBFBF" w:sz="4" w:space="0"/>
        <w:bottom w:val="single" w:color="BFBFBF" w:sz="4" w:space="0"/>
        <w:right w:val="single" w:color="BFBFBF"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86">
    <w:name w:val="et7"/>
    <w:basedOn w:val="1"/>
    <w:qFormat/>
    <w:uiPriority w:val="0"/>
    <w:pPr>
      <w:widowControl/>
      <w:pBdr>
        <w:top w:val="single" w:color="BFBFBF" w:sz="4" w:space="0"/>
        <w:left w:val="single" w:color="BFBFBF" w:sz="4" w:space="0"/>
        <w:bottom w:val="single" w:color="BFBFBF" w:sz="4" w:space="0"/>
        <w:right w:val="single" w:color="BFBFBF"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87">
    <w:name w:val="et9"/>
    <w:basedOn w:val="1"/>
    <w:qFormat/>
    <w:uiPriority w:val="0"/>
    <w:pPr>
      <w:widowControl/>
      <w:pBdr>
        <w:top w:val="single" w:color="BFBFBF" w:sz="4" w:space="0"/>
        <w:left w:val="single" w:color="BFBFBF" w:sz="4" w:space="0"/>
        <w:right w:val="single" w:color="BFBFBF"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88">
    <w:name w:val="et10"/>
    <w:basedOn w:val="1"/>
    <w:qFormat/>
    <w:uiPriority w:val="0"/>
    <w:pPr>
      <w:widowControl/>
      <w:pBdr>
        <w:left w:val="single" w:color="BFBFBF" w:sz="4" w:space="0"/>
        <w:right w:val="single" w:color="BFBFBF"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89">
    <w:name w:val="et11"/>
    <w:basedOn w:val="1"/>
    <w:qFormat/>
    <w:uiPriority w:val="0"/>
    <w:pPr>
      <w:widowControl/>
      <w:pBdr>
        <w:left w:val="single" w:color="BFBFBF" w:sz="4" w:space="0"/>
        <w:bottom w:val="single" w:color="BFBFBF" w:sz="4" w:space="0"/>
        <w:right w:val="single" w:color="BFBFBF"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0">
    <w:name w:val="et12"/>
    <w:basedOn w:val="1"/>
    <w:qFormat/>
    <w:uiPriority w:val="0"/>
    <w:pPr>
      <w:widowControl/>
      <w:pBdr>
        <w:top w:val="single" w:color="BFBFBF" w:sz="4" w:space="0"/>
        <w:left w:val="single" w:color="BFBFBF" w:sz="4" w:space="0"/>
        <w:bottom w:val="single" w:color="BFBFBF" w:sz="4" w:space="0"/>
        <w:right w:val="single" w:color="BFBFBF" w:sz="4" w:space="0"/>
      </w:pBdr>
      <w:shd w:val="clear" w:color="auto" w:fill="FFFF00"/>
      <w:spacing w:before="100" w:beforeAutospacing="1" w:after="100" w:afterAutospacing="1"/>
      <w:jc w:val="center"/>
      <w:textAlignment w:val="center"/>
    </w:pPr>
    <w:rPr>
      <w:rFonts w:ascii="宋体" w:hAnsi="宋体" w:cs="宋体"/>
      <w:color w:val="FF0000"/>
      <w:kern w:val="0"/>
      <w:sz w:val="24"/>
    </w:rPr>
  </w:style>
  <w:style w:type="paragraph" w:customStyle="1" w:styleId="91">
    <w:name w:val="et13"/>
    <w:basedOn w:val="1"/>
    <w:qFormat/>
    <w:uiPriority w:val="0"/>
    <w:pPr>
      <w:widowControl/>
      <w:pBdr>
        <w:top w:val="single" w:color="BFBFBF" w:sz="4" w:space="0"/>
        <w:left w:val="single" w:color="BFBFBF" w:sz="4" w:space="0"/>
        <w:bottom w:val="single" w:color="BFBFBF" w:sz="4" w:space="0"/>
        <w:right w:val="single" w:color="BFBFBF" w:sz="4" w:space="0"/>
      </w:pBdr>
      <w:shd w:val="clear" w:color="auto" w:fill="FFFF00"/>
      <w:spacing w:before="100" w:beforeAutospacing="1" w:after="100" w:afterAutospacing="1"/>
      <w:jc w:val="center"/>
      <w:textAlignment w:val="center"/>
    </w:pPr>
    <w:rPr>
      <w:rFonts w:ascii="宋体" w:hAnsi="宋体" w:cs="宋体"/>
      <w:color w:val="000000"/>
      <w:kern w:val="0"/>
      <w:sz w:val="24"/>
    </w:rPr>
  </w:style>
  <w:style w:type="paragraph" w:customStyle="1" w:styleId="92">
    <w:name w:val="et14"/>
    <w:basedOn w:val="1"/>
    <w:qFormat/>
    <w:uiPriority w:val="0"/>
    <w:pPr>
      <w:widowControl/>
      <w:pBdr>
        <w:top w:val="single" w:color="BFBFBF" w:sz="4" w:space="0"/>
        <w:left w:val="single" w:color="BFBFBF" w:sz="4" w:space="0"/>
        <w:bottom w:val="single" w:color="BFBFBF" w:sz="4" w:space="0"/>
        <w:right w:val="single" w:color="BFBFBF"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3">
    <w:name w:val="et16"/>
    <w:basedOn w:val="1"/>
    <w:qFormat/>
    <w:uiPriority w:val="0"/>
    <w:pPr>
      <w:widowControl/>
      <w:pBdr>
        <w:top w:val="single" w:color="BFBFBF" w:sz="4" w:space="0"/>
        <w:left w:val="single" w:color="BFBFBF" w:sz="4" w:space="0"/>
        <w:bottom w:val="single" w:color="BFBFBF" w:sz="4" w:space="0"/>
        <w:right w:val="single" w:color="BFBFBF" w:sz="4" w:space="0"/>
      </w:pBdr>
      <w:shd w:val="clear" w:color="auto" w:fill="FFFF00"/>
      <w:spacing w:before="100" w:beforeAutospacing="1" w:after="100" w:afterAutospacing="1"/>
      <w:jc w:val="center"/>
      <w:textAlignment w:val="center"/>
    </w:pPr>
    <w:rPr>
      <w:rFonts w:ascii="宋体" w:hAnsi="宋体" w:cs="宋体"/>
      <w:color w:val="000000"/>
      <w:kern w:val="0"/>
      <w:sz w:val="24"/>
    </w:rPr>
  </w:style>
  <w:style w:type="paragraph" w:customStyle="1" w:styleId="94">
    <w:name w:val="et17"/>
    <w:basedOn w:val="1"/>
    <w:qFormat/>
    <w:uiPriority w:val="0"/>
    <w:pPr>
      <w:widowControl/>
      <w:pBdr>
        <w:top w:val="single" w:color="BFBFBF" w:sz="4" w:space="0"/>
        <w:left w:val="single" w:color="BFBFBF" w:sz="4" w:space="0"/>
        <w:right w:val="single" w:color="BFBFBF" w:sz="4" w:space="0"/>
      </w:pBdr>
      <w:shd w:val="clear" w:color="auto" w:fill="FFFF00"/>
      <w:spacing w:before="100" w:beforeAutospacing="1" w:after="100" w:afterAutospacing="1"/>
      <w:jc w:val="center"/>
      <w:textAlignment w:val="center"/>
    </w:pPr>
    <w:rPr>
      <w:rFonts w:ascii="宋体" w:hAnsi="宋体" w:cs="宋体"/>
      <w:color w:val="000000"/>
      <w:kern w:val="0"/>
      <w:sz w:val="24"/>
    </w:rPr>
  </w:style>
  <w:style w:type="paragraph" w:customStyle="1" w:styleId="95">
    <w:name w:val="et18"/>
    <w:basedOn w:val="1"/>
    <w:qFormat/>
    <w:uiPriority w:val="0"/>
    <w:pPr>
      <w:widowControl/>
      <w:pBdr>
        <w:left w:val="single" w:color="BFBFBF" w:sz="4" w:space="0"/>
        <w:right w:val="single" w:color="BFBFBF" w:sz="4" w:space="0"/>
      </w:pBdr>
      <w:shd w:val="clear" w:color="auto" w:fill="FFFF00"/>
      <w:spacing w:before="100" w:beforeAutospacing="1" w:after="100" w:afterAutospacing="1"/>
      <w:jc w:val="center"/>
      <w:textAlignment w:val="center"/>
    </w:pPr>
    <w:rPr>
      <w:rFonts w:ascii="宋体" w:hAnsi="宋体" w:cs="宋体"/>
      <w:color w:val="000000"/>
      <w:kern w:val="0"/>
      <w:sz w:val="24"/>
    </w:rPr>
  </w:style>
  <w:style w:type="paragraph" w:customStyle="1" w:styleId="96">
    <w:name w:val="et19"/>
    <w:basedOn w:val="1"/>
    <w:qFormat/>
    <w:uiPriority w:val="0"/>
    <w:pPr>
      <w:widowControl/>
      <w:pBdr>
        <w:left w:val="single" w:color="BFBFBF" w:sz="4" w:space="0"/>
        <w:bottom w:val="single" w:color="BFBFBF" w:sz="4" w:space="0"/>
        <w:right w:val="single" w:color="BFBFBF" w:sz="4" w:space="0"/>
      </w:pBdr>
      <w:shd w:val="clear" w:color="auto" w:fill="FFFF00"/>
      <w:spacing w:before="100" w:beforeAutospacing="1" w:after="100" w:afterAutospacing="1"/>
      <w:jc w:val="center"/>
      <w:textAlignment w:val="center"/>
    </w:pPr>
    <w:rPr>
      <w:rFonts w:ascii="宋体" w:hAnsi="宋体" w:cs="宋体"/>
      <w:color w:val="000000"/>
      <w:kern w:val="0"/>
      <w:sz w:val="24"/>
    </w:rPr>
  </w:style>
  <w:style w:type="paragraph" w:customStyle="1" w:styleId="97">
    <w:name w:val="et20"/>
    <w:basedOn w:val="1"/>
    <w:qFormat/>
    <w:uiPriority w:val="0"/>
    <w:pPr>
      <w:widowControl/>
      <w:pBdr>
        <w:top w:val="single" w:color="BFBFBF" w:sz="4" w:space="0"/>
        <w:left w:val="single" w:color="BFBFBF" w:sz="4" w:space="0"/>
        <w:bottom w:val="single" w:color="BFBFBF" w:sz="4" w:space="0"/>
        <w:right w:val="single" w:color="BFBFBF" w:sz="4" w:space="0"/>
      </w:pBdr>
      <w:spacing w:before="100" w:beforeAutospacing="1" w:after="100" w:afterAutospacing="1"/>
      <w:jc w:val="center"/>
      <w:textAlignment w:val="center"/>
    </w:pPr>
    <w:rPr>
      <w:rFonts w:ascii="宋体" w:hAnsi="宋体" w:cs="宋体"/>
      <w:kern w:val="0"/>
      <w:sz w:val="24"/>
    </w:rPr>
  </w:style>
  <w:style w:type="paragraph" w:customStyle="1" w:styleId="98">
    <w:name w:val="et21"/>
    <w:basedOn w:val="1"/>
    <w:qFormat/>
    <w:uiPriority w:val="0"/>
    <w:pPr>
      <w:widowControl/>
      <w:pBdr>
        <w:top w:val="single" w:color="BFBFBF" w:sz="4" w:space="0"/>
        <w:left w:val="single" w:color="BFBFBF" w:sz="4" w:space="0"/>
        <w:bottom w:val="single" w:color="BFBFBF" w:sz="4" w:space="0"/>
        <w:right w:val="single" w:color="BFBFBF"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99">
    <w:name w:val="et22"/>
    <w:basedOn w:val="1"/>
    <w:qFormat/>
    <w:uiPriority w:val="0"/>
    <w:pPr>
      <w:widowControl/>
      <w:pBdr>
        <w:top w:val="single" w:color="BFBFBF" w:sz="4" w:space="0"/>
        <w:left w:val="single" w:color="BFBFBF" w:sz="4" w:space="0"/>
        <w:bottom w:val="single" w:color="BFBFBF" w:sz="4" w:space="0"/>
        <w:right w:val="single" w:color="BFBFBF"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0">
    <w:name w:val="Table Paragraph"/>
    <w:basedOn w:val="1"/>
    <w:qFormat/>
    <w:uiPriority w:val="1"/>
    <w:pPr>
      <w:jc w:val="center"/>
    </w:pPr>
    <w:rPr>
      <w:rFonts w:eastAsia="Times New Roman"/>
      <w:szCs w:val="22"/>
      <w:lang w:val="zh-CN" w:bidi="zh-CN"/>
    </w:rPr>
  </w:style>
  <w:style w:type="paragraph" w:customStyle="1" w:styleId="101">
    <w:name w:val="WPSOffice手动目录 1"/>
    <w:qFormat/>
    <w:uiPriority w:val="0"/>
    <w:rPr>
      <w:rFonts w:ascii="Times New Roman" w:hAnsi="Times New Roman" w:eastAsia="宋体" w:cs="Times New Roman"/>
      <w:lang w:val="en-US" w:eastAsia="zh-CN" w:bidi="ar-SA"/>
    </w:rPr>
  </w:style>
  <w:style w:type="paragraph" w:customStyle="1" w:styleId="10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3">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BDD8-D2C9-41CD-B306-258DD666C2CE}">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3718</Words>
  <Characters>21198</Characters>
  <Lines>176</Lines>
  <Paragraphs>49</Paragraphs>
  <TotalTime>24</TotalTime>
  <ScaleCrop>false</ScaleCrop>
  <LinksUpToDate>false</LinksUpToDate>
  <CharactersWithSpaces>24867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2021-12-15T03:28:00Z</dcterms:created>
  <dc:creator>yuzhenjiang</dc:creator>
  <cp:lastModifiedBy>军人</cp:lastModifiedBy>
  <cp:lastPrinted>2022-03-11T08:32:42Z</cp:lastPrinted>
  <dcterms:modified xsi:type="dcterms:W3CDTF">2022-03-11T09:44:17Z</dcterms:modified>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31A1913ADC9C49EAAED0BA8F1064C611</vt:lpwstr>
  </property>
</Properties>
</file>