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w w:val="1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汕尾市绿色建筑创建行动实施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简体" w:hAnsi="方正小标宋简体" w:eastAsia="方正小标宋简体" w:cs="方正小标宋简体"/>
          <w:sz w:val="44"/>
          <w:szCs w:val="44"/>
        </w:rPr>
        <w:t>方案（2021－2023</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）》的通知</w:t>
      </w:r>
    </w:p>
    <w:p>
      <w:pPr>
        <w:rPr>
          <w:rFonts w:hint="eastAsia"/>
          <w:sz w:val="44"/>
          <w:szCs w:val="44"/>
        </w:rPr>
      </w:pPr>
    </w:p>
    <w:tbl>
      <w:tblPr>
        <w:tblStyle w:val="5"/>
        <w:tblW w:w="13905" w:type="dxa"/>
        <w:jc w:val="center"/>
        <w:tblLayout w:type="fixed"/>
        <w:tblCellMar>
          <w:top w:w="0" w:type="dxa"/>
          <w:left w:w="0" w:type="dxa"/>
          <w:bottom w:w="0" w:type="dxa"/>
          <w:right w:w="0" w:type="dxa"/>
        </w:tblCellMar>
      </w:tblPr>
      <w:tblGrid>
        <w:gridCol w:w="1166"/>
        <w:gridCol w:w="2335"/>
        <w:gridCol w:w="596"/>
        <w:gridCol w:w="596"/>
        <w:gridCol w:w="594"/>
        <w:gridCol w:w="597"/>
        <w:gridCol w:w="596"/>
        <w:gridCol w:w="597"/>
        <w:gridCol w:w="594"/>
        <w:gridCol w:w="597"/>
        <w:gridCol w:w="596"/>
        <w:gridCol w:w="597"/>
        <w:gridCol w:w="595"/>
        <w:gridCol w:w="596"/>
        <w:gridCol w:w="594"/>
        <w:gridCol w:w="597"/>
        <w:gridCol w:w="596"/>
        <w:gridCol w:w="596"/>
        <w:gridCol w:w="870"/>
      </w:tblGrid>
      <w:tr>
        <w:tblPrEx>
          <w:tblCellMar>
            <w:top w:w="0" w:type="dxa"/>
            <w:left w:w="0" w:type="dxa"/>
            <w:bottom w:w="0" w:type="dxa"/>
            <w:right w:w="0" w:type="dxa"/>
          </w:tblCellMar>
        </w:tblPrEx>
        <w:trPr>
          <w:trHeight w:val="333" w:hRule="atLeast"/>
          <w:jc w:val="center"/>
        </w:trPr>
        <w:tc>
          <w:tcPr>
            <w:tcW w:w="3501"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bookmarkStart w:id="0" w:name="_GoBack"/>
            <w:bookmarkEnd w:id="0"/>
            <w:r>
              <w:rPr>
                <w:rFonts w:hint="eastAsia" w:ascii="黑体" w:hAnsi="黑体" w:eastAsia="黑体" w:cs="黑体"/>
                <w:i w:val="0"/>
                <w:color w:val="000000"/>
                <w:kern w:val="0"/>
                <w:sz w:val="21"/>
                <w:szCs w:val="21"/>
                <w:u w:val="none"/>
                <w:lang w:val="en-US" w:eastAsia="zh-CN" w:bidi="ar"/>
              </w:rPr>
              <w:t>附件1.</w:t>
            </w:r>
          </w:p>
        </w:tc>
        <w:tc>
          <w:tcPr>
            <w:tcW w:w="596"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6"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7"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7"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7"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7"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6"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7"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596"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333" w:hRule="atLeast"/>
          <w:jc w:val="center"/>
        </w:trPr>
        <w:tc>
          <w:tcPr>
            <w:tcW w:w="13035" w:type="dxa"/>
            <w:gridSpan w:val="18"/>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Style w:val="8"/>
                <w:rFonts w:hint="eastAsia" w:ascii="仿宋_GB2312" w:hAnsi="仿宋_GB2312" w:eastAsia="仿宋_GB2312" w:cs="仿宋_GB2312"/>
                <w:sz w:val="28"/>
                <w:szCs w:val="28"/>
                <w:lang w:val="en-US" w:eastAsia="zh-CN" w:bidi="ar"/>
              </w:rPr>
              <w:t>202</w:t>
            </w:r>
            <w:r>
              <w:rPr>
                <w:rStyle w:val="9"/>
                <w:rFonts w:hint="eastAsia" w:ascii="仿宋_GB2312" w:hAnsi="仿宋_GB2312" w:eastAsia="仿宋_GB2312" w:cs="仿宋_GB2312"/>
                <w:sz w:val="28"/>
                <w:szCs w:val="28"/>
                <w:lang w:val="en-US" w:eastAsia="zh-CN" w:bidi="ar"/>
              </w:rPr>
              <w:t xml:space="preserve">  </w:t>
            </w:r>
            <w:r>
              <w:rPr>
                <w:rStyle w:val="8"/>
                <w:rFonts w:hint="eastAsia" w:ascii="仿宋_GB2312" w:hAnsi="仿宋_GB2312" w:eastAsia="仿宋_GB2312" w:cs="仿宋_GB2312"/>
                <w:sz w:val="28"/>
                <w:szCs w:val="28"/>
                <w:lang w:val="en-US" w:eastAsia="zh-CN" w:bidi="ar"/>
              </w:rPr>
              <w:t>年</w:t>
            </w:r>
            <w:r>
              <w:rPr>
                <w:rStyle w:val="9"/>
                <w:rFonts w:hint="eastAsia" w:ascii="仿宋_GB2312" w:hAnsi="仿宋_GB2312" w:eastAsia="仿宋_GB2312" w:cs="仿宋_GB2312"/>
                <w:sz w:val="28"/>
                <w:szCs w:val="28"/>
                <w:lang w:val="en-US" w:eastAsia="zh-CN" w:bidi="ar"/>
              </w:rPr>
              <w:t xml:space="preserve">  </w:t>
            </w:r>
            <w:r>
              <w:rPr>
                <w:rStyle w:val="8"/>
                <w:rFonts w:hint="eastAsia" w:ascii="仿宋_GB2312" w:hAnsi="仿宋_GB2312" w:eastAsia="仿宋_GB2312" w:cs="仿宋_GB2312"/>
                <w:sz w:val="28"/>
                <w:szCs w:val="28"/>
                <w:lang w:val="en-US" w:eastAsia="zh-CN" w:bidi="ar"/>
              </w:rPr>
              <w:t>月份绿色建筑发展情况统计表</w:t>
            </w:r>
          </w:p>
        </w:tc>
        <w:tc>
          <w:tcPr>
            <w:tcW w:w="870"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650" w:hRule="atLeast"/>
          <w:jc w:val="center"/>
        </w:trPr>
        <w:tc>
          <w:tcPr>
            <w:tcW w:w="3501" w:type="dxa"/>
            <w:gridSpan w:val="2"/>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填报单位（盖章）：</w:t>
            </w:r>
          </w:p>
        </w:tc>
        <w:tc>
          <w:tcPr>
            <w:tcW w:w="2979" w:type="dxa"/>
            <w:gridSpan w:val="5"/>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 xml:space="preserve">填报人：         </w:t>
            </w:r>
          </w:p>
        </w:tc>
        <w:tc>
          <w:tcPr>
            <w:tcW w:w="2981" w:type="dxa"/>
            <w:gridSpan w:val="5"/>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 xml:space="preserve">审核人：          </w:t>
            </w:r>
          </w:p>
        </w:tc>
        <w:tc>
          <w:tcPr>
            <w:tcW w:w="595"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b/>
                <w:i w:val="0"/>
                <w:color w:val="000000"/>
                <w:sz w:val="21"/>
                <w:szCs w:val="21"/>
                <w:u w:val="none"/>
              </w:rPr>
            </w:pPr>
          </w:p>
        </w:tc>
        <w:tc>
          <w:tcPr>
            <w:tcW w:w="3849" w:type="dxa"/>
            <w:gridSpan w:val="6"/>
            <w:tcBorders>
              <w:top w:val="nil"/>
              <w:left w:val="nil"/>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填报日期：     年    月    日</w:t>
            </w:r>
          </w:p>
        </w:tc>
      </w:tr>
      <w:tr>
        <w:tblPrEx>
          <w:tblCellMar>
            <w:top w:w="0" w:type="dxa"/>
            <w:left w:w="0" w:type="dxa"/>
            <w:bottom w:w="0" w:type="dxa"/>
            <w:right w:w="0" w:type="dxa"/>
          </w:tblCellMar>
        </w:tblPrEx>
        <w:trPr>
          <w:trHeight w:val="400"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统计类别</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市直</w:t>
            </w: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市城区</w:t>
            </w: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陆丰市</w:t>
            </w: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海丰县</w:t>
            </w: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陆河县</w:t>
            </w: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红海湾</w:t>
            </w: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华侨</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新区</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660"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城镇新开工建筑总面积（万m2）</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660"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城镇新开工绿色建筑面积(万m2）</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660"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城镇新开工建筑中绿色建筑</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面积占比（%）</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w:t>
            </w: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基本级（万m2，%）</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一星级（万m2，%）</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二星级（万m2，%）</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三星级（万m2，%）</w:t>
            </w: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841"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0"/>
                <w:rFonts w:hint="eastAsia" w:ascii="仿宋_GB2312" w:hAnsi="仿宋_GB2312" w:eastAsia="仿宋_GB2312" w:cs="仿宋_GB2312"/>
                <w:sz w:val="21"/>
                <w:szCs w:val="21"/>
                <w:lang w:val="en-US" w:eastAsia="zh-CN" w:bidi="ar"/>
              </w:rPr>
              <w:t>城镇竣工建筑总面积（万</w:t>
            </w:r>
            <w:r>
              <w:rPr>
                <w:rStyle w:val="11"/>
                <w:rFonts w:hint="eastAsia" w:ascii="仿宋_GB2312" w:hAnsi="仿宋_GB2312" w:eastAsia="仿宋_GB2312" w:cs="仿宋_GB2312"/>
                <w:sz w:val="21"/>
                <w:szCs w:val="21"/>
                <w:lang w:val="en-US" w:eastAsia="zh-CN" w:bidi="ar"/>
              </w:rPr>
              <w:t>m2</w:t>
            </w:r>
            <w:r>
              <w:rPr>
                <w:rStyle w:val="10"/>
                <w:rFonts w:hint="eastAsia" w:ascii="仿宋_GB2312" w:hAnsi="仿宋_GB2312" w:eastAsia="仿宋_GB2312" w:cs="仿宋_GB2312"/>
                <w:sz w:val="21"/>
                <w:szCs w:val="21"/>
                <w:lang w:val="en-US"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845"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城镇竣工绿色建筑面积（万m2）</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97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城镇新建民用建筑中绿色建筑</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面积占比（%）</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w:t>
            </w:r>
          </w:p>
        </w:tc>
        <w:tc>
          <w:tcPr>
            <w:tcW w:w="233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基本级（万m2，%）</w:t>
            </w: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一星级（万m2，%）</w:t>
            </w: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二星级（万m2，%）</w:t>
            </w: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343"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三星级（万m2，%）</w:t>
            </w: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5"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城镇新开工绿色建筑面积按建筑类型分类</w:t>
            </w: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0"/>
                <w:rFonts w:hint="eastAsia" w:ascii="仿宋_GB2312" w:hAnsi="仿宋_GB2312" w:eastAsia="仿宋_GB2312" w:cs="仿宋_GB2312"/>
                <w:sz w:val="21"/>
                <w:szCs w:val="21"/>
                <w:lang w:val="en-US" w:eastAsia="zh-CN" w:bidi="ar"/>
              </w:rPr>
              <w:t>居住建筑（万m</w:t>
            </w:r>
            <w:r>
              <w:rPr>
                <w:rStyle w:val="12"/>
                <w:rFonts w:hint="eastAsia" w:ascii="仿宋_GB2312" w:hAnsi="仿宋_GB2312" w:eastAsia="仿宋_GB2312" w:cs="仿宋_GB2312"/>
                <w:sz w:val="21"/>
                <w:szCs w:val="21"/>
                <w:lang w:val="en-US" w:eastAsia="zh-CN" w:bidi="ar"/>
              </w:rPr>
              <w:t>2</w:t>
            </w:r>
            <w:r>
              <w:rPr>
                <w:rStyle w:val="10"/>
                <w:rFonts w:hint="eastAsia" w:ascii="仿宋_GB2312" w:hAnsi="仿宋_GB2312" w:eastAsia="仿宋_GB2312" w:cs="仿宋_GB2312"/>
                <w:sz w:val="21"/>
                <w:szCs w:val="21"/>
                <w:lang w:val="en-US"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0"/>
                <w:rFonts w:hint="eastAsia" w:ascii="仿宋_GB2312" w:hAnsi="仿宋_GB2312" w:eastAsia="仿宋_GB2312" w:cs="仿宋_GB2312"/>
                <w:sz w:val="21"/>
                <w:szCs w:val="21"/>
                <w:lang w:val="en-US" w:eastAsia="zh-CN" w:bidi="ar"/>
              </w:rPr>
              <w:t>公共建筑（万m</w:t>
            </w:r>
            <w:r>
              <w:rPr>
                <w:rStyle w:val="12"/>
                <w:rFonts w:hint="eastAsia" w:ascii="仿宋_GB2312" w:hAnsi="仿宋_GB2312" w:eastAsia="仿宋_GB2312" w:cs="仿宋_GB2312"/>
                <w:sz w:val="21"/>
                <w:szCs w:val="21"/>
                <w:lang w:val="en-US" w:eastAsia="zh-CN" w:bidi="ar"/>
              </w:rPr>
              <w:t>2</w:t>
            </w:r>
            <w:r>
              <w:rPr>
                <w:rStyle w:val="10"/>
                <w:rFonts w:hint="eastAsia" w:ascii="仿宋_GB2312" w:hAnsi="仿宋_GB2312" w:eastAsia="仿宋_GB2312" w:cs="仿宋_GB2312"/>
                <w:sz w:val="21"/>
                <w:szCs w:val="21"/>
                <w:lang w:val="en-US"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812"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3"/>
                <w:rFonts w:hint="eastAsia" w:ascii="仿宋_GB2312" w:hAnsi="仿宋_GB2312" w:eastAsia="仿宋_GB2312" w:cs="仿宋_GB2312"/>
                <w:sz w:val="21"/>
                <w:szCs w:val="21"/>
                <w:lang w:val="en-US" w:eastAsia="zh-CN" w:bidi="ar"/>
              </w:rPr>
              <w:t>混合功能建筑（万m</w:t>
            </w:r>
            <w:r>
              <w:rPr>
                <w:rStyle w:val="14"/>
                <w:rFonts w:hint="eastAsia" w:ascii="仿宋_GB2312" w:hAnsi="仿宋_GB2312" w:eastAsia="仿宋_GB2312" w:cs="仿宋_GB2312"/>
                <w:sz w:val="21"/>
                <w:szCs w:val="21"/>
                <w:lang w:val="en-US" w:eastAsia="zh-CN" w:bidi="ar"/>
              </w:rPr>
              <w:t>2</w:t>
            </w:r>
            <w:r>
              <w:rPr>
                <w:rStyle w:val="13"/>
                <w:rFonts w:hint="eastAsia" w:ascii="仿宋_GB2312" w:hAnsi="仿宋_GB2312" w:eastAsia="仿宋_GB2312" w:cs="仿宋_GB2312"/>
                <w:sz w:val="21"/>
                <w:szCs w:val="21"/>
                <w:lang w:val="en-US"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660"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城镇新开工绿色工业建筑面积（万m2）</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城镇绿色建筑竣工面积按建筑类型分类</w:t>
            </w: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0"/>
                <w:rFonts w:hint="eastAsia" w:ascii="仿宋_GB2312" w:hAnsi="仿宋_GB2312" w:eastAsia="仿宋_GB2312" w:cs="仿宋_GB2312"/>
                <w:sz w:val="21"/>
                <w:szCs w:val="21"/>
                <w:lang w:val="en-US" w:eastAsia="zh-CN" w:bidi="ar"/>
              </w:rPr>
              <w:t>居住建筑（万m</w:t>
            </w:r>
            <w:r>
              <w:rPr>
                <w:rStyle w:val="12"/>
                <w:rFonts w:hint="eastAsia" w:ascii="仿宋_GB2312" w:hAnsi="仿宋_GB2312" w:eastAsia="仿宋_GB2312" w:cs="仿宋_GB2312"/>
                <w:sz w:val="21"/>
                <w:szCs w:val="21"/>
                <w:lang w:val="en-US" w:eastAsia="zh-CN" w:bidi="ar"/>
              </w:rPr>
              <w:t>2</w:t>
            </w:r>
            <w:r>
              <w:rPr>
                <w:rStyle w:val="10"/>
                <w:rFonts w:hint="eastAsia" w:ascii="仿宋_GB2312" w:hAnsi="仿宋_GB2312" w:eastAsia="仿宋_GB2312" w:cs="仿宋_GB2312"/>
                <w:sz w:val="21"/>
                <w:szCs w:val="21"/>
                <w:lang w:val="en-US"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343"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0"/>
                <w:rFonts w:hint="eastAsia" w:ascii="仿宋_GB2312" w:hAnsi="仿宋_GB2312" w:eastAsia="仿宋_GB2312" w:cs="仿宋_GB2312"/>
                <w:sz w:val="21"/>
                <w:szCs w:val="21"/>
                <w:lang w:val="en-US" w:eastAsia="zh-CN" w:bidi="ar"/>
              </w:rPr>
              <w:t>公共建筑（万m</w:t>
            </w:r>
            <w:r>
              <w:rPr>
                <w:rStyle w:val="12"/>
                <w:rFonts w:hint="eastAsia" w:ascii="仿宋_GB2312" w:hAnsi="仿宋_GB2312" w:eastAsia="仿宋_GB2312" w:cs="仿宋_GB2312"/>
                <w:sz w:val="21"/>
                <w:szCs w:val="21"/>
                <w:lang w:val="en-US" w:eastAsia="zh-CN" w:bidi="ar"/>
              </w:rPr>
              <w:t>2</w:t>
            </w:r>
            <w:r>
              <w:rPr>
                <w:rStyle w:val="10"/>
                <w:rFonts w:hint="eastAsia" w:ascii="仿宋_GB2312" w:hAnsi="仿宋_GB2312" w:eastAsia="仿宋_GB2312" w:cs="仿宋_GB2312"/>
                <w:sz w:val="21"/>
                <w:szCs w:val="21"/>
                <w:lang w:val="en-US"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870"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3"/>
                <w:rFonts w:hint="eastAsia" w:ascii="仿宋_GB2312" w:hAnsi="仿宋_GB2312" w:eastAsia="仿宋_GB2312" w:cs="仿宋_GB2312"/>
                <w:sz w:val="21"/>
                <w:szCs w:val="21"/>
                <w:lang w:val="en-US" w:eastAsia="zh-CN" w:bidi="ar"/>
              </w:rPr>
              <w:t>混合功能建筑（万m</w:t>
            </w:r>
            <w:r>
              <w:rPr>
                <w:rStyle w:val="14"/>
                <w:rFonts w:hint="eastAsia" w:ascii="仿宋_GB2312" w:hAnsi="仿宋_GB2312" w:eastAsia="仿宋_GB2312" w:cs="仿宋_GB2312"/>
                <w:sz w:val="21"/>
                <w:szCs w:val="21"/>
                <w:lang w:val="en-US" w:eastAsia="zh-CN" w:bidi="ar"/>
              </w:rPr>
              <w:t>2</w:t>
            </w:r>
            <w:r>
              <w:rPr>
                <w:rStyle w:val="13"/>
                <w:rFonts w:hint="eastAsia" w:ascii="仿宋_GB2312" w:hAnsi="仿宋_GB2312" w:eastAsia="仿宋_GB2312" w:cs="仿宋_GB2312"/>
                <w:sz w:val="21"/>
                <w:szCs w:val="21"/>
                <w:lang w:val="en-US" w:eastAsia="zh-CN" w:bidi="ar"/>
              </w:rPr>
              <w:t>）</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660"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城镇绿色工业建筑竣工面积（万m2）</w:t>
            </w: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1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569" w:hRule="atLeast"/>
          <w:jc w:val="center"/>
        </w:trPr>
        <w:tc>
          <w:tcPr>
            <w:tcW w:w="13905" w:type="dxa"/>
            <w:gridSpan w:val="19"/>
            <w:tcBorders>
              <w:top w:val="nil"/>
              <w:left w:val="nil"/>
              <w:bottom w:val="nil"/>
              <w:right w:val="nil"/>
            </w:tcBorders>
            <w:tcMar>
              <w:top w:w="15" w:type="dxa"/>
              <w:left w:w="15" w:type="dxa"/>
              <w:right w:w="15" w:type="dxa"/>
            </w:tcMar>
            <w:vAlign w:val="center"/>
          </w:tcPr>
          <w:p>
            <w:pPr>
              <w:ind w:firstLine="420" w:firstLineChars="200"/>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注：1.本表统计的绿色建筑为按照绿色建筑标准建设的民用建筑；“城镇新建民用建筑中绿色建筑面积占比”中的“新建民用建筑”指新建已竣工</w:t>
            </w:r>
          </w:p>
          <w:p>
            <w:pPr>
              <w:ind w:firstLine="1050" w:firstLineChars="500"/>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的民用建筑。</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2.请于每月22号前报送本月度报表。</w:t>
            </w:r>
          </w:p>
        </w:tc>
      </w:tr>
    </w:tbl>
    <w:p>
      <w:pPr>
        <w:keepNext w:val="0"/>
        <w:keepLines w:val="0"/>
        <w:pageBreakBefore w:val="0"/>
        <w:widowControl w:val="0"/>
        <w:tabs>
          <w:tab w:val="left" w:pos="684"/>
        </w:tabs>
        <w:kinsoku/>
        <w:wordWrap/>
        <w:overflowPunct/>
        <w:topLinePunct w:val="0"/>
        <w:autoSpaceDE/>
        <w:autoSpaceDN/>
        <w:bidi w:val="0"/>
        <w:snapToGrid/>
        <w:spacing w:line="240" w:lineRule="auto"/>
        <w:jc w:val="left"/>
        <w:rPr>
          <w:rFonts w:hint="default"/>
          <w:lang w:val="en-US" w:eastAsia="zh-CN"/>
        </w:rPr>
      </w:pPr>
    </w:p>
    <w:p>
      <w:pPr>
        <w:pStyle w:val="2"/>
        <w:rPr>
          <w:rFonts w:hint="default"/>
          <w:lang w:val="en-US" w:eastAsia="zh-CN"/>
        </w:rPr>
      </w:pPr>
    </w:p>
    <w:tbl>
      <w:tblPr>
        <w:tblStyle w:val="5"/>
        <w:tblpPr w:leftFromText="180" w:rightFromText="180" w:vertAnchor="text" w:horzAnchor="page" w:tblpXSpec="center" w:tblpY="41"/>
        <w:tblOverlap w:val="never"/>
        <w:tblW w:w="14040" w:type="dxa"/>
        <w:jc w:val="center"/>
        <w:tblLayout w:type="fixed"/>
        <w:tblCellMar>
          <w:top w:w="0" w:type="dxa"/>
          <w:left w:w="0" w:type="dxa"/>
          <w:bottom w:w="0" w:type="dxa"/>
          <w:right w:w="0" w:type="dxa"/>
        </w:tblCellMar>
      </w:tblPr>
      <w:tblGrid>
        <w:gridCol w:w="1983"/>
        <w:gridCol w:w="2866"/>
        <w:gridCol w:w="1021"/>
        <w:gridCol w:w="1021"/>
        <w:gridCol w:w="379"/>
        <w:gridCol w:w="221"/>
        <w:gridCol w:w="105"/>
        <w:gridCol w:w="316"/>
        <w:gridCol w:w="224"/>
        <w:gridCol w:w="322"/>
        <w:gridCol w:w="322"/>
        <w:gridCol w:w="153"/>
        <w:gridCol w:w="170"/>
        <w:gridCol w:w="320"/>
        <w:gridCol w:w="323"/>
        <w:gridCol w:w="208"/>
        <w:gridCol w:w="117"/>
        <w:gridCol w:w="323"/>
        <w:gridCol w:w="324"/>
        <w:gridCol w:w="229"/>
        <w:gridCol w:w="28"/>
        <w:gridCol w:w="185"/>
        <w:gridCol w:w="218"/>
        <w:gridCol w:w="224"/>
        <w:gridCol w:w="394"/>
        <w:gridCol w:w="1021"/>
        <w:gridCol w:w="1023"/>
      </w:tblGrid>
      <w:tr>
        <w:tblPrEx>
          <w:tblCellMar>
            <w:top w:w="0" w:type="dxa"/>
            <w:left w:w="0" w:type="dxa"/>
            <w:bottom w:w="0" w:type="dxa"/>
            <w:right w:w="0" w:type="dxa"/>
          </w:tblCellMar>
        </w:tblPrEx>
        <w:trPr>
          <w:trHeight w:val="384" w:hRule="atLeast"/>
          <w:jc w:val="center"/>
        </w:trPr>
        <w:tc>
          <w:tcPr>
            <w:tcW w:w="1983" w:type="dxa"/>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黑体" w:hAnsi="黑体" w:eastAsia="黑体" w:cs="黑体"/>
                <w:i w:val="0"/>
                <w:color w:val="000000"/>
                <w:kern w:val="0"/>
                <w:sz w:val="21"/>
                <w:szCs w:val="21"/>
                <w:u w:val="none"/>
                <w:lang w:val="en-US" w:eastAsia="zh-CN" w:bidi="ar"/>
              </w:rPr>
              <w:t>附件2.</w:t>
            </w:r>
          </w:p>
        </w:tc>
        <w:tc>
          <w:tcPr>
            <w:tcW w:w="2866" w:type="dxa"/>
            <w:tcBorders>
              <w:top w:val="nil"/>
              <w:left w:val="nil"/>
              <w:bottom w:val="nil"/>
              <w:right w:val="nil"/>
            </w:tcBorders>
            <w:tcMar>
              <w:top w:w="15" w:type="dxa"/>
              <w:left w:w="15" w:type="dxa"/>
              <w:right w:w="15" w:type="dxa"/>
            </w:tcMar>
            <w:vAlign w:val="center"/>
          </w:tcPr>
          <w:p>
            <w:pPr>
              <w:jc w:val="right"/>
              <w:rPr>
                <w:rFonts w:hint="eastAsia" w:ascii="仿宋_GB2312" w:hAnsi="仿宋_GB2312" w:eastAsia="仿宋_GB2312" w:cs="仿宋_GB2312"/>
                <w:i w:val="0"/>
                <w:color w:val="000000"/>
                <w:sz w:val="21"/>
                <w:szCs w:val="21"/>
                <w:u w:val="none"/>
              </w:rPr>
            </w:pPr>
          </w:p>
        </w:tc>
        <w:tc>
          <w:tcPr>
            <w:tcW w:w="2421" w:type="dxa"/>
            <w:gridSpan w:val="3"/>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21"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5"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540" w:type="dxa"/>
            <w:gridSpan w:val="2"/>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2"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2"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3" w:type="dxa"/>
            <w:gridSpan w:val="2"/>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0"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3"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5" w:type="dxa"/>
            <w:gridSpan w:val="2"/>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3"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24"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29"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3" w:type="dxa"/>
            <w:gridSpan w:val="2"/>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8"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24" w:type="dxa"/>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438" w:type="dxa"/>
            <w:gridSpan w:val="3"/>
            <w:tcBorders>
              <w:top w:val="nil"/>
              <w:left w:val="nil"/>
              <w:bottom w:val="nil"/>
              <w:right w:val="nil"/>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384" w:hRule="atLeast"/>
          <w:jc w:val="center"/>
        </w:trPr>
        <w:tc>
          <w:tcPr>
            <w:tcW w:w="14040" w:type="dxa"/>
            <w:gridSpan w:val="27"/>
            <w:tcBorders>
              <w:top w:val="nil"/>
              <w:left w:val="nil"/>
              <w:bottom w:val="nil"/>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8"/>
                <w:szCs w:val="28"/>
                <w:u w:val="none"/>
                <w:lang w:val="en-US" w:eastAsia="zh-CN" w:bidi="ar"/>
              </w:rPr>
              <w:t>202</w:t>
            </w:r>
            <w:r>
              <w:rPr>
                <w:rStyle w:val="15"/>
                <w:rFonts w:hint="eastAsia" w:ascii="仿宋_GB2312" w:hAnsi="仿宋_GB2312" w:eastAsia="仿宋_GB2312" w:cs="仿宋_GB2312"/>
                <w:sz w:val="28"/>
                <w:szCs w:val="28"/>
                <w:lang w:val="en-US" w:eastAsia="zh-CN" w:bidi="ar"/>
              </w:rPr>
              <w:t xml:space="preserve">  </w:t>
            </w:r>
            <w:r>
              <w:rPr>
                <w:rFonts w:hint="eastAsia" w:ascii="仿宋_GB2312" w:hAnsi="仿宋_GB2312" w:eastAsia="仿宋_GB2312" w:cs="仿宋_GB2312"/>
                <w:b/>
                <w:i w:val="0"/>
                <w:color w:val="000000"/>
                <w:kern w:val="0"/>
                <w:sz w:val="28"/>
                <w:szCs w:val="28"/>
                <w:u w:val="none"/>
                <w:lang w:val="en-US" w:eastAsia="zh-CN" w:bidi="ar"/>
              </w:rPr>
              <w:t>年</w:t>
            </w:r>
            <w:r>
              <w:rPr>
                <w:rStyle w:val="15"/>
                <w:rFonts w:hint="eastAsia" w:ascii="仿宋_GB2312" w:hAnsi="仿宋_GB2312" w:eastAsia="仿宋_GB2312" w:cs="仿宋_GB2312"/>
                <w:sz w:val="28"/>
                <w:szCs w:val="28"/>
                <w:lang w:val="en-US" w:eastAsia="zh-CN" w:bidi="ar"/>
              </w:rPr>
              <w:t xml:space="preserve">  </w:t>
            </w:r>
            <w:r>
              <w:rPr>
                <w:rFonts w:hint="eastAsia" w:ascii="仿宋_GB2312" w:hAnsi="仿宋_GB2312" w:eastAsia="仿宋_GB2312" w:cs="仿宋_GB2312"/>
                <w:b/>
                <w:i w:val="0"/>
                <w:color w:val="000000"/>
                <w:kern w:val="0"/>
                <w:sz w:val="28"/>
                <w:szCs w:val="28"/>
                <w:u w:val="none"/>
                <w:lang w:val="en-US" w:eastAsia="zh-CN" w:bidi="ar"/>
              </w:rPr>
              <w:t>月份装配式建筑发展情况统计表</w:t>
            </w:r>
          </w:p>
        </w:tc>
      </w:tr>
      <w:tr>
        <w:tblPrEx>
          <w:tblCellMar>
            <w:top w:w="0" w:type="dxa"/>
            <w:left w:w="0" w:type="dxa"/>
            <w:bottom w:w="0" w:type="dxa"/>
            <w:right w:w="0" w:type="dxa"/>
          </w:tblCellMar>
        </w:tblPrEx>
        <w:trPr>
          <w:trHeight w:val="384" w:hRule="atLeast"/>
          <w:jc w:val="center"/>
        </w:trPr>
        <w:tc>
          <w:tcPr>
            <w:tcW w:w="7596" w:type="dxa"/>
            <w:gridSpan w:val="7"/>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b/>
                <w:i w:val="0"/>
                <w:color w:val="000000"/>
                <w:sz w:val="21"/>
                <w:szCs w:val="21"/>
                <w:u w:val="none"/>
                <w:lang w:val="en-US"/>
              </w:rPr>
            </w:pPr>
            <w:r>
              <w:rPr>
                <w:rFonts w:hint="eastAsia" w:ascii="仿宋_GB2312" w:hAnsi="仿宋_GB2312" w:eastAsia="仿宋_GB2312" w:cs="仿宋_GB2312"/>
                <w:b/>
                <w:i w:val="0"/>
                <w:color w:val="000000"/>
                <w:kern w:val="0"/>
                <w:sz w:val="21"/>
                <w:szCs w:val="21"/>
                <w:u w:val="none"/>
                <w:lang w:val="en-US" w:eastAsia="zh-CN" w:bidi="ar"/>
              </w:rPr>
              <w:t>填报单位（盖章）：                            填报人：</w:t>
            </w:r>
          </w:p>
        </w:tc>
        <w:tc>
          <w:tcPr>
            <w:tcW w:w="1827" w:type="dxa"/>
            <w:gridSpan w:val="7"/>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联系电话：</w:t>
            </w:r>
          </w:p>
        </w:tc>
        <w:tc>
          <w:tcPr>
            <w:tcW w:w="1524" w:type="dxa"/>
            <w:gridSpan w:val="6"/>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p>
        </w:tc>
        <w:tc>
          <w:tcPr>
            <w:tcW w:w="3093" w:type="dxa"/>
            <w:gridSpan w:val="7"/>
            <w:tcBorders>
              <w:top w:val="nil"/>
              <w:left w:val="nil"/>
              <w:bottom w:val="nil"/>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Style w:val="16"/>
                <w:rFonts w:hint="eastAsia" w:ascii="仿宋_GB2312" w:hAnsi="仿宋_GB2312" w:eastAsia="仿宋_GB2312" w:cs="仿宋_GB2312"/>
                <w:sz w:val="21"/>
                <w:szCs w:val="21"/>
                <w:lang w:val="en-US" w:eastAsia="zh-CN" w:bidi="ar"/>
              </w:rPr>
              <w:t>填报日期：</w:t>
            </w:r>
            <w:r>
              <w:rPr>
                <w:rFonts w:hint="eastAsia" w:ascii="仿宋_GB2312" w:hAnsi="仿宋_GB2312" w:eastAsia="仿宋_GB2312" w:cs="仿宋_GB2312"/>
                <w:b/>
                <w:i w:val="0"/>
                <w:color w:val="000000"/>
                <w:kern w:val="0"/>
                <w:sz w:val="21"/>
                <w:szCs w:val="21"/>
                <w:u w:val="single"/>
                <w:lang w:val="en-US" w:eastAsia="zh-CN" w:bidi="ar"/>
              </w:rPr>
              <w:t xml:space="preserve">     </w:t>
            </w:r>
            <w:r>
              <w:rPr>
                <w:rStyle w:val="16"/>
                <w:rFonts w:hint="eastAsia" w:ascii="仿宋_GB2312" w:hAnsi="仿宋_GB2312" w:eastAsia="仿宋_GB2312" w:cs="仿宋_GB2312"/>
                <w:sz w:val="21"/>
                <w:szCs w:val="21"/>
                <w:lang w:val="en-US" w:eastAsia="zh-CN" w:bidi="ar"/>
              </w:rPr>
              <w:t>年</w:t>
            </w:r>
            <w:r>
              <w:rPr>
                <w:rFonts w:hint="eastAsia" w:ascii="仿宋_GB2312" w:hAnsi="仿宋_GB2312" w:eastAsia="仿宋_GB2312" w:cs="仿宋_GB2312"/>
                <w:b/>
                <w:i w:val="0"/>
                <w:color w:val="000000"/>
                <w:kern w:val="0"/>
                <w:sz w:val="21"/>
                <w:szCs w:val="21"/>
                <w:u w:val="single"/>
                <w:lang w:val="en-US" w:eastAsia="zh-CN" w:bidi="ar"/>
              </w:rPr>
              <w:t xml:space="preserve">    </w:t>
            </w:r>
            <w:r>
              <w:rPr>
                <w:rStyle w:val="16"/>
                <w:rFonts w:hint="eastAsia" w:ascii="仿宋_GB2312" w:hAnsi="仿宋_GB2312" w:eastAsia="仿宋_GB2312" w:cs="仿宋_GB2312"/>
                <w:sz w:val="21"/>
                <w:szCs w:val="21"/>
                <w:lang w:val="en-US" w:eastAsia="zh-CN" w:bidi="ar"/>
              </w:rPr>
              <w:t>月</w:t>
            </w:r>
            <w:r>
              <w:rPr>
                <w:rFonts w:hint="eastAsia" w:ascii="仿宋_GB2312" w:hAnsi="仿宋_GB2312" w:eastAsia="仿宋_GB2312" w:cs="仿宋_GB2312"/>
                <w:b/>
                <w:i w:val="0"/>
                <w:color w:val="000000"/>
                <w:kern w:val="0"/>
                <w:sz w:val="21"/>
                <w:szCs w:val="21"/>
                <w:u w:val="single"/>
                <w:lang w:val="en-US" w:eastAsia="zh-CN" w:bidi="ar"/>
              </w:rPr>
              <w:t xml:space="preserve">    </w:t>
            </w:r>
            <w:r>
              <w:rPr>
                <w:rStyle w:val="16"/>
                <w:rFonts w:hint="eastAsia" w:ascii="仿宋_GB2312" w:hAnsi="仿宋_GB2312" w:eastAsia="仿宋_GB2312" w:cs="仿宋_GB2312"/>
                <w:sz w:val="21"/>
                <w:szCs w:val="21"/>
                <w:lang w:val="en-US" w:eastAsia="zh-CN" w:bidi="ar"/>
              </w:rPr>
              <w:t>日</w:t>
            </w: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统计类别</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市直</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市城区</w:t>
            </w: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陆丰市</w:t>
            </w: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海丰县</w:t>
            </w: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陆河县</w:t>
            </w: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红海湾</w:t>
            </w: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华侨</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新区</w:t>
            </w: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7"/>
                <w:rFonts w:hint="eastAsia" w:ascii="仿宋_GB2312" w:hAnsi="仿宋_GB2312" w:eastAsia="仿宋_GB2312" w:cs="仿宋_GB2312"/>
                <w:sz w:val="21"/>
                <w:szCs w:val="21"/>
                <w:lang w:val="en-US" w:eastAsia="zh-CN" w:bidi="ar"/>
              </w:rPr>
              <w:t>新开工建筑总面积（万</w:t>
            </w:r>
            <w:r>
              <w:rPr>
                <w:rFonts w:hint="eastAsia" w:ascii="仿宋_GB2312" w:hAnsi="仿宋_GB2312" w:eastAsia="仿宋_GB2312" w:cs="仿宋_GB2312"/>
                <w:i w:val="0"/>
                <w:color w:val="000000"/>
                <w:kern w:val="0"/>
                <w:sz w:val="21"/>
                <w:szCs w:val="21"/>
                <w:u w:val="none"/>
                <w:lang w:val="en-US" w:eastAsia="zh-CN" w:bidi="ar"/>
              </w:rPr>
              <w:t>m2</w:t>
            </w:r>
            <w:r>
              <w:rPr>
                <w:rStyle w:val="17"/>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7"/>
                <w:rFonts w:hint="eastAsia" w:ascii="仿宋_GB2312" w:hAnsi="仿宋_GB2312" w:eastAsia="仿宋_GB2312" w:cs="仿宋_GB2312"/>
                <w:sz w:val="21"/>
                <w:szCs w:val="21"/>
                <w:lang w:val="en-US" w:eastAsia="zh-CN" w:bidi="ar"/>
              </w:rPr>
              <w:t>新开工装配式建筑面积</w:t>
            </w:r>
            <w:r>
              <w:rPr>
                <w:rFonts w:hint="eastAsia" w:ascii="仿宋_GB2312" w:hAnsi="仿宋_GB2312" w:eastAsia="仿宋_GB2312" w:cs="仿宋_GB2312"/>
                <w:i w:val="0"/>
                <w:color w:val="000000"/>
                <w:kern w:val="0"/>
                <w:sz w:val="21"/>
                <w:szCs w:val="21"/>
                <w:u w:val="none"/>
                <w:lang w:val="en-US" w:eastAsia="zh-CN" w:bidi="ar"/>
              </w:rPr>
              <w:t>(</w:t>
            </w:r>
            <w:r>
              <w:rPr>
                <w:rStyle w:val="17"/>
                <w:rFonts w:hint="eastAsia" w:ascii="仿宋_GB2312" w:hAnsi="仿宋_GB2312" w:eastAsia="仿宋_GB2312" w:cs="仿宋_GB2312"/>
                <w:sz w:val="21"/>
                <w:szCs w:val="21"/>
                <w:lang w:val="en-US" w:eastAsia="zh-CN" w:bidi="ar"/>
              </w:rPr>
              <w:t>万</w:t>
            </w:r>
            <w:r>
              <w:rPr>
                <w:rFonts w:hint="eastAsia" w:ascii="仿宋_GB2312" w:hAnsi="仿宋_GB2312" w:eastAsia="仿宋_GB2312" w:cs="仿宋_GB2312"/>
                <w:i w:val="0"/>
                <w:color w:val="000000"/>
                <w:kern w:val="0"/>
                <w:sz w:val="21"/>
                <w:szCs w:val="21"/>
                <w:u w:val="none"/>
                <w:lang w:val="en-US" w:eastAsia="zh-CN" w:bidi="ar"/>
              </w:rPr>
              <w:t>m2</w:t>
            </w:r>
            <w:r>
              <w:rPr>
                <w:rStyle w:val="17"/>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7"/>
                <w:rFonts w:hint="eastAsia" w:ascii="仿宋_GB2312" w:hAnsi="仿宋_GB2312" w:eastAsia="仿宋_GB2312" w:cs="仿宋_GB2312"/>
                <w:sz w:val="21"/>
                <w:szCs w:val="21"/>
                <w:lang w:val="en-US" w:eastAsia="zh-CN" w:bidi="ar"/>
              </w:rPr>
              <w:t>新开工装配式面积在新开工工程总面积的占比（</w:t>
            </w:r>
            <w:r>
              <w:rPr>
                <w:rFonts w:hint="eastAsia" w:ascii="仿宋_GB2312" w:hAnsi="仿宋_GB2312" w:eastAsia="仿宋_GB2312" w:cs="仿宋_GB2312"/>
                <w:i w:val="0"/>
                <w:color w:val="000000"/>
                <w:kern w:val="0"/>
                <w:sz w:val="21"/>
                <w:szCs w:val="21"/>
                <w:u w:val="none"/>
                <w:lang w:val="en-US" w:eastAsia="zh-CN" w:bidi="ar"/>
              </w:rPr>
              <w:t>%</w:t>
            </w:r>
            <w:r>
              <w:rPr>
                <w:rStyle w:val="17"/>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7"/>
                <w:rFonts w:hint="eastAsia" w:ascii="仿宋_GB2312" w:hAnsi="仿宋_GB2312" w:eastAsia="仿宋_GB2312" w:cs="仿宋_GB2312"/>
                <w:sz w:val="21"/>
                <w:szCs w:val="21"/>
                <w:lang w:val="en-US" w:eastAsia="zh-CN" w:bidi="ar"/>
              </w:rPr>
              <w:t>竣工建筑总面积（万</w:t>
            </w:r>
            <w:r>
              <w:rPr>
                <w:rFonts w:hint="eastAsia" w:ascii="仿宋_GB2312" w:hAnsi="仿宋_GB2312" w:eastAsia="仿宋_GB2312" w:cs="仿宋_GB2312"/>
                <w:i w:val="0"/>
                <w:color w:val="000000"/>
                <w:kern w:val="0"/>
                <w:sz w:val="21"/>
                <w:szCs w:val="21"/>
                <w:u w:val="none"/>
                <w:lang w:val="en-US" w:eastAsia="zh-CN" w:bidi="ar"/>
              </w:rPr>
              <w:t>m2</w:t>
            </w:r>
            <w:r>
              <w:rPr>
                <w:rStyle w:val="17"/>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7"/>
                <w:rFonts w:hint="eastAsia" w:ascii="仿宋_GB2312" w:hAnsi="仿宋_GB2312" w:eastAsia="仿宋_GB2312" w:cs="仿宋_GB2312"/>
                <w:sz w:val="21"/>
                <w:szCs w:val="21"/>
                <w:lang w:val="en-US" w:eastAsia="zh-CN" w:bidi="ar"/>
              </w:rPr>
              <w:t>竣工装配式建筑面积（万</w:t>
            </w:r>
            <w:r>
              <w:rPr>
                <w:rFonts w:hint="eastAsia" w:ascii="仿宋_GB2312" w:hAnsi="仿宋_GB2312" w:eastAsia="仿宋_GB2312" w:cs="仿宋_GB2312"/>
                <w:i w:val="0"/>
                <w:color w:val="000000"/>
                <w:kern w:val="0"/>
                <w:sz w:val="21"/>
                <w:szCs w:val="21"/>
                <w:u w:val="none"/>
                <w:lang w:val="en-US" w:eastAsia="zh-CN" w:bidi="ar"/>
              </w:rPr>
              <w:t>m2</w:t>
            </w:r>
            <w:r>
              <w:rPr>
                <w:rStyle w:val="17"/>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7"/>
                <w:rFonts w:hint="eastAsia" w:ascii="仿宋_GB2312" w:hAnsi="仿宋_GB2312" w:eastAsia="仿宋_GB2312" w:cs="仿宋_GB2312"/>
                <w:sz w:val="21"/>
                <w:szCs w:val="21"/>
                <w:lang w:val="en-US" w:eastAsia="zh-CN" w:bidi="ar"/>
              </w:rPr>
              <w:t>竣工装配式建筑占竣工建筑面积比例（</w:t>
            </w:r>
            <w:r>
              <w:rPr>
                <w:rFonts w:hint="eastAsia" w:ascii="仿宋_GB2312" w:hAnsi="仿宋_GB2312" w:eastAsia="仿宋_GB2312" w:cs="仿宋_GB2312"/>
                <w:i w:val="0"/>
                <w:color w:val="000000"/>
                <w:kern w:val="0"/>
                <w:sz w:val="21"/>
                <w:szCs w:val="21"/>
                <w:u w:val="none"/>
                <w:lang w:val="en-US" w:eastAsia="zh-CN" w:bidi="ar"/>
              </w:rPr>
              <w:t>%</w:t>
            </w:r>
            <w:r>
              <w:rPr>
                <w:rStyle w:val="17"/>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新开工全装修住宅建筑面积（万m2）</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新开工装配化装修住宅建筑面积（万m2）</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新开工政府投资工程总面积（万m2）</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新开工政府投资工程装配式建筑面积（万m2）</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756" w:hRule="atLeast"/>
          <w:jc w:val="center"/>
        </w:trPr>
        <w:tc>
          <w:tcPr>
            <w:tcW w:w="4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7"/>
                <w:rFonts w:hint="eastAsia" w:ascii="仿宋_GB2312" w:hAnsi="仿宋_GB2312" w:eastAsia="仿宋_GB2312" w:cs="仿宋_GB2312"/>
                <w:sz w:val="21"/>
                <w:szCs w:val="21"/>
                <w:lang w:val="en-US" w:eastAsia="zh-CN" w:bidi="ar"/>
              </w:rPr>
              <w:t>新开工政府投资工程装配式面积在新开工政府投资工程总面积的占比（</w:t>
            </w:r>
            <w:r>
              <w:rPr>
                <w:rFonts w:hint="eastAsia" w:ascii="仿宋_GB2312" w:hAnsi="仿宋_GB2312" w:eastAsia="仿宋_GB2312" w:cs="仿宋_GB2312"/>
                <w:i w:val="0"/>
                <w:color w:val="000000"/>
                <w:kern w:val="0"/>
                <w:sz w:val="21"/>
                <w:szCs w:val="21"/>
                <w:u w:val="none"/>
                <w:lang w:val="en-US" w:eastAsia="zh-CN" w:bidi="ar"/>
              </w:rPr>
              <w:t>%</w:t>
            </w:r>
            <w:r>
              <w:rPr>
                <w:rStyle w:val="17"/>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restart"/>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其中，新开工装配式建筑面积按建筑类型分类</w:t>
            </w: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保障性住房（万m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商品住房（万m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公共建筑（万m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其他（万m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restart"/>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其中，新开工装配式建筑面积按结构形式分类</w:t>
            </w: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9"/>
                <w:rFonts w:hint="eastAsia" w:ascii="仿宋_GB2312" w:hAnsi="仿宋_GB2312" w:eastAsia="仿宋_GB2312" w:cs="仿宋_GB2312"/>
                <w:sz w:val="21"/>
                <w:szCs w:val="21"/>
                <w:lang w:val="en-US" w:eastAsia="zh-CN" w:bidi="ar"/>
              </w:rPr>
              <w:t>装配式混凝土结构建筑（万</w:t>
            </w:r>
            <w:r>
              <w:rPr>
                <w:rStyle w:val="20"/>
                <w:rFonts w:hint="eastAsia" w:ascii="仿宋_GB2312" w:hAnsi="仿宋_GB2312" w:eastAsia="仿宋_GB2312" w:cs="仿宋_GB2312"/>
                <w:sz w:val="21"/>
                <w:szCs w:val="21"/>
                <w:lang w:val="en-US" w:eastAsia="zh-CN" w:bidi="ar"/>
              </w:rPr>
              <w:t>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Style w:val="19"/>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9"/>
                <w:rFonts w:hint="eastAsia" w:ascii="仿宋_GB2312" w:hAnsi="仿宋_GB2312" w:eastAsia="仿宋_GB2312" w:cs="仿宋_GB2312"/>
                <w:sz w:val="21"/>
                <w:szCs w:val="21"/>
                <w:lang w:val="en-US" w:eastAsia="zh-CN" w:bidi="ar"/>
              </w:rPr>
              <w:t>装配式钢结构建筑（万m</w:t>
            </w:r>
            <w:r>
              <w:rPr>
                <w:rStyle w:val="21"/>
                <w:rFonts w:hint="eastAsia" w:ascii="仿宋_GB2312" w:hAnsi="仿宋_GB2312" w:eastAsia="仿宋_GB2312" w:cs="仿宋_GB2312"/>
                <w:sz w:val="21"/>
                <w:szCs w:val="21"/>
                <w:lang w:val="en-US" w:eastAsia="zh-CN" w:bidi="ar"/>
              </w:rPr>
              <w:t>2</w:t>
            </w:r>
            <w:r>
              <w:rPr>
                <w:rStyle w:val="19"/>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其中钢结构住宅（万m2）</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其他（万</w:t>
            </w:r>
            <w:r>
              <w:rPr>
                <w:rStyle w:val="22"/>
                <w:rFonts w:hint="eastAsia" w:ascii="仿宋_GB2312" w:hAnsi="仿宋_GB2312" w:eastAsia="仿宋_GB2312" w:cs="仿宋_GB2312"/>
                <w:sz w:val="21"/>
                <w:szCs w:val="21"/>
                <w:lang w:val="en-US" w:eastAsia="zh-CN" w:bidi="ar"/>
              </w:rPr>
              <w:t>m</w:t>
            </w:r>
            <w:r>
              <w:rPr>
                <w:rStyle w:val="23"/>
                <w:rFonts w:hint="eastAsia" w:ascii="仿宋_GB2312" w:hAnsi="仿宋_GB2312" w:eastAsia="仿宋_GB2312" w:cs="仿宋_GB2312"/>
                <w:sz w:val="21"/>
                <w:szCs w:val="21"/>
                <w:lang w:val="en-US" w:eastAsia="zh-CN" w:bidi="ar"/>
              </w:rPr>
              <w:t>2</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装配式混凝土预制构配件生产情况</w:t>
            </w: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企业数量（家）</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生产线（条）</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设计产能（万m</w:t>
            </w:r>
            <w:r>
              <w:rPr>
                <w:rFonts w:hint="eastAsia" w:ascii="仿宋_GB2312" w:hAnsi="仿宋_GB2312" w:eastAsia="仿宋_GB2312" w:cs="仿宋_GB2312"/>
                <w:i w:val="0"/>
                <w:color w:val="000000"/>
                <w:kern w:val="0"/>
                <w:sz w:val="21"/>
                <w:szCs w:val="21"/>
                <w:u w:val="none"/>
                <w:vertAlign w:val="superscript"/>
                <w:lang w:val="en-US" w:eastAsia="zh-CN" w:bidi="ar"/>
              </w:rPr>
              <w:t>3</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实际产能（万m</w:t>
            </w:r>
            <w:r>
              <w:rPr>
                <w:rFonts w:hint="eastAsia" w:ascii="仿宋_GB2312" w:hAnsi="仿宋_GB2312" w:eastAsia="仿宋_GB2312" w:cs="仿宋_GB2312"/>
                <w:i w:val="0"/>
                <w:color w:val="000000"/>
                <w:kern w:val="0"/>
                <w:sz w:val="21"/>
                <w:szCs w:val="21"/>
                <w:u w:val="none"/>
                <w:vertAlign w:val="superscript"/>
                <w:lang w:val="en-US" w:eastAsia="zh-CN" w:bidi="ar"/>
              </w:rPr>
              <w:t>3</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000000" w:sz="4" w:space="0"/>
              <w:left w:val="single" w:color="000000" w:sz="4" w:space="0"/>
              <w:bottom w:val="single" w:color="auto" w:sz="4" w:space="0"/>
              <w:right w:val="single" w:color="000000"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应用（万m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Style w:val="18"/>
                <w:rFonts w:hint="eastAsia" w:ascii="仿宋_GB2312" w:hAnsi="仿宋_GB2312" w:eastAsia="仿宋_GB2312" w:cs="仿宋_GB2312"/>
                <w:sz w:val="21"/>
                <w:szCs w:val="21"/>
                <w:lang w:val="en-US" w:eastAsia="zh-CN" w:bidi="ar"/>
              </w:rPr>
              <w:t>）</w:t>
            </w:r>
          </w:p>
        </w:tc>
        <w:tc>
          <w:tcPr>
            <w:tcW w:w="102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000000" w:sz="4" w:space="0"/>
              <w:left w:val="single" w:color="000000" w:sz="4" w:space="0"/>
              <w:bottom w:val="single" w:color="auto" w:sz="4" w:space="0"/>
              <w:right w:val="single" w:color="000000"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restart"/>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装配式钢结构构件生产情况</w:t>
            </w:r>
          </w:p>
        </w:tc>
        <w:tc>
          <w:tcPr>
            <w:tcW w:w="2866"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企业数量（家）</w:t>
            </w: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生产线（条）</w:t>
            </w: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设计产能（万吨）</w:t>
            </w: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实际产能（万吨）</w:t>
            </w: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404" w:hRule="atLeast"/>
          <w:jc w:val="center"/>
        </w:trPr>
        <w:tc>
          <w:tcPr>
            <w:tcW w:w="1983" w:type="dxa"/>
            <w:vMerge w:val="continue"/>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866"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Style w:val="18"/>
                <w:rFonts w:hint="eastAsia" w:ascii="仿宋_GB2312" w:hAnsi="仿宋_GB2312" w:eastAsia="仿宋_GB2312" w:cs="仿宋_GB2312"/>
                <w:sz w:val="21"/>
                <w:szCs w:val="21"/>
                <w:lang w:val="en-US" w:eastAsia="zh-CN" w:bidi="ar"/>
              </w:rPr>
              <w:t>应用（万m</w:t>
            </w:r>
            <w:r>
              <w:rPr>
                <w:rFonts w:hint="eastAsia" w:ascii="仿宋_GB2312" w:hAnsi="仿宋_GB2312" w:eastAsia="仿宋_GB2312" w:cs="仿宋_GB2312"/>
                <w:i w:val="0"/>
                <w:color w:val="000000"/>
                <w:kern w:val="0"/>
                <w:sz w:val="21"/>
                <w:szCs w:val="21"/>
                <w:u w:val="none"/>
                <w:vertAlign w:val="superscript"/>
                <w:lang w:val="en-US" w:eastAsia="zh-CN" w:bidi="ar"/>
              </w:rPr>
              <w:t>2</w:t>
            </w:r>
            <w:r>
              <w:rPr>
                <w:rStyle w:val="18"/>
                <w:rFonts w:hint="eastAsia" w:ascii="仿宋_GB2312" w:hAnsi="仿宋_GB2312" w:eastAsia="仿宋_GB2312" w:cs="仿宋_GB2312"/>
                <w:sz w:val="21"/>
                <w:szCs w:val="21"/>
                <w:lang w:val="en-US" w:eastAsia="zh-CN" w:bidi="ar"/>
              </w:rPr>
              <w:t>）</w:t>
            </w: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023" w:type="dxa"/>
            <w:tcBorders>
              <w:top w:val="single" w:color="auto" w:sz="4" w:space="0"/>
              <w:left w:val="single" w:color="auto" w:sz="4" w:space="0"/>
              <w:bottom w:val="single" w:color="auto" w:sz="4" w:space="0"/>
              <w:right w:val="single" w:color="auto" w:sz="4" w:space="0"/>
              <w:tl2br w:val="single" w:color="FFFFFF" w:sz="4" w:space="0"/>
            </w:tcBorders>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CellMar>
            <w:top w:w="0" w:type="dxa"/>
            <w:left w:w="0" w:type="dxa"/>
            <w:bottom w:w="0" w:type="dxa"/>
            <w:right w:w="0" w:type="dxa"/>
          </w:tblCellMar>
        </w:tblPrEx>
        <w:trPr>
          <w:trHeight w:val="1350" w:hRule="atLeast"/>
          <w:jc w:val="center"/>
        </w:trPr>
        <w:tc>
          <w:tcPr>
            <w:tcW w:w="14040" w:type="dxa"/>
            <w:gridSpan w:val="27"/>
            <w:tcBorders>
              <w:top w:val="single" w:color="auto" w:sz="4" w:space="0"/>
              <w:left w:val="nil"/>
              <w:bottom w:val="nil"/>
              <w:right w:val="nil"/>
            </w:tcBorders>
            <w:tcMar>
              <w:top w:w="15" w:type="dxa"/>
              <w:left w:w="15" w:type="dxa"/>
              <w:right w:w="15" w:type="dxa"/>
            </w:tcMar>
            <w:vAlign w:val="center"/>
          </w:tcPr>
          <w:p>
            <w:pPr>
              <w:keepNext w:val="0"/>
              <w:keepLines w:val="0"/>
              <w:widowControl/>
              <w:suppressLineNumbers w:val="0"/>
              <w:ind w:firstLine="420" w:firstLineChars="200"/>
              <w:jc w:val="left"/>
              <w:textAlignment w:val="center"/>
              <w:rPr>
                <w:rFonts w:hint="eastAsia" w:ascii="Calibri" w:hAnsi="Calibri" w:eastAsia="宋体" w:cs="Times New Roman"/>
                <w:lang w:val="en-US" w:eastAsia="zh-CN"/>
              </w:rPr>
            </w:pPr>
            <w:r>
              <w:rPr>
                <w:rFonts w:hint="eastAsia" w:ascii="Calibri" w:hAnsi="Calibri" w:eastAsia="宋体" w:cs="Times New Roman"/>
                <w:lang w:val="en-US" w:eastAsia="zh-CN"/>
              </w:rPr>
              <w:t>注：1.构件产能如有其他单位的请注明。</w:t>
            </w:r>
            <w:r>
              <w:rPr>
                <w:rFonts w:hint="eastAsia" w:ascii="Calibri" w:hAnsi="Calibri" w:eastAsia="宋体" w:cs="Times New Roman"/>
                <w:lang w:val="en-US" w:eastAsia="zh-CN"/>
              </w:rPr>
              <w:br w:type="textWrapping"/>
            </w:r>
            <w:r>
              <w:rPr>
                <w:rFonts w:hint="eastAsia" w:ascii="Calibri" w:hAnsi="Calibri" w:eastAsia="宋体" w:cs="Times New Roman"/>
                <w:lang w:val="en-US" w:eastAsia="zh-CN"/>
              </w:rPr>
              <w:t xml:space="preserve">        2.请注意填写逻辑，新开工装配式建筑面积按建筑类型分类的累加数和新开工装配式建筑面积按结构形式分类的累加数应该等于前文的新开工</w:t>
            </w:r>
          </w:p>
          <w:p>
            <w:pPr>
              <w:keepNext w:val="0"/>
              <w:keepLines w:val="0"/>
              <w:widowControl/>
              <w:suppressLineNumbers w:val="0"/>
              <w:ind w:firstLine="1050" w:firstLineChars="500"/>
              <w:jc w:val="left"/>
              <w:textAlignment w:val="center"/>
              <w:rPr>
                <w:rFonts w:hint="eastAsia" w:ascii="Calibri" w:hAnsi="Calibri" w:eastAsia="宋体" w:cs="Times New Roman"/>
                <w:lang w:val="en-US" w:eastAsia="zh-CN"/>
              </w:rPr>
            </w:pPr>
            <w:r>
              <w:rPr>
                <w:rFonts w:hint="eastAsia" w:ascii="Calibri" w:hAnsi="Calibri" w:eastAsia="宋体" w:cs="Times New Roman"/>
                <w:lang w:val="en-US" w:eastAsia="zh-CN"/>
              </w:rPr>
              <w:t>装配式建筑面积。</w:t>
            </w:r>
          </w:p>
          <w:p>
            <w:pPr>
              <w:widowControl w:val="0"/>
              <w:adjustRightInd w:val="0"/>
              <w:spacing w:line="360" w:lineRule="auto"/>
              <w:ind w:firstLine="840" w:firstLineChars="400"/>
              <w:jc w:val="both"/>
              <w:textAlignment w:val="baseline"/>
              <w:rPr>
                <w:rFonts w:hint="eastAsia" w:ascii="Calibri" w:hAnsi="Calibri" w:eastAsia="仿宋_GB2312" w:cs="Times New Roman"/>
                <w:kern w:val="0"/>
                <w:sz w:val="32"/>
                <w:szCs w:val="24"/>
                <w:lang w:val="en-US" w:eastAsia="zh-CN" w:bidi="ar-SA"/>
              </w:rPr>
            </w:pPr>
            <w:r>
              <w:rPr>
                <w:rFonts w:hint="eastAsia" w:ascii="Calibri" w:hAnsi="Calibri" w:eastAsia="宋体" w:cs="Times New Roman"/>
                <w:kern w:val="2"/>
                <w:sz w:val="21"/>
                <w:szCs w:val="24"/>
                <w:lang w:val="en-US" w:eastAsia="zh-CN" w:bidi="ar-SA"/>
              </w:rPr>
              <w:t>3.请于每月22号前报送本月度报表。</w:t>
            </w:r>
          </w:p>
        </w:tc>
      </w:tr>
    </w:tbl>
    <w:p>
      <w:pPr>
        <w:rPr>
          <w:rFonts w:hint="default"/>
          <w:lang w:val="en-US" w:eastAsia="zh-CN"/>
        </w:rPr>
      </w:pPr>
    </w:p>
    <w:sectPr>
      <w:footerReference r:id="rId3" w:type="default"/>
      <w:pgSz w:w="16838" w:h="11906" w:orient="landscape"/>
      <w:pgMar w:top="1587" w:right="1678" w:bottom="1474" w:left="1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25D5A"/>
    <w:rsid w:val="0B025D5A"/>
    <w:rsid w:val="111A236A"/>
    <w:rsid w:val="14C91F91"/>
    <w:rsid w:val="18D62FAF"/>
    <w:rsid w:val="1E8176EB"/>
    <w:rsid w:val="275C02ED"/>
    <w:rsid w:val="32D67E8D"/>
    <w:rsid w:val="3F0E428A"/>
    <w:rsid w:val="41A25D3E"/>
    <w:rsid w:val="42380450"/>
    <w:rsid w:val="436A5D10"/>
    <w:rsid w:val="443D5DE1"/>
    <w:rsid w:val="48DF1893"/>
    <w:rsid w:val="554A791A"/>
    <w:rsid w:val="559C0DB9"/>
    <w:rsid w:val="57B35565"/>
    <w:rsid w:val="63640C4D"/>
    <w:rsid w:val="64D94BE3"/>
    <w:rsid w:val="66C86171"/>
    <w:rsid w:val="69EF02B7"/>
    <w:rsid w:val="6E5673E4"/>
    <w:rsid w:val="7E8F52F6"/>
    <w:rsid w:val="FFE98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uto"/>
      <w:ind w:firstLine="420"/>
      <w:textAlignment w:val="baseline"/>
    </w:pPr>
    <w:rPr>
      <w:rFonts w:eastAsia="仿宋_GB2312"/>
      <w:kern w:val="0"/>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hint="eastAsia" w:ascii="宋体" w:hAnsi="宋体" w:eastAsia="宋体" w:cs="宋体"/>
      <w:b/>
      <w:color w:val="000000"/>
      <w:sz w:val="56"/>
      <w:szCs w:val="56"/>
      <w:u w:val="none"/>
    </w:rPr>
  </w:style>
  <w:style w:type="character" w:customStyle="1" w:styleId="9">
    <w:name w:val="font21"/>
    <w:basedOn w:val="7"/>
    <w:qFormat/>
    <w:uiPriority w:val="0"/>
    <w:rPr>
      <w:rFonts w:hint="eastAsia" w:ascii="宋体" w:hAnsi="宋体" w:eastAsia="宋体" w:cs="宋体"/>
      <w:b/>
      <w:color w:val="000000"/>
      <w:sz w:val="56"/>
      <w:szCs w:val="56"/>
      <w:u w:val="single"/>
    </w:rPr>
  </w:style>
  <w:style w:type="character" w:customStyle="1" w:styleId="10">
    <w:name w:val="font131"/>
    <w:basedOn w:val="7"/>
    <w:qFormat/>
    <w:uiPriority w:val="0"/>
    <w:rPr>
      <w:rFonts w:hint="eastAsia" w:ascii="宋体" w:hAnsi="宋体" w:eastAsia="宋体" w:cs="宋体"/>
      <w:color w:val="000000"/>
      <w:sz w:val="36"/>
      <w:szCs w:val="36"/>
      <w:u w:val="none"/>
    </w:rPr>
  </w:style>
  <w:style w:type="character" w:customStyle="1" w:styleId="11">
    <w:name w:val="font71"/>
    <w:basedOn w:val="7"/>
    <w:qFormat/>
    <w:uiPriority w:val="0"/>
    <w:rPr>
      <w:rFonts w:hint="default" w:ascii="Times New Roman" w:hAnsi="Times New Roman" w:cs="Times New Roman"/>
      <w:color w:val="000000"/>
      <w:sz w:val="36"/>
      <w:szCs w:val="36"/>
      <w:u w:val="none"/>
    </w:rPr>
  </w:style>
  <w:style w:type="character" w:customStyle="1" w:styleId="12">
    <w:name w:val="font81"/>
    <w:basedOn w:val="7"/>
    <w:qFormat/>
    <w:uiPriority w:val="0"/>
    <w:rPr>
      <w:rFonts w:hint="eastAsia" w:ascii="宋体" w:hAnsi="宋体" w:eastAsia="宋体" w:cs="宋体"/>
      <w:color w:val="000000"/>
      <w:sz w:val="36"/>
      <w:szCs w:val="36"/>
      <w:u w:val="none"/>
      <w:vertAlign w:val="superscript"/>
    </w:rPr>
  </w:style>
  <w:style w:type="character" w:customStyle="1" w:styleId="13">
    <w:name w:val="font91"/>
    <w:basedOn w:val="7"/>
    <w:qFormat/>
    <w:uiPriority w:val="0"/>
    <w:rPr>
      <w:rFonts w:hint="eastAsia" w:ascii="宋体" w:hAnsi="宋体" w:eastAsia="宋体" w:cs="宋体"/>
      <w:color w:val="000000"/>
      <w:sz w:val="32"/>
      <w:szCs w:val="32"/>
      <w:u w:val="none"/>
    </w:rPr>
  </w:style>
  <w:style w:type="character" w:customStyle="1" w:styleId="14">
    <w:name w:val="font11"/>
    <w:basedOn w:val="7"/>
    <w:qFormat/>
    <w:uiPriority w:val="0"/>
    <w:rPr>
      <w:rFonts w:hint="eastAsia" w:ascii="宋体" w:hAnsi="宋体" w:eastAsia="宋体" w:cs="宋体"/>
      <w:color w:val="000000"/>
      <w:sz w:val="32"/>
      <w:szCs w:val="32"/>
      <w:u w:val="none"/>
      <w:vertAlign w:val="superscript"/>
    </w:rPr>
  </w:style>
  <w:style w:type="character" w:customStyle="1" w:styleId="15">
    <w:name w:val="font31"/>
    <w:qFormat/>
    <w:uiPriority w:val="0"/>
    <w:rPr>
      <w:rFonts w:hint="eastAsia" w:ascii="宋体" w:hAnsi="宋体" w:eastAsia="宋体" w:cs="宋体"/>
      <w:b/>
      <w:color w:val="000000"/>
      <w:sz w:val="72"/>
      <w:szCs w:val="72"/>
      <w:u w:val="single"/>
    </w:rPr>
  </w:style>
  <w:style w:type="character" w:customStyle="1" w:styleId="16">
    <w:name w:val="font191"/>
    <w:qFormat/>
    <w:uiPriority w:val="0"/>
    <w:rPr>
      <w:rFonts w:hint="eastAsia" w:ascii="宋体" w:hAnsi="宋体" w:eastAsia="宋体" w:cs="宋体"/>
      <w:b/>
      <w:color w:val="000000"/>
      <w:sz w:val="28"/>
      <w:szCs w:val="28"/>
      <w:u w:val="none"/>
    </w:rPr>
  </w:style>
  <w:style w:type="character" w:customStyle="1" w:styleId="17">
    <w:name w:val="font201"/>
    <w:qFormat/>
    <w:uiPriority w:val="0"/>
    <w:rPr>
      <w:rFonts w:hint="eastAsia" w:ascii="宋体" w:hAnsi="宋体" w:eastAsia="宋体" w:cs="宋体"/>
      <w:color w:val="000000"/>
      <w:sz w:val="23"/>
      <w:szCs w:val="23"/>
      <w:u w:val="none"/>
    </w:rPr>
  </w:style>
  <w:style w:type="character" w:customStyle="1" w:styleId="18">
    <w:name w:val="font161"/>
    <w:qFormat/>
    <w:uiPriority w:val="0"/>
    <w:rPr>
      <w:rFonts w:hint="eastAsia" w:ascii="宋体" w:hAnsi="宋体" w:eastAsia="宋体" w:cs="宋体"/>
      <w:color w:val="000000"/>
      <w:sz w:val="23"/>
      <w:szCs w:val="23"/>
      <w:u w:val="none"/>
    </w:rPr>
  </w:style>
  <w:style w:type="character" w:customStyle="1" w:styleId="19">
    <w:name w:val="font151"/>
    <w:qFormat/>
    <w:uiPriority w:val="0"/>
    <w:rPr>
      <w:rFonts w:hint="eastAsia" w:ascii="宋体" w:hAnsi="宋体" w:eastAsia="宋体" w:cs="宋体"/>
      <w:color w:val="000000"/>
      <w:sz w:val="23"/>
      <w:szCs w:val="23"/>
      <w:u w:val="none"/>
    </w:rPr>
  </w:style>
  <w:style w:type="character" w:customStyle="1" w:styleId="20">
    <w:name w:val="font121"/>
    <w:qFormat/>
    <w:uiPriority w:val="0"/>
    <w:rPr>
      <w:rFonts w:hint="default" w:ascii="Times New Roman" w:hAnsi="Times New Roman" w:cs="Times New Roman"/>
      <w:color w:val="000000"/>
      <w:sz w:val="23"/>
      <w:szCs w:val="23"/>
      <w:u w:val="none"/>
    </w:rPr>
  </w:style>
  <w:style w:type="character" w:customStyle="1" w:styleId="21">
    <w:name w:val="font112"/>
    <w:qFormat/>
    <w:uiPriority w:val="0"/>
    <w:rPr>
      <w:rFonts w:hint="eastAsia" w:ascii="宋体" w:hAnsi="宋体" w:eastAsia="宋体" w:cs="宋体"/>
      <w:color w:val="000000"/>
      <w:sz w:val="23"/>
      <w:szCs w:val="23"/>
      <w:u w:val="none"/>
      <w:vertAlign w:val="superscript"/>
    </w:rPr>
  </w:style>
  <w:style w:type="character" w:customStyle="1" w:styleId="22">
    <w:name w:val="font101"/>
    <w:qFormat/>
    <w:uiPriority w:val="0"/>
    <w:rPr>
      <w:rFonts w:hint="default" w:ascii="Times New Roman" w:hAnsi="Times New Roman" w:cs="Times New Roman"/>
      <w:color w:val="000000"/>
      <w:sz w:val="23"/>
      <w:szCs w:val="23"/>
      <w:u w:val="none"/>
    </w:rPr>
  </w:style>
  <w:style w:type="character" w:customStyle="1" w:styleId="23">
    <w:name w:val="font01"/>
    <w:qFormat/>
    <w:uiPriority w:val="0"/>
    <w:rPr>
      <w:rFonts w:hint="default" w:ascii="Times New Roman" w:hAnsi="Times New Roman" w:cs="Times New Roman"/>
      <w:color w:val="000000"/>
      <w:sz w:val="23"/>
      <w:szCs w:val="23"/>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2021-12-02T15:24:00Z</dcterms:created>
  <dc:creator>陈绮萱</dc:creator>
  <cp:lastModifiedBy>林燕婵</cp:lastModifiedBy>
  <cp:lastPrinted>2021-12-09T12:11:00Z</cp:lastPrinted>
  <dcterms:modified xsi:type="dcterms:W3CDTF">2021-12-23T15:57:05Z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7ECCF337B37A42A1A5E163A955A646C5</vt:lpwstr>
  </property>
</Properties>
</file>