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0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机动车停放服务收费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0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91"/>
        <w:gridCol w:w="2049"/>
        <w:gridCol w:w="1314"/>
        <w:gridCol w:w="131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经营者基本情况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720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具体地址</w:t>
            </w:r>
          </w:p>
        </w:tc>
        <w:tc>
          <w:tcPr>
            <w:tcW w:w="187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2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负责人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手机号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经办人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手机号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项目情况及收费标准</w:t>
            </w:r>
          </w:p>
        </w:tc>
        <w:tc>
          <w:tcPr>
            <w:tcW w:w="197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停车场设施名称及类别</w:t>
            </w:r>
          </w:p>
        </w:tc>
        <w:tc>
          <w:tcPr>
            <w:tcW w:w="2190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7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停车设施（路内泊位）具体地址（收费路段）</w:t>
            </w:r>
          </w:p>
        </w:tc>
        <w:tc>
          <w:tcPr>
            <w:tcW w:w="2190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7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计费方式及标准（元）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免费时限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最高限价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收费路段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预开征时间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469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停车设施车位数（个）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公共公益停车设施、非营利性医疗机构</w:t>
            </w:r>
          </w:p>
        </w:tc>
        <w:tc>
          <w:tcPr>
            <w:tcW w:w="1145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上级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权属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部门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是否实行特定人群优惠（是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否）、若“是”请详细说明方案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路内停车设施（选填）</w:t>
            </w:r>
          </w:p>
        </w:tc>
        <w:tc>
          <w:tcPr>
            <w:tcW w:w="197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收费方式</w:t>
            </w:r>
          </w:p>
        </w:tc>
        <w:tc>
          <w:tcPr>
            <w:tcW w:w="2190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人工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8" w:type="pct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路内是否增设</w:t>
            </w:r>
          </w:p>
        </w:tc>
        <w:tc>
          <w:tcPr>
            <w:tcW w:w="2190" w:type="pct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69" w:type="pct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涉及医院路段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4169" w:type="pct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/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4129"/>
    <w:rsid w:val="210D4129"/>
    <w:rsid w:val="275D57CD"/>
    <w:rsid w:val="6C335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2021-12-10T08:01:00Z</dcterms:created>
  <dc:creator>翁琳琳</dc:creator>
  <cp:lastModifiedBy>翁琳琳</cp:lastModifiedBy>
  <dcterms:modified xsi:type="dcterms:W3CDTF">2021-12-10T08:10:37Z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