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2021年度汕尾市沿海经济带和粤东生态发展区涉农专利转化对接工程项目形式</w:t>
      </w:r>
    </w:p>
    <w:p>
      <w:pPr>
        <w:jc w:val="center"/>
        <w:rPr>
          <w:rFonts w:hint="eastAsia" w:ascii="仿宋" w:hAnsi="仿宋" w:eastAsia="仿宋" w:cs="仿宋"/>
          <w:sz w:val="32"/>
          <w:szCs w:val="32"/>
        </w:rPr>
      </w:pPr>
      <w:r>
        <w:rPr>
          <w:rFonts w:hint="eastAsia" w:ascii="宋体" w:hAnsi="宋体"/>
          <w:b/>
          <w:color w:val="000000"/>
          <w:sz w:val="44"/>
          <w:szCs w:val="44"/>
        </w:rPr>
        <w:t>审查结果与资金分配方案</w:t>
      </w:r>
      <w:r>
        <w:rPr>
          <w:rFonts w:hint="eastAsia" w:ascii="仿宋" w:hAnsi="仿宋" w:eastAsia="仿宋" w:cs="仿宋"/>
          <w:sz w:val="32"/>
          <w:szCs w:val="32"/>
        </w:rPr>
        <w:t xml:space="preserve">                                          </w:t>
      </w:r>
    </w:p>
    <w:p>
      <w:pPr>
        <w:jc w:val="left"/>
        <w:rPr>
          <w:rFonts w:hint="eastAsia" w:ascii="黑体" w:hAnsi="黑体" w:eastAsia="黑体" w:cs="仿宋"/>
          <w:sz w:val="28"/>
          <w:szCs w:val="28"/>
        </w:rPr>
      </w:pPr>
    </w:p>
    <w:p>
      <w:pPr>
        <w:jc w:val="left"/>
        <w:rPr>
          <w:rFonts w:hint="eastAsia" w:ascii="黑体" w:hAnsi="黑体" w:eastAsia="黑体" w:cs="仿宋"/>
          <w:sz w:val="28"/>
          <w:szCs w:val="28"/>
        </w:rPr>
      </w:pPr>
    </w:p>
    <w:p>
      <w:pPr>
        <w:jc w:val="left"/>
        <w:rPr>
          <w:rFonts w:ascii="仿宋" w:hAnsi="仿宋" w:eastAsia="仿宋" w:cs="仿宋"/>
          <w:sz w:val="32"/>
          <w:szCs w:val="32"/>
        </w:rPr>
      </w:pPr>
      <w:bookmarkStart w:id="0" w:name="_GoBack"/>
      <w:bookmarkEnd w:id="0"/>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eastAsia"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陆丰植物龙生态农业发展有限公司、</w:t>
            </w:r>
          </w:p>
          <w:p>
            <w:pPr>
              <w:jc w:val="center"/>
              <w:rPr>
                <w:rFonts w:hint="eastAsia"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广东省农业科学院作物研究所、</w:t>
            </w:r>
          </w:p>
          <w:p>
            <w:pPr>
              <w:jc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广州知识产权交易中心有限公司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60</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0305532E"/>
    <w:rsid w:val="149A555A"/>
    <w:rsid w:val="191B0594"/>
    <w:rsid w:val="1C35236A"/>
    <w:rsid w:val="1EEF61B5"/>
    <w:rsid w:val="21361C09"/>
    <w:rsid w:val="2DCC7EAF"/>
    <w:rsid w:val="37B90702"/>
    <w:rsid w:val="43B84B33"/>
    <w:rsid w:val="4665293B"/>
    <w:rsid w:val="4D4F41C0"/>
    <w:rsid w:val="70514D10"/>
    <w:rsid w:val="71534A80"/>
    <w:rsid w:val="72514F0C"/>
    <w:rsid w:val="7380199D"/>
    <w:rsid w:val="77D87708"/>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2021-10-24T06:11:50Z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