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right" w:leader="dot" w:pos="8505"/>
        </w:tabs>
        <w:jc w:val="center"/>
        <w:rPr>
          <w:rFonts w:hint="eastAsia"/>
          <w:b/>
          <w:bCs/>
          <w:sz w:val="44"/>
          <w:szCs w:val="44"/>
        </w:rPr>
      </w:pPr>
      <w:bookmarkStart w:id="0" w:name="_Toc83801609"/>
      <w:bookmarkStart w:id="1" w:name="_Toc83801761"/>
      <w:r>
        <w:rPr>
          <w:rFonts w:hint="eastAsia" w:ascii="仿宋_GB2312" w:hAnsi="仿宋_GB2312" w:eastAsia="仿宋_GB2312" w:cs="仿宋_GB2312"/>
          <w:b/>
          <w:bCs w:val="0"/>
          <w:sz w:val="32"/>
          <w:szCs w:val="32"/>
        </w:rPr>
        <w:fldChar w:fldCharType="begin"/>
      </w:r>
      <w:r>
        <w:rPr>
          <w:rFonts w:hint="eastAsia" w:ascii="仿宋_GB2312" w:hAnsi="仿宋_GB2312" w:eastAsia="仿宋_GB2312" w:cs="仿宋_GB2312"/>
          <w:b/>
          <w:bCs w:val="0"/>
          <w:sz w:val="32"/>
          <w:szCs w:val="32"/>
        </w:rPr>
        <w:instrText xml:space="preserve">TOC \o "1-3" \h \u </w:instrText>
      </w:r>
      <w:r>
        <w:rPr>
          <w:rFonts w:hint="eastAsia" w:ascii="仿宋_GB2312" w:hAnsi="仿宋_GB2312" w:eastAsia="仿宋_GB2312" w:cs="仿宋_GB2312"/>
          <w:b/>
          <w:bCs w:val="0"/>
          <w:sz w:val="32"/>
          <w:szCs w:val="32"/>
        </w:rPr>
        <w:fldChar w:fldCharType="separate"/>
      </w:r>
      <w:r>
        <w:rPr>
          <w:rFonts w:hint="eastAsia" w:ascii="仿宋_GB2312" w:hAnsi="仿宋_GB2312" w:eastAsia="仿宋_GB2312" w:cs="仿宋_GB2312"/>
          <w:b/>
          <w:bCs/>
          <w:sz w:val="44"/>
          <w:szCs w:val="44"/>
        </w:rPr>
        <w:fldChar w:fldCharType="begin"/>
      </w:r>
      <w:r>
        <w:rPr>
          <w:rFonts w:hint="eastAsia" w:ascii="仿宋_GB2312" w:hAnsi="仿宋_GB2312" w:eastAsia="仿宋_GB2312" w:cs="仿宋_GB2312"/>
          <w:b/>
          <w:bCs/>
          <w:sz w:val="44"/>
          <w:szCs w:val="44"/>
        </w:rPr>
        <w:instrText xml:space="preserve"> HYPERLINK \l _Toc29238 </w:instrText>
      </w:r>
      <w:r>
        <w:rPr>
          <w:rFonts w:hint="eastAsia" w:ascii="仿宋_GB2312" w:hAnsi="仿宋_GB2312" w:eastAsia="仿宋_GB2312" w:cs="仿宋_GB2312"/>
          <w:b/>
          <w:bCs/>
          <w:sz w:val="44"/>
          <w:szCs w:val="44"/>
        </w:rPr>
        <w:fldChar w:fldCharType="separate"/>
      </w:r>
      <w:r>
        <w:rPr>
          <w:rFonts w:hint="eastAsia"/>
          <w:b/>
          <w:bCs/>
          <w:sz w:val="44"/>
          <w:szCs w:val="44"/>
        </w:rPr>
        <w:t>需被检查单位提供的资料清单及模板</w:t>
      </w:r>
    </w:p>
    <w:p>
      <w:pPr>
        <w:pStyle w:val="2"/>
        <w:tabs>
          <w:tab w:val="right" w:leader="dot" w:pos="8505"/>
        </w:tabs>
        <w:jc w:val="center"/>
        <w:rPr>
          <w:rFonts w:hint="eastAsia"/>
          <w:b/>
          <w:bCs/>
          <w:sz w:val="44"/>
          <w:szCs w:val="44"/>
          <w:lang w:eastAsia="zh-CN"/>
        </w:rPr>
      </w:pPr>
      <w:r>
        <w:rPr>
          <w:rFonts w:hint="eastAsia"/>
          <w:b/>
          <w:bCs/>
          <w:sz w:val="44"/>
          <w:szCs w:val="44"/>
          <w:lang w:eastAsia="zh-CN"/>
        </w:rPr>
        <w:t>目录</w:t>
      </w:r>
    </w:p>
    <w:p>
      <w:pPr>
        <w:pStyle w:val="2"/>
        <w:tabs>
          <w:tab w:val="right" w:leader="dot" w:pos="8505"/>
        </w:tabs>
        <w:jc w:val="center"/>
      </w:pPr>
      <w:r>
        <w:rPr>
          <w:rFonts w:hint="eastAsia" w:ascii="仿宋_GB2312" w:hAnsi="仿宋_GB2312" w:eastAsia="仿宋_GB2312" w:cs="仿宋_GB2312"/>
          <w:b/>
          <w:bCs/>
          <w:sz w:val="44"/>
          <w:szCs w:val="44"/>
        </w:rPr>
        <w:fldChar w:fldCharType="end"/>
      </w:r>
    </w:p>
    <w:p>
      <w:pPr>
        <w:pStyle w:val="7"/>
        <w:tabs>
          <w:tab w:val="right" w:leader="dot" w:pos="8505"/>
        </w:tabs>
      </w:pPr>
      <w:r>
        <w:rPr>
          <w:rFonts w:hint="eastAsia" w:ascii="仿宋_GB2312" w:hAnsi="仿宋_GB2312" w:eastAsia="仿宋_GB2312" w:cs="仿宋_GB2312"/>
          <w:bCs w:val="0"/>
          <w:szCs w:val="32"/>
        </w:rPr>
        <w:fldChar w:fldCharType="begin"/>
      </w:r>
      <w:r>
        <w:rPr>
          <w:rFonts w:hint="eastAsia" w:ascii="仿宋_GB2312" w:hAnsi="仿宋_GB2312" w:eastAsia="仿宋_GB2312" w:cs="仿宋_GB2312"/>
          <w:bCs w:val="0"/>
          <w:szCs w:val="32"/>
        </w:rPr>
        <w:instrText xml:space="preserve"> HYPERLINK \l _Toc285 </w:instrText>
      </w:r>
      <w:r>
        <w:rPr>
          <w:rFonts w:hint="eastAsia" w:ascii="仿宋_GB2312" w:hAnsi="仿宋_GB2312" w:eastAsia="仿宋_GB2312" w:cs="仿宋_GB2312"/>
          <w:bCs w:val="0"/>
          <w:szCs w:val="32"/>
        </w:rPr>
        <w:fldChar w:fldCharType="separate"/>
      </w:r>
      <w:r>
        <w:rPr>
          <w:rFonts w:hint="eastAsia" w:ascii="仿宋_GB2312" w:hAnsi="仿宋_GB2312" w:eastAsia="仿宋_GB2312" w:cs="仿宋_GB2312"/>
          <w:bCs w:val="0"/>
          <w:szCs w:val="32"/>
        </w:rPr>
        <w:t>（一）需被检查单位提供的相关资料清单</w:t>
      </w:r>
      <w:r>
        <w:tab/>
      </w:r>
      <w:r>
        <w:fldChar w:fldCharType="begin"/>
      </w:r>
      <w:r>
        <w:instrText xml:space="preserve"> PAGEREF _Toc285 </w:instrText>
      </w:r>
      <w:r>
        <w:fldChar w:fldCharType="separate"/>
      </w:r>
      <w:r>
        <w:t>2</w:t>
      </w:r>
      <w:r>
        <w:fldChar w:fldCharType="end"/>
      </w:r>
      <w:r>
        <w:rPr>
          <w:rFonts w:hint="eastAsia" w:ascii="仿宋_GB2312" w:hAnsi="仿宋_GB2312" w:eastAsia="仿宋_GB2312" w:cs="仿宋_GB2312"/>
          <w:bCs w:val="0"/>
          <w:szCs w:val="32"/>
        </w:rPr>
        <w:fldChar w:fldCharType="end"/>
      </w:r>
    </w:p>
    <w:p>
      <w:pPr>
        <w:pStyle w:val="7"/>
        <w:tabs>
          <w:tab w:val="right" w:leader="dot" w:pos="8505"/>
        </w:tabs>
      </w:pPr>
      <w:r>
        <w:rPr>
          <w:rFonts w:hint="eastAsia" w:ascii="仿宋_GB2312" w:hAnsi="仿宋_GB2312" w:eastAsia="仿宋_GB2312" w:cs="仿宋_GB2312"/>
          <w:bCs w:val="0"/>
          <w:szCs w:val="32"/>
        </w:rPr>
        <w:fldChar w:fldCharType="begin"/>
      </w:r>
      <w:r>
        <w:rPr>
          <w:rFonts w:hint="eastAsia" w:ascii="仿宋_GB2312" w:hAnsi="仿宋_GB2312" w:eastAsia="仿宋_GB2312" w:cs="仿宋_GB2312"/>
          <w:bCs w:val="0"/>
          <w:szCs w:val="32"/>
        </w:rPr>
        <w:instrText xml:space="preserve"> HYPERLINK \l _Toc19144 </w:instrText>
      </w:r>
      <w:r>
        <w:rPr>
          <w:rFonts w:hint="eastAsia" w:ascii="仿宋_GB2312" w:hAnsi="仿宋_GB2312" w:eastAsia="仿宋_GB2312" w:cs="仿宋_GB2312"/>
          <w:bCs w:val="0"/>
          <w:szCs w:val="32"/>
        </w:rPr>
        <w:fldChar w:fldCharType="separate"/>
      </w:r>
      <w:r>
        <w:rPr>
          <w:rFonts w:ascii="仿宋_GB2312" w:eastAsia="仿宋_GB2312"/>
          <w:szCs w:val="32"/>
        </w:rPr>
        <w:t xml:space="preserve">（二） </w:t>
      </w:r>
      <w:r>
        <w:rPr>
          <w:rFonts w:hint="eastAsia" w:ascii="仿宋_GB2312" w:hAnsi="仿宋_GB2312" w:eastAsia="仿宋_GB2312" w:cs="仿宋_GB2312"/>
          <w:bCs w:val="0"/>
          <w:szCs w:val="32"/>
        </w:rPr>
        <w:t>被检查单位自查报告</w:t>
      </w:r>
      <w:r>
        <w:tab/>
      </w:r>
      <w:r>
        <w:fldChar w:fldCharType="begin"/>
      </w:r>
      <w:r>
        <w:instrText xml:space="preserve"> PAGEREF _Toc19144 </w:instrText>
      </w:r>
      <w:r>
        <w:fldChar w:fldCharType="separate"/>
      </w:r>
      <w:r>
        <w:t>4</w:t>
      </w:r>
      <w:r>
        <w:fldChar w:fldCharType="end"/>
      </w:r>
      <w:r>
        <w:rPr>
          <w:rFonts w:hint="eastAsia" w:ascii="仿宋_GB2312" w:hAnsi="仿宋_GB2312" w:eastAsia="仿宋_GB2312" w:cs="仿宋_GB2312"/>
          <w:bCs w:val="0"/>
          <w:szCs w:val="32"/>
        </w:rPr>
        <w:fldChar w:fldCharType="end"/>
      </w:r>
    </w:p>
    <w:p>
      <w:pPr>
        <w:pStyle w:val="7"/>
        <w:tabs>
          <w:tab w:val="right" w:leader="dot" w:pos="8505"/>
        </w:tabs>
      </w:pPr>
      <w:r>
        <w:rPr>
          <w:rFonts w:hint="eastAsia" w:ascii="仿宋_GB2312" w:hAnsi="仿宋_GB2312" w:eastAsia="仿宋_GB2312" w:cs="仿宋_GB2312"/>
          <w:bCs w:val="0"/>
          <w:szCs w:val="32"/>
        </w:rPr>
        <w:fldChar w:fldCharType="begin"/>
      </w:r>
      <w:r>
        <w:rPr>
          <w:rFonts w:hint="eastAsia" w:ascii="仿宋_GB2312" w:hAnsi="仿宋_GB2312" w:eastAsia="仿宋_GB2312" w:cs="仿宋_GB2312"/>
          <w:bCs w:val="0"/>
          <w:szCs w:val="32"/>
        </w:rPr>
        <w:instrText xml:space="preserve"> HYPERLINK \l _Toc23447 </w:instrText>
      </w:r>
      <w:r>
        <w:rPr>
          <w:rFonts w:hint="eastAsia" w:ascii="仿宋_GB2312" w:hAnsi="仿宋_GB2312" w:eastAsia="仿宋_GB2312" w:cs="仿宋_GB2312"/>
          <w:bCs w:val="0"/>
          <w:szCs w:val="32"/>
        </w:rPr>
        <w:fldChar w:fldCharType="separate"/>
      </w:r>
      <w:r>
        <w:rPr>
          <w:rFonts w:hint="eastAsia" w:ascii="仿宋_GB2312" w:hAnsi="仿宋_GB2312" w:eastAsia="仿宋_GB2312" w:cs="仿宋_GB2312"/>
          <w:bCs w:val="0"/>
          <w:szCs w:val="32"/>
        </w:rPr>
        <w:t>（三）承  诺  书</w:t>
      </w:r>
      <w:r>
        <w:tab/>
      </w:r>
      <w:r>
        <w:fldChar w:fldCharType="begin"/>
      </w:r>
      <w:r>
        <w:instrText xml:space="preserve"> PAGEREF _Toc23447 </w:instrText>
      </w:r>
      <w:r>
        <w:fldChar w:fldCharType="separate"/>
      </w:r>
      <w:r>
        <w:t>12</w:t>
      </w:r>
      <w:r>
        <w:fldChar w:fldCharType="end"/>
      </w:r>
      <w:r>
        <w:rPr>
          <w:rFonts w:hint="eastAsia" w:ascii="仿宋_GB2312" w:hAnsi="仿宋_GB2312" w:eastAsia="仿宋_GB2312" w:cs="仿宋_GB2312"/>
          <w:bCs w:val="0"/>
          <w:szCs w:val="32"/>
        </w:rPr>
        <w:fldChar w:fldCharType="end"/>
      </w:r>
    </w:p>
    <w:p>
      <w:pPr>
        <w:pStyle w:val="7"/>
        <w:tabs>
          <w:tab w:val="right" w:leader="dot" w:pos="8505"/>
        </w:tabs>
      </w:pPr>
      <w:r>
        <w:rPr>
          <w:rFonts w:hint="eastAsia" w:ascii="仿宋_GB2312" w:hAnsi="仿宋_GB2312" w:eastAsia="仿宋_GB2312" w:cs="仿宋_GB2312"/>
          <w:bCs w:val="0"/>
          <w:szCs w:val="32"/>
        </w:rPr>
        <w:fldChar w:fldCharType="begin"/>
      </w:r>
      <w:r>
        <w:rPr>
          <w:rFonts w:hint="eastAsia" w:ascii="仿宋_GB2312" w:hAnsi="仿宋_GB2312" w:eastAsia="仿宋_GB2312" w:cs="仿宋_GB2312"/>
          <w:bCs w:val="0"/>
          <w:szCs w:val="32"/>
        </w:rPr>
        <w:instrText xml:space="preserve"> HYPERLINK \l _Toc11492 </w:instrText>
      </w:r>
      <w:r>
        <w:rPr>
          <w:rFonts w:hint="eastAsia" w:ascii="仿宋_GB2312" w:hAnsi="仿宋_GB2312" w:eastAsia="仿宋_GB2312" w:cs="仿宋_GB2312"/>
          <w:bCs w:val="0"/>
          <w:szCs w:val="32"/>
        </w:rPr>
        <w:fldChar w:fldCharType="separate"/>
      </w:r>
      <w:r>
        <w:rPr>
          <w:rFonts w:hint="eastAsia" w:ascii="仿宋_GB2312" w:hAnsi="仿宋_GB2312" w:eastAsia="仿宋_GB2312" w:cs="仿宋_GB2312"/>
          <w:bCs w:val="0"/>
          <w:szCs w:val="32"/>
        </w:rPr>
        <w:t>（</w:t>
      </w:r>
      <w:r>
        <w:rPr>
          <w:rFonts w:hint="eastAsia" w:ascii="仿宋_GB2312" w:hAnsi="仿宋_GB2312" w:eastAsia="仿宋_GB2312" w:cs="仿宋_GB2312"/>
          <w:bCs w:val="0"/>
          <w:szCs w:val="32"/>
          <w:lang w:eastAsia="zh-CN"/>
        </w:rPr>
        <w:t>四</w:t>
      </w:r>
      <w:r>
        <w:rPr>
          <w:rFonts w:hint="eastAsia" w:ascii="仿宋_GB2312" w:hAnsi="仿宋_GB2312" w:eastAsia="仿宋_GB2312" w:cs="仿宋_GB2312"/>
          <w:bCs w:val="0"/>
          <w:szCs w:val="32"/>
        </w:rPr>
        <w:t>）资产评估机构基本情况表</w:t>
      </w:r>
      <w:r>
        <w:tab/>
      </w:r>
      <w:r>
        <w:fldChar w:fldCharType="begin"/>
      </w:r>
      <w:r>
        <w:instrText xml:space="preserve"> PAGEREF _Toc11492 </w:instrText>
      </w:r>
      <w:r>
        <w:fldChar w:fldCharType="separate"/>
      </w:r>
      <w:r>
        <w:t>13</w:t>
      </w:r>
      <w:r>
        <w:fldChar w:fldCharType="end"/>
      </w:r>
      <w:r>
        <w:rPr>
          <w:rFonts w:hint="eastAsia" w:ascii="仿宋_GB2312" w:hAnsi="仿宋_GB2312" w:eastAsia="仿宋_GB2312" w:cs="仿宋_GB2312"/>
          <w:bCs w:val="0"/>
          <w:szCs w:val="32"/>
        </w:rPr>
        <w:fldChar w:fldCharType="end"/>
      </w:r>
    </w:p>
    <w:p>
      <w:pPr>
        <w:pStyle w:val="7"/>
        <w:tabs>
          <w:tab w:val="right" w:leader="dot" w:pos="8505"/>
        </w:tabs>
      </w:pPr>
      <w:r>
        <w:rPr>
          <w:rFonts w:hint="eastAsia" w:ascii="仿宋_GB2312" w:hAnsi="仿宋_GB2312" w:eastAsia="仿宋_GB2312" w:cs="仿宋_GB2312"/>
          <w:bCs w:val="0"/>
          <w:szCs w:val="32"/>
        </w:rPr>
        <w:fldChar w:fldCharType="begin"/>
      </w:r>
      <w:r>
        <w:rPr>
          <w:rFonts w:hint="eastAsia" w:ascii="仿宋_GB2312" w:hAnsi="仿宋_GB2312" w:eastAsia="仿宋_GB2312" w:cs="仿宋_GB2312"/>
          <w:bCs w:val="0"/>
          <w:szCs w:val="32"/>
        </w:rPr>
        <w:instrText xml:space="preserve"> HYPERLINK \l _Toc1596 </w:instrText>
      </w:r>
      <w:r>
        <w:rPr>
          <w:rFonts w:hint="eastAsia" w:ascii="仿宋_GB2312" w:hAnsi="仿宋_GB2312" w:eastAsia="仿宋_GB2312" w:cs="仿宋_GB2312"/>
          <w:bCs w:val="0"/>
          <w:szCs w:val="32"/>
        </w:rPr>
        <w:fldChar w:fldCharType="separate"/>
      </w:r>
      <w:r>
        <w:rPr>
          <w:rFonts w:hint="eastAsia" w:ascii="仿宋_GB2312" w:hAnsi="仿宋_GB2312" w:eastAsia="仿宋_GB2312" w:cs="仿宋_GB2312"/>
          <w:bCs w:val="0"/>
          <w:szCs w:val="32"/>
        </w:rPr>
        <w:t>（</w:t>
      </w:r>
      <w:r>
        <w:rPr>
          <w:rFonts w:hint="eastAsia" w:ascii="仿宋_GB2312" w:hAnsi="仿宋_GB2312" w:eastAsia="仿宋_GB2312" w:cs="仿宋_GB2312"/>
          <w:bCs w:val="0"/>
          <w:szCs w:val="32"/>
          <w:lang w:eastAsia="zh-CN"/>
        </w:rPr>
        <w:t>五</w:t>
      </w:r>
      <w:r>
        <w:rPr>
          <w:rFonts w:hint="eastAsia" w:ascii="仿宋_GB2312" w:hAnsi="仿宋_GB2312" w:eastAsia="仿宋_GB2312" w:cs="仿宋_GB2312"/>
          <w:bCs w:val="0"/>
          <w:szCs w:val="32"/>
        </w:rPr>
        <w:t>）资产评估师及专业人员情况表</w:t>
      </w:r>
      <w:r>
        <w:tab/>
      </w:r>
      <w:r>
        <w:fldChar w:fldCharType="begin"/>
      </w:r>
      <w:r>
        <w:instrText xml:space="preserve"> PAGEREF _Toc1596 </w:instrText>
      </w:r>
      <w:r>
        <w:fldChar w:fldCharType="separate"/>
      </w:r>
      <w:r>
        <w:t>15</w:t>
      </w:r>
      <w:r>
        <w:fldChar w:fldCharType="end"/>
      </w:r>
      <w:r>
        <w:rPr>
          <w:rFonts w:hint="eastAsia" w:ascii="仿宋_GB2312" w:hAnsi="仿宋_GB2312" w:eastAsia="仿宋_GB2312" w:cs="仿宋_GB2312"/>
          <w:bCs w:val="0"/>
          <w:szCs w:val="32"/>
        </w:rPr>
        <w:fldChar w:fldCharType="end"/>
      </w:r>
    </w:p>
    <w:p>
      <w:pPr>
        <w:pStyle w:val="7"/>
        <w:tabs>
          <w:tab w:val="right" w:leader="dot" w:pos="8505"/>
        </w:tabs>
      </w:pPr>
      <w:r>
        <w:rPr>
          <w:rFonts w:hint="eastAsia" w:ascii="仿宋_GB2312" w:hAnsi="仿宋_GB2312" w:eastAsia="仿宋_GB2312" w:cs="仿宋_GB2312"/>
          <w:bCs w:val="0"/>
          <w:szCs w:val="32"/>
        </w:rPr>
        <w:fldChar w:fldCharType="begin"/>
      </w:r>
      <w:r>
        <w:rPr>
          <w:rFonts w:hint="eastAsia" w:ascii="仿宋_GB2312" w:hAnsi="仿宋_GB2312" w:eastAsia="仿宋_GB2312" w:cs="仿宋_GB2312"/>
          <w:bCs w:val="0"/>
          <w:szCs w:val="32"/>
        </w:rPr>
        <w:instrText xml:space="preserve"> HYPERLINK \l _Toc18729 </w:instrText>
      </w:r>
      <w:r>
        <w:rPr>
          <w:rFonts w:hint="eastAsia" w:ascii="仿宋_GB2312" w:hAnsi="仿宋_GB2312" w:eastAsia="仿宋_GB2312" w:cs="仿宋_GB2312"/>
          <w:bCs w:val="0"/>
          <w:szCs w:val="32"/>
        </w:rPr>
        <w:fldChar w:fldCharType="separate"/>
      </w:r>
      <w:r>
        <w:rPr>
          <w:rFonts w:hint="eastAsia" w:ascii="仿宋_GB2312" w:hAnsi="仿宋_GB2312" w:eastAsia="仿宋_GB2312" w:cs="仿宋_GB2312"/>
          <w:bCs w:val="0"/>
          <w:szCs w:val="32"/>
        </w:rPr>
        <w:t>（</w:t>
      </w:r>
      <w:r>
        <w:rPr>
          <w:rFonts w:hint="eastAsia" w:ascii="仿宋_GB2312" w:hAnsi="仿宋_GB2312" w:eastAsia="仿宋_GB2312" w:cs="仿宋_GB2312"/>
          <w:bCs w:val="0"/>
          <w:szCs w:val="32"/>
          <w:lang w:eastAsia="zh-CN"/>
        </w:rPr>
        <w:t>六</w:t>
      </w:r>
      <w:r>
        <w:rPr>
          <w:rFonts w:hint="eastAsia" w:ascii="仿宋_GB2312" w:hAnsi="仿宋_GB2312" w:eastAsia="仿宋_GB2312" w:cs="仿宋_GB2312"/>
          <w:bCs w:val="0"/>
          <w:szCs w:val="32"/>
        </w:rPr>
        <w:t>）2020年度报告明细表</w:t>
      </w:r>
      <w:r>
        <w:tab/>
      </w:r>
      <w:r>
        <w:fldChar w:fldCharType="begin"/>
      </w:r>
      <w:r>
        <w:instrText xml:space="preserve"> PAGEREF _Toc18729 </w:instrText>
      </w:r>
      <w:r>
        <w:fldChar w:fldCharType="separate"/>
      </w:r>
      <w:r>
        <w:t>16</w:t>
      </w:r>
      <w:r>
        <w:fldChar w:fldCharType="end"/>
      </w:r>
      <w:r>
        <w:rPr>
          <w:rFonts w:hint="eastAsia" w:ascii="仿宋_GB2312" w:hAnsi="仿宋_GB2312" w:eastAsia="仿宋_GB2312" w:cs="仿宋_GB2312"/>
          <w:bCs w:val="0"/>
          <w:szCs w:val="32"/>
        </w:rPr>
        <w:fldChar w:fldCharType="end"/>
      </w:r>
    </w:p>
    <w:p>
      <w:pPr>
        <w:pStyle w:val="7"/>
        <w:tabs>
          <w:tab w:val="right" w:leader="dot" w:pos="8505"/>
        </w:tabs>
      </w:pPr>
      <w:r>
        <w:rPr>
          <w:rFonts w:hint="eastAsia" w:ascii="仿宋_GB2312" w:hAnsi="仿宋_GB2312" w:eastAsia="仿宋_GB2312" w:cs="仿宋_GB2312"/>
          <w:bCs w:val="0"/>
          <w:szCs w:val="32"/>
        </w:rPr>
        <w:fldChar w:fldCharType="begin"/>
      </w:r>
      <w:r>
        <w:rPr>
          <w:rFonts w:hint="eastAsia" w:ascii="仿宋_GB2312" w:hAnsi="仿宋_GB2312" w:eastAsia="仿宋_GB2312" w:cs="仿宋_GB2312"/>
          <w:bCs w:val="0"/>
          <w:szCs w:val="32"/>
        </w:rPr>
        <w:instrText xml:space="preserve"> HYPERLINK \l _Toc12144 </w:instrText>
      </w:r>
      <w:r>
        <w:rPr>
          <w:rFonts w:hint="eastAsia" w:ascii="仿宋_GB2312" w:hAnsi="仿宋_GB2312" w:eastAsia="仿宋_GB2312" w:cs="仿宋_GB2312"/>
          <w:bCs w:val="0"/>
          <w:szCs w:val="32"/>
        </w:rPr>
        <w:fldChar w:fldCharType="separate"/>
      </w:r>
      <w:r>
        <w:rPr>
          <w:rFonts w:hint="eastAsia" w:ascii="仿宋_GB2312" w:hAnsi="仿宋_GB2312" w:eastAsia="仿宋_GB2312" w:cs="仿宋_GB2312"/>
          <w:bCs/>
          <w:szCs w:val="32"/>
        </w:rPr>
        <w:t>（</w:t>
      </w:r>
      <w:r>
        <w:rPr>
          <w:rFonts w:hint="eastAsia" w:ascii="仿宋_GB2312" w:hAnsi="仿宋_GB2312" w:eastAsia="仿宋_GB2312" w:cs="仿宋_GB2312"/>
          <w:bCs/>
          <w:szCs w:val="32"/>
          <w:lang w:eastAsia="zh-CN"/>
        </w:rPr>
        <w:t>七</w:t>
      </w:r>
      <w:r>
        <w:rPr>
          <w:rFonts w:hint="eastAsia" w:ascii="仿宋_GB2312" w:hAnsi="仿宋_GB2312" w:eastAsia="仿宋_GB2312" w:cs="仿宋_GB2312"/>
          <w:bCs/>
          <w:szCs w:val="32"/>
        </w:rPr>
        <w:t>）资产评估机构党建信息表</w:t>
      </w:r>
      <w:r>
        <w:tab/>
      </w:r>
      <w:r>
        <w:fldChar w:fldCharType="begin"/>
      </w:r>
      <w:r>
        <w:instrText xml:space="preserve"> PAGEREF _Toc12144 </w:instrText>
      </w:r>
      <w:r>
        <w:fldChar w:fldCharType="separate"/>
      </w:r>
      <w:r>
        <w:t>17</w:t>
      </w:r>
      <w:r>
        <w:fldChar w:fldCharType="end"/>
      </w:r>
      <w:r>
        <w:rPr>
          <w:rFonts w:hint="eastAsia" w:ascii="仿宋_GB2312" w:hAnsi="仿宋_GB2312" w:eastAsia="仿宋_GB2312" w:cs="仿宋_GB2312"/>
          <w:bCs w:val="0"/>
          <w:szCs w:val="32"/>
        </w:rPr>
        <w:fldChar w:fldCharType="end"/>
      </w:r>
    </w:p>
    <w:p>
      <w:pPr>
        <w:pStyle w:val="7"/>
        <w:tabs>
          <w:tab w:val="right" w:leader="dot" w:pos="8505"/>
        </w:tabs>
      </w:pPr>
      <w:r>
        <w:rPr>
          <w:rFonts w:hint="eastAsia" w:ascii="仿宋_GB2312" w:hAnsi="仿宋_GB2312" w:eastAsia="仿宋_GB2312" w:cs="仿宋_GB2312"/>
          <w:bCs w:val="0"/>
          <w:szCs w:val="32"/>
        </w:rPr>
        <w:fldChar w:fldCharType="begin"/>
      </w:r>
      <w:r>
        <w:rPr>
          <w:rFonts w:hint="eastAsia" w:ascii="仿宋_GB2312" w:hAnsi="仿宋_GB2312" w:eastAsia="仿宋_GB2312" w:cs="仿宋_GB2312"/>
          <w:bCs w:val="0"/>
          <w:szCs w:val="32"/>
        </w:rPr>
        <w:instrText xml:space="preserve"> HYPERLINK \l _Toc23460 </w:instrText>
      </w:r>
      <w:r>
        <w:rPr>
          <w:rFonts w:hint="eastAsia" w:ascii="仿宋_GB2312" w:hAnsi="仿宋_GB2312" w:eastAsia="仿宋_GB2312" w:cs="仿宋_GB2312"/>
          <w:bCs w:val="0"/>
          <w:szCs w:val="32"/>
        </w:rPr>
        <w:fldChar w:fldCharType="separate"/>
      </w:r>
      <w:r>
        <w:rPr>
          <w:rFonts w:hint="eastAsia" w:eastAsia="仿宋_GB2312"/>
          <w:bCs/>
          <w:szCs w:val="32"/>
          <w:lang w:eastAsia="zh-CN"/>
        </w:rPr>
        <w:t>（八）</w:t>
      </w:r>
      <w:r>
        <w:rPr>
          <w:rFonts w:hint="eastAsia" w:eastAsia="仿宋_GB2312"/>
          <w:bCs/>
          <w:szCs w:val="32"/>
        </w:rPr>
        <w:t>机构内部管理和质量控制制度目录</w:t>
      </w:r>
      <w:r>
        <w:tab/>
      </w:r>
      <w:r>
        <w:fldChar w:fldCharType="begin"/>
      </w:r>
      <w:r>
        <w:instrText xml:space="preserve"> PAGEREF _Toc23460 </w:instrText>
      </w:r>
      <w:r>
        <w:fldChar w:fldCharType="separate"/>
      </w:r>
      <w:r>
        <w:t>18</w:t>
      </w:r>
      <w:r>
        <w:fldChar w:fldCharType="end"/>
      </w:r>
      <w:r>
        <w:rPr>
          <w:rFonts w:hint="eastAsia" w:ascii="仿宋_GB2312" w:hAnsi="仿宋_GB2312" w:eastAsia="仿宋_GB2312" w:cs="仿宋_GB2312"/>
          <w:bCs w:val="0"/>
          <w:szCs w:val="32"/>
        </w:rPr>
        <w:fldChar w:fldCharType="end"/>
      </w:r>
    </w:p>
    <w:p>
      <w:pPr>
        <w:pStyle w:val="4"/>
        <w:ind w:firstLine="900" w:firstLineChars="375"/>
        <w:rPr>
          <w:rFonts w:hint="eastAsia" w:ascii="仿宋_GB2312" w:hAnsi="仿宋_GB2312" w:eastAsia="仿宋_GB2312" w:cs="仿宋_GB2312"/>
          <w:b/>
          <w:bCs w:val="0"/>
          <w:sz w:val="32"/>
          <w:szCs w:val="32"/>
        </w:rPr>
      </w:pPr>
      <w:r>
        <w:rPr>
          <w:rFonts w:hint="eastAsia" w:ascii="仿宋_GB2312" w:hAnsi="仿宋_GB2312" w:eastAsia="仿宋_GB2312" w:cs="仿宋_GB2312"/>
          <w:bCs w:val="0"/>
          <w:szCs w:val="32"/>
        </w:rPr>
        <w:fldChar w:fldCharType="end"/>
      </w:r>
    </w:p>
    <w:p>
      <w:pPr>
        <w:pStyle w:val="4"/>
        <w:ind w:firstLine="1205" w:firstLineChars="375"/>
        <w:rPr>
          <w:rFonts w:hint="eastAsia" w:ascii="仿宋_GB2312" w:hAnsi="仿宋_GB2312" w:eastAsia="仿宋_GB2312" w:cs="仿宋_GB2312"/>
          <w:b/>
          <w:bCs w:val="0"/>
          <w:sz w:val="32"/>
          <w:szCs w:val="32"/>
        </w:rPr>
      </w:pPr>
    </w:p>
    <w:p>
      <w:pPr>
        <w:pStyle w:val="4"/>
        <w:ind w:firstLine="1205" w:firstLineChars="375"/>
        <w:rPr>
          <w:rFonts w:hint="eastAsia" w:ascii="仿宋_GB2312" w:hAnsi="仿宋_GB2312" w:eastAsia="仿宋_GB2312" w:cs="仿宋_GB2312"/>
          <w:b/>
          <w:bCs w:val="0"/>
          <w:sz w:val="32"/>
          <w:szCs w:val="32"/>
        </w:rPr>
      </w:pPr>
    </w:p>
    <w:p>
      <w:pPr>
        <w:pStyle w:val="4"/>
        <w:ind w:firstLine="1205" w:firstLineChars="375"/>
        <w:rPr>
          <w:rFonts w:hint="eastAsia" w:ascii="仿宋_GB2312" w:hAnsi="仿宋_GB2312" w:eastAsia="仿宋_GB2312" w:cs="仿宋_GB2312"/>
          <w:b/>
          <w:bCs w:val="0"/>
          <w:sz w:val="32"/>
          <w:szCs w:val="32"/>
        </w:rPr>
      </w:pPr>
    </w:p>
    <w:p>
      <w:pPr>
        <w:pStyle w:val="4"/>
        <w:ind w:firstLine="1205" w:firstLineChars="375"/>
        <w:rPr>
          <w:rFonts w:hint="eastAsia" w:ascii="仿宋_GB2312" w:hAnsi="仿宋_GB2312" w:eastAsia="仿宋_GB2312" w:cs="仿宋_GB2312"/>
          <w:b/>
          <w:bCs w:val="0"/>
          <w:sz w:val="32"/>
          <w:szCs w:val="32"/>
        </w:rPr>
      </w:pPr>
    </w:p>
    <w:p>
      <w:pPr>
        <w:pStyle w:val="4"/>
        <w:ind w:firstLine="1205" w:firstLineChars="375"/>
        <w:rPr>
          <w:rFonts w:hint="eastAsia" w:ascii="仿宋_GB2312" w:hAnsi="仿宋_GB2312" w:eastAsia="仿宋_GB2312" w:cs="仿宋_GB2312"/>
          <w:b/>
          <w:bCs w:val="0"/>
          <w:sz w:val="32"/>
          <w:szCs w:val="32"/>
        </w:rPr>
      </w:pPr>
    </w:p>
    <w:p>
      <w:pPr>
        <w:pStyle w:val="4"/>
        <w:ind w:firstLine="1205" w:firstLineChars="375"/>
        <w:rPr>
          <w:rFonts w:hint="eastAsia" w:ascii="仿宋_GB2312" w:hAnsi="仿宋_GB2312" w:eastAsia="仿宋_GB2312" w:cs="仿宋_GB2312"/>
          <w:b/>
          <w:bCs w:val="0"/>
          <w:sz w:val="32"/>
          <w:szCs w:val="32"/>
        </w:rPr>
      </w:pPr>
    </w:p>
    <w:p>
      <w:pPr>
        <w:pStyle w:val="4"/>
        <w:ind w:firstLine="1205" w:firstLineChars="375"/>
        <w:rPr>
          <w:rFonts w:hint="eastAsia" w:ascii="仿宋_GB2312" w:hAnsi="仿宋_GB2312" w:eastAsia="仿宋_GB2312" w:cs="仿宋_GB2312"/>
          <w:b/>
          <w:bCs w:val="0"/>
          <w:sz w:val="32"/>
          <w:szCs w:val="32"/>
        </w:rPr>
      </w:pPr>
    </w:p>
    <w:p>
      <w:pPr>
        <w:pStyle w:val="4"/>
        <w:ind w:firstLine="1205" w:firstLineChars="375"/>
        <w:rPr>
          <w:rFonts w:hint="eastAsia" w:ascii="仿宋_GB2312" w:hAnsi="仿宋_GB2312" w:eastAsia="仿宋_GB2312" w:cs="仿宋_GB2312"/>
          <w:b/>
          <w:bCs w:val="0"/>
          <w:sz w:val="32"/>
          <w:szCs w:val="32"/>
        </w:rPr>
      </w:pPr>
    </w:p>
    <w:p>
      <w:pPr>
        <w:pStyle w:val="4"/>
        <w:ind w:firstLine="1205" w:firstLineChars="375"/>
        <w:rPr>
          <w:rFonts w:hint="eastAsia" w:ascii="仿宋_GB2312" w:hAnsi="仿宋_GB2312" w:eastAsia="仿宋_GB2312" w:cs="仿宋_GB2312"/>
          <w:b/>
          <w:bCs w:val="0"/>
          <w:sz w:val="32"/>
          <w:szCs w:val="32"/>
        </w:rPr>
      </w:pPr>
    </w:p>
    <w:p>
      <w:pPr>
        <w:pStyle w:val="4"/>
        <w:ind w:firstLine="1205" w:firstLineChars="375"/>
        <w:rPr>
          <w:rFonts w:hint="eastAsia" w:ascii="仿宋_GB2312" w:hAnsi="仿宋_GB2312" w:eastAsia="仿宋_GB2312" w:cs="仿宋_GB2312"/>
          <w:b/>
          <w:bCs w:val="0"/>
          <w:sz w:val="32"/>
          <w:szCs w:val="32"/>
        </w:rPr>
      </w:pPr>
    </w:p>
    <w:p>
      <w:pPr>
        <w:pStyle w:val="4"/>
        <w:ind w:firstLine="1205" w:firstLineChars="375"/>
        <w:rPr>
          <w:rFonts w:hint="eastAsia" w:ascii="仿宋_GB2312" w:hAnsi="仿宋_GB2312" w:eastAsia="仿宋_GB2312" w:cs="仿宋_GB2312"/>
          <w:b/>
          <w:bCs w:val="0"/>
          <w:sz w:val="32"/>
          <w:szCs w:val="32"/>
        </w:rPr>
      </w:pPr>
    </w:p>
    <w:p>
      <w:pPr>
        <w:pStyle w:val="4"/>
        <w:ind w:firstLine="1205" w:firstLineChars="375"/>
        <w:rPr>
          <w:rFonts w:hint="eastAsia" w:ascii="仿宋_GB2312" w:hAnsi="仿宋_GB2312" w:eastAsia="仿宋_GB2312" w:cs="仿宋_GB2312"/>
          <w:b/>
          <w:bCs w:val="0"/>
          <w:sz w:val="32"/>
          <w:szCs w:val="32"/>
        </w:rPr>
      </w:pPr>
    </w:p>
    <w:p>
      <w:pPr>
        <w:pStyle w:val="4"/>
        <w:ind w:firstLine="1205" w:firstLineChars="375"/>
        <w:rPr>
          <w:rFonts w:hint="eastAsia" w:ascii="仿宋_GB2312" w:hAnsi="仿宋_GB2312" w:eastAsia="仿宋_GB2312" w:cs="仿宋_GB2312"/>
          <w:b/>
          <w:bCs w:val="0"/>
          <w:sz w:val="32"/>
          <w:szCs w:val="32"/>
        </w:rPr>
      </w:pPr>
    </w:p>
    <w:p>
      <w:pPr>
        <w:pStyle w:val="4"/>
        <w:ind w:firstLine="1205" w:firstLineChars="375"/>
        <w:rPr>
          <w:rFonts w:hint="eastAsia" w:ascii="仿宋_GB2312" w:hAnsi="仿宋_GB2312" w:eastAsia="仿宋_GB2312" w:cs="仿宋_GB2312"/>
          <w:b/>
          <w:bCs w:val="0"/>
          <w:sz w:val="32"/>
          <w:szCs w:val="32"/>
        </w:rPr>
      </w:pPr>
      <w:bookmarkStart w:id="2" w:name="_Toc285"/>
      <w:r>
        <w:rPr>
          <w:rFonts w:hint="eastAsia" w:ascii="仿宋_GB2312" w:hAnsi="仿宋_GB2312" w:eastAsia="仿宋_GB2312" w:cs="仿宋_GB2312"/>
          <w:b/>
          <w:bCs w:val="0"/>
          <w:sz w:val="32"/>
          <w:szCs w:val="32"/>
        </w:rPr>
        <w:t>（一）需被检查单位提供的相关资料清单</w:t>
      </w:r>
      <w:bookmarkEnd w:id="0"/>
      <w:bookmarkEnd w:id="1"/>
      <w:bookmarkEnd w:id="2"/>
    </w:p>
    <w:tbl>
      <w:tblPr>
        <w:tblStyle w:val="12"/>
        <w:tblW w:w="8505" w:type="dxa"/>
        <w:tblInd w:w="0" w:type="dxa"/>
        <w:tblLayout w:type="fixed"/>
        <w:tblCellMar>
          <w:top w:w="0" w:type="dxa"/>
          <w:left w:w="108" w:type="dxa"/>
          <w:bottom w:w="0" w:type="dxa"/>
          <w:right w:w="108" w:type="dxa"/>
        </w:tblCellMar>
      </w:tblPr>
      <w:tblGrid>
        <w:gridCol w:w="740"/>
        <w:gridCol w:w="4505"/>
        <w:gridCol w:w="709"/>
        <w:gridCol w:w="850"/>
        <w:gridCol w:w="709"/>
        <w:gridCol w:w="992"/>
      </w:tblGrid>
      <w:tr>
        <w:tblPrEx>
          <w:tblCellMar>
            <w:top w:w="0" w:type="dxa"/>
            <w:left w:w="108" w:type="dxa"/>
            <w:bottom w:w="0" w:type="dxa"/>
            <w:right w:w="108" w:type="dxa"/>
          </w:tblCellMar>
        </w:tblPrEx>
        <w:trPr>
          <w:trHeight w:val="310" w:hRule="atLeast"/>
          <w:tblHeader/>
        </w:trPr>
        <w:tc>
          <w:tcPr>
            <w:tcW w:w="5245" w:type="dxa"/>
            <w:gridSpan w:val="2"/>
            <w:tcBorders>
              <w:top w:val="nil"/>
              <w:left w:val="nil"/>
              <w:bottom w:val="nil"/>
              <w:right w:val="nil"/>
            </w:tcBorders>
            <w:shd w:val="clear" w:color="auto" w:fill="auto"/>
            <w:vAlign w:val="center"/>
          </w:tcPr>
          <w:p>
            <w:pPr>
              <w:spacing w:line="360" w:lineRule="auto"/>
              <w:rPr>
                <w:rFonts w:asciiTheme="majorEastAsia" w:hAnsiTheme="majorEastAsia" w:eastAsiaTheme="majorEastAsia"/>
                <w:color w:val="000000"/>
                <w:sz w:val="18"/>
                <w:szCs w:val="18"/>
              </w:rPr>
            </w:pPr>
            <w:bookmarkStart w:id="3" w:name="_Hlk84928759"/>
            <w:r>
              <w:rPr>
                <w:rFonts w:hint="eastAsia" w:asciiTheme="majorEastAsia" w:hAnsiTheme="majorEastAsia" w:eastAsiaTheme="majorEastAsia"/>
                <w:color w:val="000000"/>
                <w:sz w:val="18"/>
                <w:szCs w:val="18"/>
              </w:rPr>
              <w:t>被检查单位名称：</w:t>
            </w:r>
          </w:p>
        </w:tc>
        <w:tc>
          <w:tcPr>
            <w:tcW w:w="709" w:type="dxa"/>
            <w:tcBorders>
              <w:top w:val="nil"/>
              <w:left w:val="nil"/>
              <w:bottom w:val="nil"/>
              <w:right w:val="nil"/>
            </w:tcBorders>
            <w:shd w:val="clear" w:color="auto" w:fill="auto"/>
            <w:vAlign w:val="center"/>
          </w:tcPr>
          <w:p>
            <w:pPr>
              <w:spacing w:line="360" w:lineRule="auto"/>
              <w:rPr>
                <w:rFonts w:asciiTheme="majorEastAsia" w:hAnsiTheme="majorEastAsia" w:eastAsiaTheme="majorEastAsia"/>
                <w:color w:val="000000"/>
                <w:sz w:val="18"/>
                <w:szCs w:val="18"/>
              </w:rPr>
            </w:pPr>
          </w:p>
        </w:tc>
        <w:tc>
          <w:tcPr>
            <w:tcW w:w="850" w:type="dxa"/>
            <w:tcBorders>
              <w:top w:val="nil"/>
              <w:left w:val="nil"/>
              <w:bottom w:val="nil"/>
              <w:right w:val="nil"/>
            </w:tcBorders>
            <w:shd w:val="clear" w:color="auto" w:fill="auto"/>
            <w:vAlign w:val="center"/>
          </w:tcPr>
          <w:p>
            <w:pPr>
              <w:spacing w:line="360" w:lineRule="auto"/>
              <w:rPr>
                <w:rFonts w:cs="Times New Roman" w:asciiTheme="majorEastAsia" w:hAnsiTheme="majorEastAsia" w:eastAsiaTheme="majorEastAsia"/>
                <w:sz w:val="18"/>
                <w:szCs w:val="18"/>
              </w:rPr>
            </w:pPr>
          </w:p>
        </w:tc>
        <w:tc>
          <w:tcPr>
            <w:tcW w:w="709" w:type="dxa"/>
            <w:tcBorders>
              <w:top w:val="nil"/>
              <w:left w:val="nil"/>
              <w:bottom w:val="nil"/>
              <w:right w:val="nil"/>
            </w:tcBorders>
            <w:shd w:val="clear" w:color="auto" w:fill="auto"/>
            <w:vAlign w:val="center"/>
          </w:tcPr>
          <w:p>
            <w:pPr>
              <w:spacing w:line="360" w:lineRule="auto"/>
              <w:rPr>
                <w:rFonts w:cs="Times New Roman" w:asciiTheme="majorEastAsia" w:hAnsiTheme="majorEastAsia" w:eastAsiaTheme="majorEastAsia"/>
                <w:sz w:val="18"/>
                <w:szCs w:val="18"/>
              </w:rPr>
            </w:pPr>
          </w:p>
        </w:tc>
        <w:tc>
          <w:tcPr>
            <w:tcW w:w="992" w:type="dxa"/>
            <w:tcBorders>
              <w:top w:val="nil"/>
              <w:left w:val="nil"/>
              <w:bottom w:val="nil"/>
              <w:right w:val="nil"/>
            </w:tcBorders>
            <w:shd w:val="clear" w:color="auto" w:fill="auto"/>
            <w:vAlign w:val="center"/>
          </w:tcPr>
          <w:p>
            <w:pPr>
              <w:spacing w:line="360" w:lineRule="auto"/>
              <w:rPr>
                <w:rFonts w:cs="Times New Roman" w:asciiTheme="majorEastAsia" w:hAnsiTheme="majorEastAsia" w:eastAsiaTheme="majorEastAsia"/>
                <w:sz w:val="18"/>
                <w:szCs w:val="18"/>
              </w:rPr>
            </w:pPr>
          </w:p>
        </w:tc>
      </w:tr>
      <w:tr>
        <w:tblPrEx>
          <w:tblCellMar>
            <w:top w:w="0" w:type="dxa"/>
            <w:left w:w="108" w:type="dxa"/>
            <w:bottom w:w="0" w:type="dxa"/>
            <w:right w:w="108" w:type="dxa"/>
          </w:tblCellMar>
        </w:tblPrEx>
        <w:trPr>
          <w:trHeight w:val="660" w:hRule="atLeast"/>
          <w:tblHeader/>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序号</w:t>
            </w:r>
          </w:p>
        </w:tc>
        <w:tc>
          <w:tcPr>
            <w:tcW w:w="450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资料名称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有无提供</w:t>
            </w:r>
            <w:r>
              <w:rPr>
                <w:rFonts w:ascii="Segoe UI Emoji" w:hAnsi="Segoe UI Emoji" w:cs="Segoe UI Emoji" w:eastAsiaTheme="majorEastAsia"/>
                <w:color w:val="000000"/>
                <w:sz w:val="18"/>
                <w:szCs w:val="18"/>
              </w:rPr>
              <w:t>✔</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复印打印</w:t>
            </w:r>
            <w:r>
              <w:rPr>
                <w:rFonts w:ascii="Segoe UI Emoji" w:hAnsi="Segoe UI Emoji" w:cs="Segoe UI Emoji" w:eastAsiaTheme="majorEastAsia"/>
                <w:color w:val="000000"/>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电子版</w:t>
            </w:r>
            <w:r>
              <w:rPr>
                <w:rFonts w:ascii="Segoe UI Emoji" w:hAnsi="Segoe UI Emoji" w:cs="Segoe UI Emoji" w:eastAsiaTheme="majorEastAsia"/>
                <w:color w:val="000000"/>
                <w:sz w:val="18"/>
                <w:szCs w:val="18"/>
              </w:rPr>
              <w:t>✔</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备注</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asciiTheme="majorEastAsia" w:hAnsiTheme="majorEastAsia" w:eastAsiaTheme="majorEastAsia"/>
                <w:sz w:val="18"/>
                <w:szCs w:val="18"/>
              </w:rPr>
            </w:pPr>
            <w:r>
              <w:rPr>
                <w:rFonts w:hint="eastAsia" w:asciiTheme="majorEastAsia" w:hAnsiTheme="majorEastAsia" w:eastAsiaTheme="majorEastAsia"/>
                <w:sz w:val="18"/>
                <w:szCs w:val="18"/>
              </w:rPr>
              <w:t>1</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sz w:val="18"/>
                <w:szCs w:val="18"/>
              </w:rPr>
            </w:pPr>
            <w:r>
              <w:rPr>
                <w:rFonts w:hint="eastAsia" w:asciiTheme="majorEastAsia" w:hAnsiTheme="majorEastAsia" w:eastAsiaTheme="majorEastAsia"/>
                <w:sz w:val="18"/>
                <w:szCs w:val="18"/>
              </w:rPr>
              <w:t>被检查单位自查报告</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有模板</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asciiTheme="majorEastAsia" w:hAnsiTheme="majorEastAsia" w:eastAsiaTheme="majorEastAsia"/>
                <w:sz w:val="18"/>
                <w:szCs w:val="18"/>
              </w:rPr>
            </w:pPr>
            <w:r>
              <w:rPr>
                <w:rFonts w:hint="eastAsia" w:asciiTheme="majorEastAsia" w:hAnsiTheme="majorEastAsia" w:eastAsiaTheme="majorEastAsia"/>
                <w:sz w:val="18"/>
                <w:szCs w:val="18"/>
              </w:rPr>
              <w:t>2</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sz w:val="18"/>
                <w:szCs w:val="18"/>
              </w:rPr>
            </w:pPr>
            <w:r>
              <w:rPr>
                <w:rFonts w:hint="eastAsia" w:asciiTheme="majorEastAsia" w:hAnsiTheme="majorEastAsia" w:eastAsiaTheme="majorEastAsia"/>
                <w:sz w:val="18"/>
                <w:szCs w:val="18"/>
              </w:rPr>
              <w:t>被检查单位承诺书</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有模板</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asciiTheme="majorEastAsia" w:hAnsiTheme="majorEastAsia" w:eastAsiaTheme="majorEastAsia"/>
                <w:sz w:val="18"/>
                <w:szCs w:val="18"/>
              </w:rPr>
            </w:pPr>
            <w:r>
              <w:rPr>
                <w:rFonts w:asciiTheme="majorEastAsia" w:hAnsiTheme="majorEastAsia" w:eastAsiaTheme="majorEastAsia"/>
                <w:sz w:val="18"/>
                <w:szCs w:val="18"/>
              </w:rPr>
              <w:t>3</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sz w:val="18"/>
                <w:szCs w:val="18"/>
              </w:rPr>
            </w:pPr>
            <w:r>
              <w:rPr>
                <w:rFonts w:hint="eastAsia" w:asciiTheme="majorEastAsia" w:hAnsiTheme="majorEastAsia" w:eastAsiaTheme="majorEastAsia"/>
                <w:sz w:val="18"/>
                <w:szCs w:val="18"/>
              </w:rPr>
              <w:t>被检查单位基本情况表</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有模板</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asciiTheme="majorEastAsia" w:hAnsiTheme="majorEastAsia" w:eastAsiaTheme="majorEastAsia"/>
                <w:sz w:val="18"/>
                <w:szCs w:val="18"/>
              </w:rPr>
            </w:pPr>
            <w:r>
              <w:rPr>
                <w:rFonts w:asciiTheme="majorEastAsia" w:hAnsiTheme="majorEastAsia" w:eastAsiaTheme="majorEastAsia"/>
                <w:sz w:val="18"/>
                <w:szCs w:val="18"/>
              </w:rPr>
              <w:t>4</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sz w:val="18"/>
                <w:szCs w:val="18"/>
              </w:rPr>
            </w:pPr>
            <w:r>
              <w:rPr>
                <w:rFonts w:hint="eastAsia" w:asciiTheme="majorEastAsia" w:hAnsiTheme="majorEastAsia" w:eastAsiaTheme="majorEastAsia"/>
                <w:sz w:val="18"/>
                <w:szCs w:val="18"/>
              </w:rPr>
              <w:t>被检查单位资产评估师及专业人员情况表（其中：资质注明执业或非执业；一人多证的需详细注明）</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有模板</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asciiTheme="majorEastAsia" w:hAnsiTheme="majorEastAsia" w:eastAsiaTheme="majorEastAsia"/>
                <w:sz w:val="18"/>
                <w:szCs w:val="18"/>
              </w:rPr>
            </w:pPr>
            <w:r>
              <w:rPr>
                <w:rFonts w:asciiTheme="majorEastAsia" w:hAnsiTheme="majorEastAsia" w:eastAsiaTheme="majorEastAsia"/>
                <w:sz w:val="18"/>
                <w:szCs w:val="18"/>
              </w:rPr>
              <w:t>5</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sz w:val="18"/>
                <w:szCs w:val="18"/>
              </w:rPr>
            </w:pPr>
            <w:r>
              <w:rPr>
                <w:rFonts w:hint="eastAsia" w:asciiTheme="majorEastAsia" w:hAnsiTheme="majorEastAsia" w:eastAsiaTheme="majorEastAsia"/>
                <w:sz w:val="18"/>
                <w:szCs w:val="18"/>
              </w:rPr>
              <w:t>被检查单位资产评估报告明细表</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有模板</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asciiTheme="majorEastAsia" w:hAnsiTheme="majorEastAsia" w:eastAsiaTheme="majorEastAsia"/>
                <w:color w:val="000000"/>
                <w:sz w:val="18"/>
                <w:szCs w:val="18"/>
              </w:rPr>
            </w:pPr>
            <w:r>
              <w:rPr>
                <w:rFonts w:asciiTheme="majorEastAsia" w:hAnsiTheme="majorEastAsia" w:eastAsiaTheme="majorEastAsia"/>
                <w:color w:val="000000"/>
                <w:sz w:val="18"/>
                <w:szCs w:val="18"/>
              </w:rPr>
              <w:t>6</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资产评估机构党建情况信息表</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有模板</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asciiTheme="majorEastAsia" w:hAnsiTheme="majorEastAsia" w:eastAsiaTheme="majorEastAsia"/>
                <w:color w:val="000000"/>
                <w:sz w:val="18"/>
                <w:szCs w:val="18"/>
              </w:rPr>
            </w:pPr>
            <w:r>
              <w:rPr>
                <w:rFonts w:asciiTheme="majorEastAsia" w:hAnsiTheme="majorEastAsia" w:eastAsiaTheme="majorEastAsia"/>
                <w:color w:val="000000"/>
                <w:sz w:val="18"/>
                <w:szCs w:val="18"/>
              </w:rPr>
              <w:t>7</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机构简介</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default" w:asciiTheme="majorEastAsia" w:hAnsiTheme="majorEastAsia" w:eastAsiaTheme="majorEastAsia"/>
                <w:color w:val="000000"/>
                <w:sz w:val="18"/>
                <w:szCs w:val="18"/>
                <w:lang w:val="en-US" w:eastAsia="zh-CN"/>
              </w:rPr>
            </w:pPr>
            <w:r>
              <w:rPr>
                <w:rFonts w:hint="eastAsia" w:asciiTheme="majorEastAsia" w:hAnsiTheme="majorEastAsia" w:eastAsiaTheme="majorEastAsia"/>
                <w:color w:val="000000"/>
                <w:sz w:val="18"/>
                <w:szCs w:val="18"/>
                <w:lang w:val="en-US" w:eastAsia="zh-CN"/>
              </w:rPr>
              <w:t>8</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ajorEastAsia" w:hAnsiTheme="majorEastAsia" w:eastAsiaTheme="majorEastAsia"/>
                <w:color w:val="000000"/>
                <w:sz w:val="18"/>
                <w:szCs w:val="18"/>
                <w:lang w:eastAsia="zh-CN"/>
              </w:rPr>
            </w:pPr>
            <w:r>
              <w:rPr>
                <w:rFonts w:hint="eastAsia" w:asciiTheme="majorEastAsia" w:hAnsiTheme="majorEastAsia" w:eastAsiaTheme="majorEastAsia"/>
                <w:color w:val="000000"/>
                <w:sz w:val="18"/>
                <w:szCs w:val="18"/>
                <w:lang w:eastAsia="zh-CN"/>
              </w:rPr>
              <w:t>统一信用代码证</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ajorEastAsia" w:hAnsiTheme="majorEastAsia" w:eastAsiaTheme="majorEastAsia"/>
                <w:color w:val="000000"/>
                <w:sz w:val="18"/>
                <w:szCs w:val="18"/>
              </w:rPr>
            </w:pP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ajorEastAsia" w:hAnsiTheme="majorEastAsia" w:eastAsiaTheme="majorEastAsia"/>
                <w:color w:val="000000"/>
                <w:sz w:val="18"/>
                <w:szCs w:val="18"/>
              </w:rPr>
            </w:pP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ajorEastAsia" w:hAnsiTheme="majorEastAsia" w:eastAsiaTheme="majorEastAsia"/>
                <w:color w:val="000000"/>
                <w:sz w:val="18"/>
                <w:szCs w:val="18"/>
              </w:rPr>
            </w:pP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hint="eastAsia" w:asciiTheme="majorEastAsia" w:hAnsiTheme="majorEastAsia" w:eastAsiaTheme="majorEastAsia"/>
                <w:color w:val="000000"/>
                <w:sz w:val="18"/>
                <w:szCs w:val="18"/>
              </w:rPr>
            </w:pP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eastAsia" w:asciiTheme="majorEastAsia" w:hAnsiTheme="majorEastAsia" w:eastAsiaTheme="majorEastAsia"/>
                <w:color w:val="000000"/>
                <w:sz w:val="18"/>
                <w:szCs w:val="18"/>
                <w:lang w:val="en-US" w:eastAsia="zh-CN"/>
              </w:rPr>
            </w:pPr>
            <w:r>
              <w:rPr>
                <w:rFonts w:hint="eastAsia" w:asciiTheme="majorEastAsia" w:hAnsiTheme="majorEastAsia" w:eastAsiaTheme="majorEastAsia"/>
                <w:color w:val="000000"/>
                <w:sz w:val="18"/>
                <w:szCs w:val="18"/>
                <w:lang w:val="en-US" w:eastAsia="zh-CN"/>
              </w:rPr>
              <w:t>9</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营业执照（含分支机构）</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default" w:asciiTheme="majorEastAsia" w:hAnsiTheme="majorEastAsia" w:eastAsiaTheme="majorEastAsia"/>
                <w:color w:val="000000"/>
                <w:sz w:val="18"/>
                <w:szCs w:val="18"/>
                <w:lang w:val="en-US" w:eastAsia="zh-CN"/>
              </w:rPr>
            </w:pPr>
            <w:r>
              <w:rPr>
                <w:rFonts w:hint="eastAsia" w:asciiTheme="majorEastAsia" w:hAnsiTheme="majorEastAsia" w:eastAsiaTheme="majorEastAsia"/>
                <w:color w:val="000000"/>
                <w:sz w:val="18"/>
                <w:szCs w:val="18"/>
                <w:lang w:val="en-US" w:eastAsia="zh-CN"/>
              </w:rPr>
              <w:t>10</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机构执业资格备案公告</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eastAsia" w:asciiTheme="majorEastAsia" w:hAnsiTheme="majorEastAsia" w:eastAsiaTheme="majorEastAsia"/>
                <w:color w:val="000000"/>
                <w:sz w:val="18"/>
                <w:szCs w:val="18"/>
                <w:lang w:eastAsia="zh-CN"/>
              </w:rPr>
            </w:pPr>
            <w:r>
              <w:rPr>
                <w:rFonts w:hint="eastAsia" w:asciiTheme="majorEastAsia" w:hAnsiTheme="majorEastAsia" w:eastAsiaTheme="majorEastAsia"/>
                <w:color w:val="000000"/>
                <w:sz w:val="18"/>
                <w:szCs w:val="18"/>
              </w:rPr>
              <w:t>1</w:t>
            </w:r>
            <w:r>
              <w:rPr>
                <w:rFonts w:hint="eastAsia" w:asciiTheme="majorEastAsia" w:hAnsiTheme="majorEastAsia" w:eastAsiaTheme="majorEastAsia"/>
                <w:color w:val="000000"/>
                <w:sz w:val="18"/>
                <w:szCs w:val="18"/>
                <w:lang w:val="en-US" w:eastAsia="zh-CN"/>
              </w:rPr>
              <w:t>1</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机构证券从业资格公示文件</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eastAsia" w:asciiTheme="majorEastAsia" w:hAnsiTheme="majorEastAsia" w:eastAsiaTheme="majorEastAsia"/>
                <w:color w:val="000000"/>
                <w:sz w:val="18"/>
                <w:szCs w:val="18"/>
                <w:lang w:eastAsia="zh-CN"/>
              </w:rPr>
            </w:pPr>
            <w:r>
              <w:rPr>
                <w:rFonts w:hint="eastAsia" w:asciiTheme="majorEastAsia" w:hAnsiTheme="majorEastAsia" w:eastAsiaTheme="majorEastAsia"/>
                <w:color w:val="000000"/>
                <w:sz w:val="18"/>
                <w:szCs w:val="18"/>
              </w:rPr>
              <w:t>1</w:t>
            </w:r>
            <w:r>
              <w:rPr>
                <w:rFonts w:hint="eastAsia" w:asciiTheme="majorEastAsia" w:hAnsiTheme="majorEastAsia" w:eastAsiaTheme="majorEastAsia"/>
                <w:color w:val="000000"/>
                <w:sz w:val="18"/>
                <w:szCs w:val="18"/>
                <w:lang w:val="en-US" w:eastAsia="zh-CN"/>
              </w:rPr>
              <w:t>2</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2020.1.1—2020.12.31机构发文登记本</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r>
      <w:tr>
        <w:tblPrEx>
          <w:tblCellMar>
            <w:top w:w="0" w:type="dxa"/>
            <w:left w:w="108" w:type="dxa"/>
            <w:bottom w:w="0" w:type="dxa"/>
            <w:right w:w="108" w:type="dxa"/>
          </w:tblCellMar>
        </w:tblPrEx>
        <w:trPr>
          <w:trHeight w:val="6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eastAsia" w:asciiTheme="majorEastAsia" w:hAnsiTheme="majorEastAsia" w:eastAsiaTheme="majorEastAsia"/>
                <w:color w:val="000000"/>
                <w:sz w:val="18"/>
                <w:szCs w:val="18"/>
                <w:lang w:eastAsia="zh-CN"/>
              </w:rPr>
            </w:pPr>
            <w:r>
              <w:rPr>
                <w:rFonts w:hint="eastAsia" w:asciiTheme="majorEastAsia" w:hAnsiTheme="majorEastAsia" w:eastAsiaTheme="majorEastAsia"/>
                <w:color w:val="000000"/>
                <w:sz w:val="18"/>
                <w:szCs w:val="18"/>
              </w:rPr>
              <w:t>1</w:t>
            </w:r>
            <w:r>
              <w:rPr>
                <w:rFonts w:hint="eastAsia" w:asciiTheme="majorEastAsia" w:hAnsiTheme="majorEastAsia" w:eastAsiaTheme="majorEastAsia"/>
                <w:color w:val="000000"/>
                <w:sz w:val="18"/>
                <w:szCs w:val="18"/>
                <w:lang w:val="en-US" w:eastAsia="zh-CN"/>
              </w:rPr>
              <w:t>3</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2020.1.1—2020.12.31出具的资产评估报告书及其工作底稿</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备查</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eastAsia" w:asciiTheme="majorEastAsia" w:hAnsiTheme="majorEastAsia" w:eastAsiaTheme="majorEastAsia"/>
                <w:color w:val="000000"/>
                <w:sz w:val="18"/>
                <w:szCs w:val="18"/>
                <w:lang w:eastAsia="zh-CN"/>
              </w:rPr>
            </w:pPr>
            <w:r>
              <w:rPr>
                <w:rFonts w:hint="eastAsia" w:asciiTheme="majorEastAsia" w:hAnsiTheme="majorEastAsia" w:eastAsiaTheme="majorEastAsia"/>
                <w:color w:val="000000"/>
                <w:sz w:val="18"/>
                <w:szCs w:val="18"/>
              </w:rPr>
              <w:t>1</w:t>
            </w:r>
            <w:r>
              <w:rPr>
                <w:rFonts w:hint="eastAsia" w:asciiTheme="majorEastAsia" w:hAnsiTheme="majorEastAsia" w:eastAsiaTheme="majorEastAsia"/>
                <w:color w:val="000000"/>
                <w:sz w:val="18"/>
                <w:szCs w:val="18"/>
                <w:lang w:val="en-US" w:eastAsia="zh-CN"/>
              </w:rPr>
              <w:t>4</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机构内部管理和质量控制制度目录（见附表）</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r>
              <w:rPr>
                <w:rFonts w:hint="eastAsia" w:asciiTheme="majorEastAsia" w:hAnsiTheme="majorEastAsia" w:eastAsiaTheme="majorEastAsia"/>
                <w:color w:val="000000"/>
                <w:sz w:val="18"/>
                <w:szCs w:val="18"/>
                <w:lang w:eastAsia="zh-CN"/>
              </w:rPr>
              <w:t>有模板</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eastAsia" w:asciiTheme="majorEastAsia" w:hAnsiTheme="majorEastAsia" w:eastAsiaTheme="majorEastAsia"/>
                <w:color w:val="000000"/>
                <w:sz w:val="18"/>
                <w:szCs w:val="18"/>
                <w:lang w:eastAsia="zh-CN"/>
              </w:rPr>
            </w:pPr>
            <w:r>
              <w:rPr>
                <w:rFonts w:hint="eastAsia" w:asciiTheme="majorEastAsia" w:hAnsiTheme="majorEastAsia" w:eastAsiaTheme="majorEastAsia"/>
                <w:color w:val="000000"/>
                <w:sz w:val="18"/>
                <w:szCs w:val="18"/>
              </w:rPr>
              <w:t>1</w:t>
            </w:r>
            <w:r>
              <w:rPr>
                <w:rFonts w:hint="eastAsia" w:asciiTheme="majorEastAsia" w:hAnsiTheme="majorEastAsia" w:eastAsiaTheme="majorEastAsia"/>
                <w:color w:val="000000"/>
                <w:sz w:val="18"/>
                <w:szCs w:val="18"/>
                <w:lang w:val="en-US" w:eastAsia="zh-CN"/>
              </w:rPr>
              <w:t>5</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机构内部管理和质量控制制度</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eastAsia" w:asciiTheme="majorEastAsia" w:hAnsiTheme="majorEastAsia" w:eastAsiaTheme="majorEastAsia"/>
                <w:color w:val="000000"/>
                <w:sz w:val="18"/>
                <w:szCs w:val="18"/>
                <w:lang w:eastAsia="zh-CN"/>
              </w:rPr>
            </w:pPr>
            <w:r>
              <w:rPr>
                <w:rFonts w:hint="eastAsia" w:asciiTheme="majorEastAsia" w:hAnsiTheme="majorEastAsia" w:eastAsiaTheme="majorEastAsia"/>
                <w:color w:val="000000"/>
                <w:sz w:val="18"/>
                <w:szCs w:val="18"/>
              </w:rPr>
              <w:t>1</w:t>
            </w:r>
            <w:r>
              <w:rPr>
                <w:rFonts w:hint="eastAsia" w:asciiTheme="majorEastAsia" w:hAnsiTheme="majorEastAsia" w:eastAsiaTheme="majorEastAsia"/>
                <w:color w:val="000000"/>
                <w:sz w:val="18"/>
                <w:szCs w:val="18"/>
                <w:lang w:val="en-US" w:eastAsia="zh-CN"/>
              </w:rPr>
              <w:t>6</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资产评估师名单</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eastAsia" w:asciiTheme="majorEastAsia" w:hAnsiTheme="majorEastAsia" w:eastAsiaTheme="majorEastAsia"/>
                <w:color w:val="000000"/>
                <w:sz w:val="18"/>
                <w:szCs w:val="18"/>
                <w:lang w:eastAsia="zh-CN"/>
              </w:rPr>
            </w:pPr>
            <w:r>
              <w:rPr>
                <w:rFonts w:asciiTheme="majorEastAsia" w:hAnsiTheme="majorEastAsia" w:eastAsiaTheme="majorEastAsia"/>
                <w:color w:val="000000"/>
                <w:sz w:val="18"/>
                <w:szCs w:val="18"/>
              </w:rPr>
              <w:t>1</w:t>
            </w:r>
            <w:r>
              <w:rPr>
                <w:rFonts w:hint="eastAsia" w:asciiTheme="majorEastAsia" w:hAnsiTheme="majorEastAsia" w:eastAsiaTheme="majorEastAsia"/>
                <w:color w:val="000000"/>
                <w:sz w:val="18"/>
                <w:szCs w:val="18"/>
                <w:lang w:val="en-US" w:eastAsia="zh-CN"/>
              </w:rPr>
              <w:t>7</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资产评估师职业资格证书登记卡</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r>
      <w:tr>
        <w:tblPrEx>
          <w:tblCellMar>
            <w:top w:w="0" w:type="dxa"/>
            <w:left w:w="108" w:type="dxa"/>
            <w:bottom w:w="0" w:type="dxa"/>
            <w:right w:w="108" w:type="dxa"/>
          </w:tblCellMar>
        </w:tblPrEx>
        <w:trPr>
          <w:trHeight w:val="6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eastAsia" w:asciiTheme="majorEastAsia" w:hAnsiTheme="majorEastAsia" w:eastAsiaTheme="majorEastAsia"/>
                <w:color w:val="000000"/>
                <w:sz w:val="18"/>
                <w:szCs w:val="18"/>
                <w:lang w:eastAsia="zh-CN"/>
              </w:rPr>
            </w:pPr>
            <w:r>
              <w:rPr>
                <w:rFonts w:asciiTheme="majorEastAsia" w:hAnsiTheme="majorEastAsia" w:eastAsiaTheme="majorEastAsia"/>
                <w:color w:val="000000"/>
                <w:sz w:val="18"/>
                <w:szCs w:val="18"/>
              </w:rPr>
              <w:t>1</w:t>
            </w:r>
            <w:r>
              <w:rPr>
                <w:rFonts w:hint="eastAsia" w:asciiTheme="majorEastAsia" w:hAnsiTheme="majorEastAsia" w:eastAsiaTheme="majorEastAsia"/>
                <w:color w:val="000000"/>
                <w:sz w:val="18"/>
                <w:szCs w:val="18"/>
                <w:lang w:val="en-US" w:eastAsia="zh-CN"/>
              </w:rPr>
              <w:t>8</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公司章程或合伙协议（含分支机构）、工商登记和变更登记资料</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r>
      <w:tr>
        <w:tblPrEx>
          <w:tblCellMar>
            <w:top w:w="0" w:type="dxa"/>
            <w:left w:w="108" w:type="dxa"/>
            <w:bottom w:w="0" w:type="dxa"/>
            <w:right w:w="108" w:type="dxa"/>
          </w:tblCellMar>
        </w:tblPrEx>
        <w:trPr>
          <w:trHeight w:val="31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eastAsia" w:asciiTheme="majorEastAsia" w:hAnsiTheme="majorEastAsia" w:eastAsiaTheme="majorEastAsia"/>
                <w:color w:val="000000"/>
                <w:sz w:val="18"/>
                <w:szCs w:val="18"/>
                <w:lang w:eastAsia="zh-CN"/>
              </w:rPr>
            </w:pPr>
            <w:r>
              <w:rPr>
                <w:rFonts w:asciiTheme="majorEastAsia" w:hAnsiTheme="majorEastAsia" w:eastAsiaTheme="majorEastAsia"/>
                <w:color w:val="000000"/>
                <w:sz w:val="18"/>
                <w:szCs w:val="18"/>
              </w:rPr>
              <w:t>1</w:t>
            </w:r>
            <w:r>
              <w:rPr>
                <w:rFonts w:hint="eastAsia" w:asciiTheme="majorEastAsia" w:hAnsiTheme="majorEastAsia" w:eastAsiaTheme="majorEastAsia"/>
                <w:color w:val="000000"/>
                <w:sz w:val="18"/>
                <w:szCs w:val="18"/>
                <w:lang w:val="en-US" w:eastAsia="zh-CN"/>
              </w:rPr>
              <w:t>9</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机构内部财务制度</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r>
      <w:tr>
        <w:tblPrEx>
          <w:tblCellMar>
            <w:top w:w="0" w:type="dxa"/>
            <w:left w:w="108" w:type="dxa"/>
            <w:bottom w:w="0" w:type="dxa"/>
            <w:right w:w="108" w:type="dxa"/>
          </w:tblCellMar>
        </w:tblPrEx>
        <w:trPr>
          <w:trHeight w:val="93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default" w:asciiTheme="majorEastAsia" w:hAnsiTheme="majorEastAsia" w:eastAsiaTheme="majorEastAsia"/>
                <w:color w:val="000000"/>
                <w:sz w:val="18"/>
                <w:szCs w:val="18"/>
                <w:lang w:val="en-US" w:eastAsia="zh-CN"/>
              </w:rPr>
            </w:pPr>
            <w:r>
              <w:rPr>
                <w:rFonts w:hint="eastAsia" w:asciiTheme="majorEastAsia" w:hAnsiTheme="majorEastAsia" w:eastAsiaTheme="majorEastAsia"/>
                <w:color w:val="000000"/>
                <w:sz w:val="18"/>
                <w:szCs w:val="18"/>
                <w:lang w:val="en-US" w:eastAsia="zh-CN"/>
              </w:rPr>
              <w:t>20</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lang w:val="en-US" w:eastAsia="zh-CN"/>
              </w:rPr>
              <w:t>2020年度</w:t>
            </w:r>
            <w:r>
              <w:rPr>
                <w:rFonts w:hint="eastAsia" w:asciiTheme="majorEastAsia" w:hAnsiTheme="majorEastAsia" w:eastAsiaTheme="majorEastAsia"/>
                <w:color w:val="000000"/>
                <w:sz w:val="18"/>
                <w:szCs w:val="18"/>
              </w:rPr>
              <w:t>审计报告（含分支机构）、银行对账单及调节表、科目余额表、有关资产权属证书（房地产、车辆等）、借款合同（如有）</w:t>
            </w:r>
          </w:p>
        </w:tc>
        <w:tc>
          <w:tcPr>
            <w:tcW w:w="709"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r>
      <w:tr>
        <w:tblPrEx>
          <w:tblCellMar>
            <w:top w:w="0" w:type="dxa"/>
            <w:left w:w="108" w:type="dxa"/>
            <w:bottom w:w="0" w:type="dxa"/>
            <w:right w:w="108" w:type="dxa"/>
          </w:tblCellMar>
        </w:tblPrEx>
        <w:trPr>
          <w:trHeight w:val="6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eastAsia" w:asciiTheme="majorEastAsia" w:hAnsiTheme="majorEastAsia" w:eastAsiaTheme="majorEastAsia"/>
                <w:color w:val="000000"/>
                <w:sz w:val="18"/>
                <w:szCs w:val="18"/>
                <w:lang w:eastAsia="zh-CN"/>
              </w:rPr>
            </w:pPr>
            <w:r>
              <w:rPr>
                <w:rFonts w:hint="eastAsia" w:asciiTheme="majorEastAsia" w:hAnsiTheme="majorEastAsia" w:eastAsiaTheme="majorEastAsia"/>
                <w:color w:val="000000"/>
                <w:sz w:val="18"/>
                <w:szCs w:val="18"/>
              </w:rPr>
              <w:t>2</w:t>
            </w:r>
            <w:r>
              <w:rPr>
                <w:rFonts w:hint="eastAsia" w:asciiTheme="majorEastAsia" w:hAnsiTheme="majorEastAsia" w:eastAsiaTheme="majorEastAsia"/>
                <w:color w:val="000000"/>
                <w:sz w:val="18"/>
                <w:szCs w:val="18"/>
                <w:lang w:val="en-US" w:eastAsia="zh-CN"/>
              </w:rPr>
              <w:t>1</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成本费用的主要合同（如房租合同等）</w:t>
            </w:r>
          </w:p>
        </w:tc>
        <w:tc>
          <w:tcPr>
            <w:tcW w:w="709"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r>
      <w:tr>
        <w:tblPrEx>
          <w:tblCellMar>
            <w:top w:w="0" w:type="dxa"/>
            <w:left w:w="108" w:type="dxa"/>
            <w:bottom w:w="0" w:type="dxa"/>
            <w:right w:w="108" w:type="dxa"/>
          </w:tblCellMar>
        </w:tblPrEx>
        <w:trPr>
          <w:trHeight w:val="6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eastAsia" w:asciiTheme="majorEastAsia" w:hAnsiTheme="majorEastAsia" w:eastAsiaTheme="majorEastAsia"/>
                <w:color w:val="000000"/>
                <w:sz w:val="18"/>
                <w:szCs w:val="18"/>
                <w:lang w:eastAsia="zh-CN"/>
              </w:rPr>
            </w:pPr>
            <w:r>
              <w:rPr>
                <w:rFonts w:hint="eastAsia" w:asciiTheme="majorEastAsia" w:hAnsiTheme="majorEastAsia" w:eastAsiaTheme="majorEastAsia"/>
                <w:color w:val="000000"/>
                <w:sz w:val="18"/>
                <w:szCs w:val="18"/>
              </w:rPr>
              <w:t>2</w:t>
            </w:r>
            <w:r>
              <w:rPr>
                <w:rFonts w:hint="eastAsia" w:asciiTheme="majorEastAsia" w:hAnsiTheme="majorEastAsia" w:eastAsiaTheme="majorEastAsia"/>
                <w:color w:val="000000"/>
                <w:sz w:val="18"/>
                <w:szCs w:val="18"/>
                <w:lang w:val="en-US" w:eastAsia="zh-CN"/>
              </w:rPr>
              <w:t>2</w:t>
            </w:r>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固定资产明细表；职业责任保险单或职业责任风险金等</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r>
      <w:tr>
        <w:tblPrEx>
          <w:tblCellMar>
            <w:top w:w="0" w:type="dxa"/>
            <w:left w:w="108" w:type="dxa"/>
            <w:bottom w:w="0" w:type="dxa"/>
            <w:right w:w="108" w:type="dxa"/>
          </w:tblCellMar>
        </w:tblPrEx>
        <w:trPr>
          <w:trHeight w:val="620" w:hRule="atLeast"/>
        </w:trPr>
        <w:tc>
          <w:tcPr>
            <w:tcW w:w="740"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right"/>
              <w:rPr>
                <w:rFonts w:hint="eastAsia" w:asciiTheme="majorEastAsia" w:hAnsiTheme="majorEastAsia" w:eastAsiaTheme="majorEastAsia"/>
                <w:color w:val="000000"/>
                <w:sz w:val="18"/>
                <w:szCs w:val="18"/>
                <w:lang w:eastAsia="zh-CN"/>
              </w:rPr>
            </w:pPr>
            <w:r>
              <w:rPr>
                <w:rFonts w:hint="eastAsia" w:asciiTheme="majorEastAsia" w:hAnsiTheme="majorEastAsia" w:eastAsiaTheme="majorEastAsia"/>
                <w:color w:val="000000"/>
                <w:sz w:val="18"/>
                <w:szCs w:val="18"/>
              </w:rPr>
              <w:t>2</w:t>
            </w:r>
            <w:r>
              <w:rPr>
                <w:rFonts w:hint="eastAsia" w:asciiTheme="majorEastAsia" w:hAnsiTheme="majorEastAsia" w:eastAsiaTheme="majorEastAsia"/>
                <w:color w:val="000000"/>
                <w:sz w:val="18"/>
                <w:szCs w:val="18"/>
                <w:lang w:val="en-US" w:eastAsia="zh-CN"/>
              </w:rPr>
              <w:t>3</w:t>
            </w:r>
            <w:bookmarkStart w:id="34" w:name="_GoBack"/>
            <w:bookmarkEnd w:id="34"/>
          </w:p>
        </w:tc>
        <w:tc>
          <w:tcPr>
            <w:tcW w:w="4505"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2020.1</w:t>
            </w:r>
            <w:r>
              <w:rPr>
                <w:rFonts w:hint="eastAsia" w:asciiTheme="majorEastAsia" w:hAnsiTheme="majorEastAsia" w:eastAsiaTheme="majorEastAsia"/>
                <w:color w:val="000000"/>
                <w:sz w:val="18"/>
                <w:szCs w:val="18"/>
                <w:lang w:val="en-US" w:eastAsia="zh-CN"/>
              </w:rPr>
              <w:t>.1</w:t>
            </w:r>
            <w:r>
              <w:rPr>
                <w:rFonts w:hint="eastAsia" w:asciiTheme="majorEastAsia" w:hAnsiTheme="majorEastAsia" w:eastAsiaTheme="majorEastAsia"/>
                <w:color w:val="000000"/>
                <w:sz w:val="18"/>
                <w:szCs w:val="18"/>
              </w:rPr>
              <w:t>—2020.12.31会计账簿及凭证、各科目总账及明细账</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850"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spacing w:line="360" w:lineRule="auto"/>
              <w:rPr>
                <w:rFonts w:asciiTheme="majorEastAsia" w:hAnsiTheme="majorEastAsia" w:eastAsiaTheme="majorEastAsia"/>
                <w:color w:val="000000"/>
                <w:sz w:val="18"/>
                <w:szCs w:val="18"/>
              </w:rPr>
            </w:pPr>
            <w:r>
              <w:rPr>
                <w:rFonts w:hint="eastAsia" w:asciiTheme="majorEastAsia" w:hAnsiTheme="majorEastAsia" w:eastAsiaTheme="majorEastAsia"/>
                <w:color w:val="000000"/>
                <w:sz w:val="18"/>
                <w:szCs w:val="18"/>
              </w:rPr>
              <w:t>　</w:t>
            </w:r>
          </w:p>
        </w:tc>
      </w:tr>
      <w:bookmarkEnd w:id="3"/>
    </w:tbl>
    <w:p>
      <w:pPr>
        <w:pStyle w:val="5"/>
        <w:spacing w:line="360" w:lineRule="auto"/>
        <w:ind w:firstLine="0" w:firstLineChars="0"/>
        <w:rPr>
          <w:rFonts w:ascii="宋体" w:hAnsi="宋体" w:cs="宋体"/>
          <w:b/>
          <w:bCs/>
        </w:rPr>
      </w:pPr>
      <w:bookmarkStart w:id="4" w:name="_Hlk84928799"/>
      <w:r>
        <w:rPr>
          <w:rFonts w:hint="eastAsia" w:asciiTheme="majorEastAsia" w:hAnsiTheme="majorEastAsia" w:eastAsiaTheme="majorEastAsia"/>
          <w:b/>
          <w:bCs/>
        </w:rPr>
        <w:t>有无一栏请</w:t>
      </w:r>
      <w:r>
        <w:rPr>
          <w:rFonts w:hint="eastAsia" w:ascii="宋体" w:hAnsi="宋体" w:cs="宋体"/>
          <w:b/>
          <w:bCs/>
        </w:rPr>
        <w:t>√</w:t>
      </w:r>
    </w:p>
    <w:p>
      <w:pPr>
        <w:pStyle w:val="5"/>
        <w:spacing w:line="360" w:lineRule="auto"/>
        <w:ind w:firstLine="0" w:firstLineChars="0"/>
        <w:rPr>
          <w:rFonts w:ascii="宋体" w:hAnsi="宋体" w:cs="宋体"/>
        </w:rPr>
      </w:pPr>
    </w:p>
    <w:p>
      <w:pPr>
        <w:spacing w:line="360" w:lineRule="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被评估机构人员： </w:t>
      </w:r>
      <w:r>
        <w:rPr>
          <w:rFonts w:cs="Times New Roman" w:asciiTheme="majorEastAsia" w:hAnsiTheme="majorEastAsia" w:eastAsiaTheme="majorEastAsia"/>
          <w:szCs w:val="21"/>
        </w:rPr>
        <w:t xml:space="preserve">            检查</w:t>
      </w:r>
      <w:r>
        <w:rPr>
          <w:rFonts w:hint="eastAsia" w:cs="Times New Roman" w:asciiTheme="majorEastAsia" w:hAnsiTheme="majorEastAsia" w:eastAsiaTheme="majorEastAsia"/>
          <w:szCs w:val="21"/>
        </w:rPr>
        <w:t>接收</w:t>
      </w:r>
      <w:r>
        <w:rPr>
          <w:rFonts w:cs="Times New Roman" w:asciiTheme="majorEastAsia" w:hAnsiTheme="majorEastAsia" w:eastAsiaTheme="majorEastAsia"/>
          <w:szCs w:val="21"/>
        </w:rPr>
        <w:t>人员</w:t>
      </w:r>
      <w:r>
        <w:rPr>
          <w:rFonts w:hint="eastAsia" w:cs="Times New Roman" w:asciiTheme="majorEastAsia" w:hAnsiTheme="majorEastAsia" w:eastAsiaTheme="majorEastAsia"/>
          <w:szCs w:val="21"/>
        </w:rPr>
        <w:t>：</w:t>
      </w:r>
      <w:r>
        <w:rPr>
          <w:rFonts w:cs="Times New Roman" w:asciiTheme="majorEastAsia" w:hAnsiTheme="majorEastAsia" w:eastAsiaTheme="majorEastAsia"/>
          <w:szCs w:val="21"/>
        </w:rPr>
        <w:t xml:space="preserve">             检查时间：</w:t>
      </w:r>
    </w:p>
    <w:bookmarkEnd w:id="4"/>
    <w:p>
      <w:pPr>
        <w:pStyle w:val="5"/>
        <w:spacing w:line="360" w:lineRule="auto"/>
        <w:ind w:firstLine="0" w:firstLineChars="0"/>
        <w:rPr>
          <w:rFonts w:asciiTheme="majorEastAsia" w:hAnsiTheme="majorEastAsia" w:eastAsiaTheme="majorEastAsia"/>
        </w:rPr>
        <w:sectPr>
          <w:headerReference r:id="rId4" w:type="default"/>
          <w:footerReference r:id="rId5" w:type="default"/>
          <w:pgSz w:w="11906" w:h="16838"/>
          <w:pgMar w:top="1440" w:right="1841" w:bottom="1440" w:left="1560" w:header="851" w:footer="992" w:gutter="0"/>
          <w:cols w:space="425" w:num="1"/>
          <w:docGrid w:type="lines" w:linePitch="312" w:charSpace="0"/>
        </w:sectPr>
      </w:pPr>
    </w:p>
    <w:p>
      <w:pPr>
        <w:pStyle w:val="4"/>
        <w:numPr>
          <w:ilvl w:val="0"/>
          <w:numId w:val="1"/>
        </w:numPr>
        <w:ind w:firstLine="634"/>
        <w:jc w:val="center"/>
        <w:rPr>
          <w:rFonts w:hint="eastAsia" w:ascii="仿宋_GB2312" w:hAnsi="仿宋_GB2312" w:eastAsia="仿宋_GB2312" w:cs="仿宋_GB2312"/>
          <w:b/>
          <w:bCs w:val="0"/>
          <w:color w:val="000000"/>
          <w:sz w:val="32"/>
          <w:szCs w:val="32"/>
        </w:rPr>
      </w:pPr>
      <w:bookmarkStart w:id="5" w:name="_Toc70352799"/>
      <w:bookmarkStart w:id="6" w:name="_Toc83801762"/>
      <w:bookmarkStart w:id="7" w:name="_Toc83801610"/>
      <w:bookmarkStart w:id="8" w:name="_Toc19144"/>
      <w:r>
        <w:rPr>
          <w:rFonts w:hint="eastAsia" w:ascii="仿宋_GB2312" w:hAnsi="仿宋_GB2312" w:eastAsia="仿宋_GB2312" w:cs="仿宋_GB2312"/>
          <w:b/>
          <w:bCs w:val="0"/>
          <w:sz w:val="32"/>
          <w:szCs w:val="32"/>
        </w:rPr>
        <w:t>被检查单位自查报告</w:t>
      </w:r>
      <w:bookmarkEnd w:id="5"/>
      <w:bookmarkEnd w:id="6"/>
      <w:bookmarkEnd w:id="7"/>
      <w:bookmarkEnd w:id="8"/>
      <w:bookmarkStart w:id="9" w:name="_Toc70352800"/>
      <w:bookmarkStart w:id="10" w:name="_Toc83801763"/>
      <w:bookmarkStart w:id="11" w:name="_Toc83801611"/>
    </w:p>
    <w:p>
      <w:pPr>
        <w:adjustRightInd w:val="0"/>
        <w:snapToGrid w:val="0"/>
        <w:spacing w:line="560" w:lineRule="exact"/>
        <w:ind w:firstLine="883" w:firstLineChars="200"/>
        <w:jc w:val="center"/>
        <w:rPr>
          <w:b/>
          <w:bCs/>
          <w:color w:val="000000"/>
          <w:sz w:val="44"/>
          <w:szCs w:val="44"/>
        </w:rPr>
      </w:pPr>
      <w:r>
        <w:rPr>
          <w:rFonts w:hint="eastAsia"/>
          <w:b/>
          <w:bCs/>
          <w:color w:val="000000"/>
          <w:sz w:val="44"/>
          <w:szCs w:val="44"/>
        </w:rPr>
        <w:t>XX资产评估机构XX年度执业质量检查</w:t>
      </w:r>
    </w:p>
    <w:p>
      <w:pPr>
        <w:adjustRightInd w:val="0"/>
        <w:snapToGrid w:val="0"/>
        <w:spacing w:line="560" w:lineRule="exact"/>
        <w:ind w:firstLine="883" w:firstLineChars="200"/>
        <w:jc w:val="center"/>
        <w:rPr>
          <w:rFonts w:ascii="仿宋_GB2312" w:eastAsia="仿宋_GB2312"/>
          <w:b/>
          <w:bCs/>
          <w:color w:val="000000"/>
          <w:sz w:val="32"/>
          <w:szCs w:val="32"/>
        </w:rPr>
      </w:pPr>
      <w:r>
        <w:rPr>
          <w:rFonts w:hint="eastAsia"/>
          <w:b/>
          <w:bCs/>
          <w:color w:val="000000"/>
          <w:sz w:val="44"/>
          <w:szCs w:val="44"/>
        </w:rPr>
        <w:t>自查报告</w:t>
      </w:r>
      <w:r>
        <w:rPr>
          <w:rFonts w:hint="eastAsia" w:ascii="仿宋_GB2312" w:eastAsia="仿宋_GB2312"/>
          <w:b/>
          <w:bCs/>
          <w:color w:val="000000"/>
          <w:sz w:val="32"/>
          <w:szCs w:val="32"/>
        </w:rPr>
        <w:t>（适用资产评估机构）</w:t>
      </w:r>
    </w:p>
    <w:p>
      <w:pPr>
        <w:adjustRightInd w:val="0"/>
        <w:snapToGrid w:val="0"/>
        <w:spacing w:line="560" w:lineRule="exact"/>
        <w:ind w:firstLine="640" w:firstLineChars="200"/>
        <w:jc w:val="center"/>
        <w:rPr>
          <w:rFonts w:ascii="仿宋_GB2312" w:eastAsia="仿宋_GB2312"/>
          <w:color w:val="000000"/>
          <w:sz w:val="32"/>
          <w:szCs w:val="32"/>
        </w:rPr>
      </w:pPr>
    </w:p>
    <w:p>
      <w:pPr>
        <w:adjustRightInd w:val="0"/>
        <w:snapToGrid w:val="0"/>
        <w:spacing w:line="560" w:lineRule="exact"/>
        <w:jc w:val="both"/>
        <w:rPr>
          <w:rFonts w:ascii="仿宋_GB2312" w:eastAsia="仿宋_GB2312"/>
          <w:color w:val="000000"/>
          <w:sz w:val="32"/>
          <w:szCs w:val="32"/>
        </w:rPr>
      </w:pPr>
      <w:r>
        <w:rPr>
          <w:rFonts w:hint="eastAsia" w:ascii="仿宋_GB2312" w:eastAsia="仿宋_GB2312"/>
          <w:color w:val="000000"/>
          <w:sz w:val="32"/>
          <w:szCs w:val="32"/>
          <w:lang w:eastAsia="zh-CN"/>
        </w:rPr>
        <w:t>检查组</w:t>
      </w:r>
      <w:r>
        <w:rPr>
          <w:rFonts w:hint="eastAsia" w:ascii="仿宋_GB2312" w:eastAsia="仿宋_GB2312"/>
          <w:color w:val="000000"/>
          <w:sz w:val="32"/>
          <w:szCs w:val="32"/>
        </w:rPr>
        <w:t>：</w:t>
      </w:r>
    </w:p>
    <w:p>
      <w:pPr>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按照《</w:t>
      </w:r>
      <w:r>
        <w:rPr>
          <w:rFonts w:hint="eastAsia" w:ascii="仿宋_GB2312" w:eastAsia="仿宋_GB2312"/>
          <w:color w:val="000000"/>
          <w:sz w:val="32"/>
          <w:szCs w:val="32"/>
          <w:lang w:val="en-US" w:eastAsia="zh-CN"/>
        </w:rPr>
        <w:t>广东省财政厅关于组织开展2021年资产评估机构联合监督检查的通知</w:t>
      </w:r>
      <w:r>
        <w:rPr>
          <w:rFonts w:hint="eastAsia" w:ascii="仿宋_GB2312" w:eastAsia="仿宋_GB2312"/>
          <w:color w:val="000000"/>
          <w:sz w:val="32"/>
          <w:szCs w:val="32"/>
        </w:rPr>
        <w:t>》（粤财监〔20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号）要求，本机构组织有关人员对自身的执业质量情况进行了自查。现将自查情况报告如下：</w:t>
      </w:r>
    </w:p>
    <w:p>
      <w:pPr>
        <w:numPr>
          <w:ilvl w:val="0"/>
          <w:numId w:val="2"/>
        </w:num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机构基本情况</w:t>
      </w:r>
    </w:p>
    <w:p>
      <w:pPr>
        <w:spacing w:line="560"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（一）机构情况及历史沿革</w:t>
      </w:r>
    </w:p>
    <w:p>
      <w:pPr>
        <w:spacing w:line="560" w:lineRule="exact"/>
        <w:ind w:firstLine="640" w:firstLineChars="200"/>
        <w:rPr>
          <w:rFonts w:ascii="仿宋_GB2312" w:hAnsi="Times New Roman" w:eastAsia="仿宋_GB2312" w:cs="Times New Roman"/>
          <w:color w:val="000000"/>
          <w:sz w:val="32"/>
          <w:szCs w:val="32"/>
          <w:u w:val="single"/>
        </w:rPr>
      </w:pPr>
      <w:r>
        <w:rPr>
          <w:rFonts w:hint="eastAsia" w:ascii="仿宋_GB2312" w:hAnsi="Times New Roman" w:eastAsia="仿宋_GB2312" w:cs="Times New Roman"/>
          <w:color w:val="000000"/>
          <w:sz w:val="32"/>
          <w:szCs w:val="32"/>
        </w:rPr>
        <w:t>1.名称：</w:t>
      </w:r>
      <w:r>
        <w:rPr>
          <w:rFonts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rPr>
        <w:t xml:space="preserve">  </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2.机构地址：</w:t>
      </w:r>
      <w:r>
        <w:rPr>
          <w:rFonts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rPr>
        <w:t xml:space="preserve">  </w:t>
      </w:r>
    </w:p>
    <w:p>
      <w:pPr>
        <w:spacing w:line="560" w:lineRule="exact"/>
        <w:ind w:firstLine="640" w:firstLineChars="200"/>
        <w:rPr>
          <w:rFonts w:ascii="仿宋_GB2312" w:hAnsi="Times New Roman" w:eastAsia="仿宋_GB2312" w:cs="Times New Roman"/>
          <w:color w:val="000000"/>
          <w:sz w:val="32"/>
          <w:szCs w:val="32"/>
          <w:u w:val="single"/>
        </w:rPr>
      </w:pPr>
      <w:r>
        <w:rPr>
          <w:rFonts w:hint="eastAsia" w:ascii="仿宋_GB2312" w:hAnsi="Times New Roman" w:eastAsia="仿宋_GB2312" w:cs="Times New Roman"/>
          <w:color w:val="000000"/>
          <w:sz w:val="32"/>
          <w:szCs w:val="32"/>
        </w:rPr>
        <w:t>3.机构负责人及联系电话：</w:t>
      </w:r>
      <w:r>
        <w:rPr>
          <w:rFonts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rPr>
        <w:t xml:space="preserve">  </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4.机构资质：</w:t>
      </w:r>
      <w:r>
        <w:rPr>
          <w:rFonts w:hint="eastAsia" w:ascii="仿宋_GB2312" w:hAnsi="Times New Roman" w:eastAsia="仿宋_GB2312" w:cs="Times New Roman"/>
          <w:color w:val="000000"/>
          <w:sz w:val="32"/>
          <w:szCs w:val="32"/>
          <w:u w:val="single"/>
        </w:rPr>
        <w:t xml:space="preserve">填写何时取得财政部门备案，备案文号，机构是否具有其他资质，若有，何时取得，取得何部门。      </w:t>
      </w:r>
    </w:p>
    <w:p>
      <w:pPr>
        <w:spacing w:line="560" w:lineRule="exact"/>
        <w:ind w:firstLine="640" w:firstLineChars="200"/>
        <w:rPr>
          <w:rFonts w:ascii="仿宋_GB2312" w:hAnsi="Times New Roman" w:eastAsia="仿宋_GB2312" w:cs="Times New Roman"/>
          <w:color w:val="000000"/>
          <w:sz w:val="32"/>
          <w:szCs w:val="32"/>
          <w:u w:val="single"/>
        </w:rPr>
      </w:pPr>
      <w:r>
        <w:rPr>
          <w:rFonts w:hint="eastAsia" w:ascii="仿宋_GB2312" w:hAnsi="Times New Roman" w:eastAsia="仿宋_GB2312" w:cs="Times New Roman"/>
          <w:color w:val="000000"/>
          <w:sz w:val="32"/>
          <w:szCs w:val="32"/>
        </w:rPr>
        <w:t>5.近三年主要变化情况（历史沿革） ：</w:t>
      </w:r>
      <w:r>
        <w:rPr>
          <w:rFonts w:hint="eastAsia" w:ascii="仿宋_GB2312" w:hAnsi="Times New Roman" w:eastAsia="仿宋_GB2312" w:cs="Times New Roman"/>
          <w:color w:val="000000"/>
          <w:sz w:val="32"/>
          <w:szCs w:val="32"/>
          <w:u w:val="single"/>
        </w:rPr>
        <w:t>关于近三年主要变化情况（历史沿革）是指自查机构主要股东、多数股东、机构负责人和质量控制负责人等，出现或持续出现变化，导致被检查机构在业务执行与管理、质量控制与风险等方面的能力与工作效果存在可能被削弱或较大下降，从而影响被检查机构执业质量的情况。</w:t>
      </w:r>
    </w:p>
    <w:p>
      <w:pPr>
        <w:spacing w:line="560" w:lineRule="exact"/>
        <w:ind w:firstLine="640" w:firstLineChars="200"/>
        <w:rPr>
          <w:rFonts w:ascii="仿宋_GB2312" w:hAnsi="Times New Roman" w:eastAsia="仿宋_GB2312" w:cs="Times New Roman"/>
          <w:color w:val="000000"/>
          <w:sz w:val="32"/>
          <w:szCs w:val="32"/>
          <w:u w:val="single"/>
        </w:rPr>
      </w:pPr>
      <w:r>
        <w:rPr>
          <w:rFonts w:hint="eastAsia" w:ascii="仿宋_GB2312" w:hAnsi="Times New Roman" w:eastAsia="仿宋_GB2312" w:cs="Times New Roman"/>
          <w:color w:val="000000"/>
          <w:sz w:val="32"/>
          <w:szCs w:val="32"/>
        </w:rPr>
        <w:t>6.员工人数：</w:t>
      </w:r>
      <w:r>
        <w:rPr>
          <w:rFonts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rPr>
        <w:t xml:space="preserve">     </w:t>
      </w:r>
      <w:r>
        <w:rPr>
          <w:rFonts w:ascii="仿宋_GB2312"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rPr>
        <w:t>，其中合伙人或股东人数</w:t>
      </w:r>
      <w:r>
        <w:rPr>
          <w:rFonts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资产评估师人数：</w:t>
      </w:r>
      <w:r>
        <w:rPr>
          <w:rFonts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rPr>
        <w:t xml:space="preserve">     ，其他评估师情况（证件名称，人数  ；）</w:t>
      </w:r>
    </w:p>
    <w:p>
      <w:pPr>
        <w:spacing w:line="560" w:lineRule="exact"/>
        <w:ind w:firstLine="640" w:firstLineChars="200"/>
        <w:rPr>
          <w:rFonts w:ascii="仿宋_GB2312" w:hAnsi="Times New Roman" w:eastAsia="仿宋_GB2312" w:cs="Times New Roman"/>
          <w:b/>
          <w:bCs/>
          <w:color w:val="000000"/>
          <w:sz w:val="32"/>
          <w:szCs w:val="32"/>
          <w:u w:val="single"/>
        </w:rPr>
      </w:pPr>
      <w:r>
        <w:rPr>
          <w:rFonts w:hint="eastAsia" w:ascii="仿宋_GB2312" w:hAnsi="Times New Roman" w:eastAsia="仿宋_GB2312" w:cs="Times New Roman"/>
          <w:color w:val="000000"/>
          <w:sz w:val="32"/>
          <w:szCs w:val="32"/>
          <w:u w:val="single"/>
        </w:rPr>
        <w:t>7.是否设立分支机构，分支机构名称、何时取得财政部门备案，备案文号。</w:t>
      </w:r>
      <w:r>
        <w:rPr>
          <w:rFonts w:hint="eastAsia" w:ascii="仿宋_GB2312" w:hAnsi="Times New Roman" w:eastAsia="仿宋_GB2312" w:cs="Times New Roman"/>
          <w:b/>
          <w:bCs/>
          <w:color w:val="000000"/>
          <w:sz w:val="32"/>
          <w:szCs w:val="32"/>
          <w:u w:val="single"/>
        </w:rPr>
        <w:t>是否存在构未备案违法承接资产评估业务的情形。</w:t>
      </w:r>
    </w:p>
    <w:p>
      <w:pPr>
        <w:spacing w:line="560" w:lineRule="exact"/>
        <w:ind w:firstLine="643" w:firstLineChars="200"/>
        <w:rPr>
          <w:rFonts w:ascii="楷体" w:hAnsi="楷体" w:eastAsia="楷体" w:cs="楷体"/>
          <w:b/>
          <w:bCs/>
          <w:color w:val="000000"/>
          <w:sz w:val="32"/>
          <w:szCs w:val="32"/>
        </w:rPr>
      </w:pPr>
      <w:r>
        <w:rPr>
          <w:rFonts w:hint="eastAsia" w:ascii="楷体" w:hAnsi="楷体" w:eastAsia="楷体" w:cs="楷体"/>
          <w:b/>
          <w:bCs/>
          <w:color w:val="000000"/>
          <w:sz w:val="32"/>
          <w:szCs w:val="32"/>
        </w:rPr>
        <w:t>（二）业务情况</w:t>
      </w:r>
    </w:p>
    <w:p>
      <w:pPr>
        <w:spacing w:line="560" w:lineRule="exact"/>
        <w:ind w:firstLine="643"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b/>
          <w:bCs/>
          <w:color w:val="000000"/>
          <w:sz w:val="32"/>
          <w:szCs w:val="32"/>
        </w:rPr>
        <w:t>1.业务开展整体情况</w:t>
      </w:r>
      <w:r>
        <w:rPr>
          <w:rFonts w:hint="eastAsia" w:ascii="仿宋_GB2312" w:hAnsi="Times New Roman" w:eastAsia="仿宋_GB2312" w:cs="Times New Roman"/>
          <w:color w:val="000000"/>
          <w:sz w:val="32"/>
          <w:szCs w:val="32"/>
        </w:rPr>
        <w:t>：                  单位：万元</w:t>
      </w:r>
    </w:p>
    <w:tbl>
      <w:tblPr>
        <w:tblStyle w:val="12"/>
        <w:tblW w:w="9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24"/>
        <w:gridCol w:w="1444"/>
        <w:gridCol w:w="1358"/>
        <w:gridCol w:w="1303"/>
        <w:gridCol w:w="1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jc w:val="center"/>
        </w:trPr>
        <w:tc>
          <w:tcPr>
            <w:tcW w:w="3624" w:type="dxa"/>
            <w:tcBorders>
              <w:top w:val="single" w:color="000000" w:sz="4" w:space="0"/>
              <w:left w:val="single" w:color="000000" w:sz="4" w:space="0"/>
              <w:bottom w:val="single" w:color="000000" w:sz="4" w:space="0"/>
              <w:right w:val="single" w:color="auto" w:sz="4" w:space="0"/>
            </w:tcBorders>
            <w:vAlign w:val="center"/>
          </w:tcPr>
          <w:p>
            <w:pPr>
              <w:spacing w:line="560" w:lineRule="exact"/>
              <w:ind w:firstLine="560" w:firstLineChars="200"/>
              <w:jc w:val="both"/>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项</w:t>
            </w:r>
            <w:r>
              <w:rPr>
                <w:rFonts w:ascii="仿宋_GB2312" w:hAnsi="Times New Roman" w:eastAsia="仿宋_GB2312" w:cs="Times New Roman"/>
                <w:color w:val="000000"/>
                <w:sz w:val="28"/>
                <w:szCs w:val="28"/>
              </w:rPr>
              <w:t xml:space="preserve">   </w:t>
            </w:r>
            <w:r>
              <w:rPr>
                <w:rFonts w:hint="eastAsia" w:ascii="仿宋_GB2312" w:hAnsi="Times New Roman" w:eastAsia="仿宋_GB2312" w:cs="Times New Roman"/>
                <w:color w:val="000000"/>
                <w:sz w:val="28"/>
                <w:szCs w:val="28"/>
              </w:rPr>
              <w:t>目</w:t>
            </w:r>
          </w:p>
        </w:tc>
        <w:tc>
          <w:tcPr>
            <w:tcW w:w="144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both"/>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2018年度</w:t>
            </w:r>
          </w:p>
        </w:tc>
        <w:tc>
          <w:tcPr>
            <w:tcW w:w="135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both"/>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2019年度</w:t>
            </w:r>
          </w:p>
        </w:tc>
        <w:tc>
          <w:tcPr>
            <w:tcW w:w="1303"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both"/>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2020年度</w:t>
            </w:r>
          </w:p>
        </w:tc>
        <w:tc>
          <w:tcPr>
            <w:tcW w:w="137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both"/>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jc w:val="center"/>
        </w:trPr>
        <w:tc>
          <w:tcPr>
            <w:tcW w:w="3624" w:type="dxa"/>
            <w:tcBorders>
              <w:top w:val="single" w:color="000000" w:sz="4" w:space="0"/>
              <w:left w:val="single" w:color="000000" w:sz="4" w:space="0"/>
              <w:bottom w:val="single" w:color="000000" w:sz="4" w:space="0"/>
              <w:right w:val="single" w:color="auto" w:sz="4" w:space="0"/>
            </w:tcBorders>
          </w:tcPr>
          <w:p>
            <w:pPr>
              <w:spacing w:line="56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出具资产评估报告总数</w:t>
            </w:r>
          </w:p>
        </w:tc>
        <w:tc>
          <w:tcPr>
            <w:tcW w:w="1444"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58"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03"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71"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jc w:val="center"/>
        </w:trPr>
        <w:tc>
          <w:tcPr>
            <w:tcW w:w="3624" w:type="dxa"/>
            <w:tcBorders>
              <w:top w:val="single" w:color="000000" w:sz="4" w:space="0"/>
              <w:left w:val="single" w:color="000000" w:sz="4" w:space="0"/>
              <w:bottom w:val="single" w:color="000000" w:sz="4" w:space="0"/>
              <w:right w:val="single" w:color="auto" w:sz="4" w:space="0"/>
            </w:tcBorders>
          </w:tcPr>
          <w:p>
            <w:pPr>
              <w:spacing w:line="56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其中：（1）证券业务报告数</w:t>
            </w:r>
          </w:p>
        </w:tc>
        <w:tc>
          <w:tcPr>
            <w:tcW w:w="1444"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58"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03"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71"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jc w:val="center"/>
        </w:trPr>
        <w:tc>
          <w:tcPr>
            <w:tcW w:w="3624"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 xml:space="preserve"> （2）其他业务报告数</w:t>
            </w:r>
          </w:p>
        </w:tc>
        <w:tc>
          <w:tcPr>
            <w:tcW w:w="1444" w:type="dxa"/>
            <w:tcBorders>
              <w:top w:val="single" w:color="000000" w:sz="4" w:space="0"/>
              <w:left w:val="single" w:color="000000" w:sz="6" w:space="0"/>
              <w:bottom w:val="single" w:color="000000" w:sz="4" w:space="0"/>
              <w:right w:val="single" w:color="000000" w:sz="6"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58" w:type="dxa"/>
            <w:tcBorders>
              <w:top w:val="single" w:color="000000" w:sz="4" w:space="0"/>
              <w:left w:val="single" w:color="000000" w:sz="6" w:space="0"/>
              <w:bottom w:val="single" w:color="000000" w:sz="4" w:space="0"/>
              <w:right w:val="single" w:color="000000" w:sz="6"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03"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71"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3624" w:type="dxa"/>
            <w:tcBorders>
              <w:top w:val="single" w:color="000000" w:sz="4" w:space="0"/>
              <w:left w:val="single" w:color="000000" w:sz="4" w:space="0"/>
              <w:bottom w:val="single" w:color="000000" w:sz="4" w:space="0"/>
              <w:right w:val="single" w:color="auto" w:sz="4" w:space="0"/>
            </w:tcBorders>
          </w:tcPr>
          <w:p>
            <w:pPr>
              <w:spacing w:line="56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收入</w:t>
            </w:r>
          </w:p>
        </w:tc>
        <w:tc>
          <w:tcPr>
            <w:tcW w:w="1444"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58"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03"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71"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3624" w:type="dxa"/>
            <w:tcBorders>
              <w:top w:val="single" w:color="auto" w:sz="4" w:space="0"/>
              <w:left w:val="single" w:color="000000" w:sz="4" w:space="0"/>
              <w:bottom w:val="single" w:color="000000" w:sz="4" w:space="0"/>
              <w:right w:val="single" w:color="auto" w:sz="4" w:space="0"/>
            </w:tcBorders>
          </w:tcPr>
          <w:p>
            <w:pPr>
              <w:spacing w:line="560" w:lineRule="exact"/>
              <w:ind w:firstLine="560" w:firstLineChars="200"/>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其中：分支机构收入</w:t>
            </w:r>
          </w:p>
        </w:tc>
        <w:tc>
          <w:tcPr>
            <w:tcW w:w="1444" w:type="dxa"/>
            <w:tcBorders>
              <w:top w:val="single" w:color="auto"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58" w:type="dxa"/>
            <w:tcBorders>
              <w:top w:val="single" w:color="auto"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03" w:type="dxa"/>
            <w:tcBorders>
              <w:top w:val="single" w:color="auto"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371" w:type="dxa"/>
            <w:tcBorders>
              <w:top w:val="single" w:color="auto"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r>
    </w:tbl>
    <w:p>
      <w:pPr>
        <w:spacing w:line="560" w:lineRule="exact"/>
        <w:ind w:firstLine="643" w:firstLineChars="200"/>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截止2020年12月30日，资产评估机构和分支机构备案时间超过6个月的且未出具资产评估报告的，请重点说明并分析原因。</w:t>
      </w:r>
    </w:p>
    <w:p>
      <w:pPr>
        <w:spacing w:line="560" w:lineRule="exact"/>
        <w:ind w:firstLine="643" w:firstLineChars="200"/>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2.业务规模及其构成</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简述机构业务情况，包括2020年度业务收入为人民币多少万元，出具资产评估报告多少份，其中，企业价值评估报告多少份，无形资产评估报告多少份，单项资产评估报告多少份，资产组合评估报告多少份，其他评估报告多少份。</w:t>
      </w:r>
    </w:p>
    <w:p>
      <w:pPr>
        <w:spacing w:line="560" w:lineRule="exact"/>
        <w:ind w:firstLine="643" w:firstLineChars="200"/>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3.资产评估报告报备情况</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2020年1月1日至2020年12月31日期间出具的资产评估报告是否在资产评估报告统一编码系统中进行报备，是否存在漏报、瞒报或者虚假报备的情形。</w:t>
      </w:r>
    </w:p>
    <w:p>
      <w:pPr>
        <w:numPr>
          <w:ilvl w:val="0"/>
          <w:numId w:val="3"/>
        </w:numPr>
        <w:spacing w:line="560" w:lineRule="exact"/>
        <w:ind w:firstLine="643" w:firstLineChars="200"/>
        <w:rPr>
          <w:rFonts w:ascii="楷体" w:hAnsi="楷体" w:eastAsia="楷体" w:cs="楷体"/>
          <w:b/>
          <w:bCs/>
          <w:color w:val="000000"/>
          <w:sz w:val="32"/>
          <w:szCs w:val="32"/>
        </w:rPr>
      </w:pPr>
      <w:r>
        <w:rPr>
          <w:rFonts w:hint="eastAsia" w:ascii="楷体" w:hAnsi="楷体" w:eastAsia="楷体" w:cs="楷体"/>
          <w:b/>
          <w:bCs/>
          <w:color w:val="000000"/>
          <w:sz w:val="32"/>
          <w:szCs w:val="32"/>
        </w:rPr>
        <w:t>抽查报告情况</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xml:space="preserve">   1.抽查报告整体情况</w:t>
      </w:r>
    </w:p>
    <w:tbl>
      <w:tblPr>
        <w:tblStyle w:val="12"/>
        <w:tblW w:w="86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3"/>
        <w:gridCol w:w="856"/>
        <w:gridCol w:w="1024"/>
        <w:gridCol w:w="1075"/>
        <w:gridCol w:w="938"/>
        <w:gridCol w:w="900"/>
        <w:gridCol w:w="1087"/>
        <w:gridCol w:w="1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0" w:hRule="atLeast"/>
          <w:jc w:val="center"/>
        </w:trPr>
        <w:tc>
          <w:tcPr>
            <w:tcW w:w="1433" w:type="dxa"/>
            <w:tcBorders>
              <w:top w:val="single" w:color="000000" w:sz="4" w:space="0"/>
              <w:left w:val="single" w:color="000000" w:sz="4" w:space="0"/>
              <w:bottom w:val="single" w:color="000000" w:sz="4" w:space="0"/>
              <w:right w:val="single" w:color="000000" w:sz="4" w:space="0"/>
            </w:tcBorders>
          </w:tcPr>
          <w:p>
            <w:pPr>
              <w:spacing w:line="560" w:lineRule="exact"/>
              <w:jc w:val="both"/>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项</w:t>
            </w:r>
            <w:r>
              <w:rPr>
                <w:rFonts w:ascii="仿宋_GB2312" w:hAnsi="Times New Roman" w:eastAsia="仿宋_GB2312" w:cs="Times New Roman"/>
                <w:color w:val="000000"/>
                <w:sz w:val="28"/>
                <w:szCs w:val="28"/>
              </w:rPr>
              <w:t xml:space="preserve">   </w:t>
            </w:r>
            <w:r>
              <w:rPr>
                <w:rFonts w:hint="eastAsia" w:ascii="仿宋_GB2312" w:hAnsi="Times New Roman" w:eastAsia="仿宋_GB2312" w:cs="Times New Roman"/>
                <w:color w:val="000000"/>
                <w:sz w:val="28"/>
                <w:szCs w:val="28"/>
              </w:rPr>
              <w:t>目</w:t>
            </w:r>
          </w:p>
        </w:tc>
        <w:tc>
          <w:tcPr>
            <w:tcW w:w="85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both"/>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份数</w:t>
            </w:r>
          </w:p>
        </w:tc>
        <w:tc>
          <w:tcPr>
            <w:tcW w:w="102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both"/>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签字资产评估师</w:t>
            </w:r>
          </w:p>
        </w:tc>
        <w:tc>
          <w:tcPr>
            <w:tcW w:w="107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both"/>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账面值</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both"/>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评估值</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both"/>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评估费</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both"/>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自查人员</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both"/>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其中，国资的报告份数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6" w:hRule="atLeast"/>
          <w:jc w:val="center"/>
        </w:trPr>
        <w:tc>
          <w:tcPr>
            <w:tcW w:w="1433" w:type="dxa"/>
            <w:tcBorders>
              <w:top w:val="single" w:color="000000" w:sz="4" w:space="0"/>
              <w:left w:val="single" w:color="000000" w:sz="4" w:space="0"/>
              <w:bottom w:val="single" w:color="000000" w:sz="4" w:space="0"/>
              <w:right w:val="single" w:color="000000" w:sz="4" w:space="0"/>
            </w:tcBorders>
          </w:tcPr>
          <w:p>
            <w:pPr>
              <w:spacing w:line="56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企业价值评估报告</w:t>
            </w:r>
          </w:p>
        </w:tc>
        <w:tc>
          <w:tcPr>
            <w:tcW w:w="856"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24"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75"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87"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288"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6" w:hRule="atLeast"/>
          <w:jc w:val="center"/>
        </w:trPr>
        <w:tc>
          <w:tcPr>
            <w:tcW w:w="1433" w:type="dxa"/>
            <w:tcBorders>
              <w:top w:val="single" w:color="000000" w:sz="4" w:space="0"/>
              <w:left w:val="single" w:color="000000" w:sz="4" w:space="0"/>
              <w:bottom w:val="single" w:color="000000" w:sz="4" w:space="0"/>
              <w:right w:val="single" w:color="000000" w:sz="4" w:space="0"/>
            </w:tcBorders>
          </w:tcPr>
          <w:p>
            <w:pPr>
              <w:spacing w:line="56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无形资产评估报告</w:t>
            </w:r>
          </w:p>
        </w:tc>
        <w:tc>
          <w:tcPr>
            <w:tcW w:w="856"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24"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75"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87"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288"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6" w:hRule="atLeast"/>
          <w:jc w:val="center"/>
        </w:trPr>
        <w:tc>
          <w:tcPr>
            <w:tcW w:w="1433" w:type="dxa"/>
            <w:tcBorders>
              <w:top w:val="single" w:color="000000" w:sz="4" w:space="0"/>
              <w:left w:val="single" w:color="000000" w:sz="4" w:space="0"/>
              <w:bottom w:val="single" w:color="auto" w:sz="4" w:space="0"/>
              <w:right w:val="single" w:color="000000" w:sz="4" w:space="0"/>
            </w:tcBorders>
          </w:tcPr>
          <w:p>
            <w:pPr>
              <w:spacing w:line="56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单项资产评估报告</w:t>
            </w:r>
          </w:p>
        </w:tc>
        <w:tc>
          <w:tcPr>
            <w:tcW w:w="856" w:type="dxa"/>
            <w:tcBorders>
              <w:top w:val="single" w:color="000000" w:sz="4" w:space="0"/>
              <w:left w:val="single" w:color="000000" w:sz="4" w:space="0"/>
              <w:bottom w:val="single" w:color="auto"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24" w:type="dxa"/>
            <w:tcBorders>
              <w:top w:val="single" w:color="000000" w:sz="4" w:space="0"/>
              <w:left w:val="single" w:color="000000" w:sz="4" w:space="0"/>
              <w:bottom w:val="single" w:color="auto"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75" w:type="dxa"/>
            <w:tcBorders>
              <w:top w:val="single" w:color="000000" w:sz="4" w:space="0"/>
              <w:left w:val="single" w:color="000000" w:sz="4" w:space="0"/>
              <w:bottom w:val="single" w:color="auto"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938" w:type="dxa"/>
            <w:tcBorders>
              <w:top w:val="single" w:color="000000" w:sz="4" w:space="0"/>
              <w:left w:val="single" w:color="000000" w:sz="4" w:space="0"/>
              <w:bottom w:val="single" w:color="auto"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900" w:type="dxa"/>
            <w:tcBorders>
              <w:top w:val="single" w:color="000000" w:sz="4" w:space="0"/>
              <w:left w:val="single" w:color="000000" w:sz="4" w:space="0"/>
              <w:bottom w:val="single" w:color="auto"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87" w:type="dxa"/>
            <w:tcBorders>
              <w:top w:val="single" w:color="000000" w:sz="4" w:space="0"/>
              <w:left w:val="single" w:color="000000" w:sz="4" w:space="0"/>
              <w:bottom w:val="single" w:color="auto"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288" w:type="dxa"/>
            <w:tcBorders>
              <w:top w:val="single" w:color="000000" w:sz="4" w:space="0"/>
              <w:left w:val="single" w:color="000000" w:sz="4" w:space="0"/>
              <w:bottom w:val="single" w:color="auto"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jc w:val="center"/>
        </w:trPr>
        <w:tc>
          <w:tcPr>
            <w:tcW w:w="1433" w:type="dxa"/>
            <w:tcBorders>
              <w:top w:val="single" w:color="auto" w:sz="4" w:space="0"/>
              <w:left w:val="single" w:color="000000" w:sz="4" w:space="0"/>
              <w:bottom w:val="single" w:color="000000" w:sz="4" w:space="0"/>
              <w:right w:val="single" w:color="000000" w:sz="4" w:space="0"/>
            </w:tcBorders>
          </w:tcPr>
          <w:p>
            <w:pPr>
              <w:spacing w:line="56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资产组合评估报告</w:t>
            </w:r>
          </w:p>
        </w:tc>
        <w:tc>
          <w:tcPr>
            <w:tcW w:w="856" w:type="dxa"/>
            <w:tcBorders>
              <w:top w:val="single" w:color="auto"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24" w:type="dxa"/>
            <w:tcBorders>
              <w:top w:val="single" w:color="auto"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75" w:type="dxa"/>
            <w:tcBorders>
              <w:top w:val="single" w:color="auto"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938" w:type="dxa"/>
            <w:tcBorders>
              <w:top w:val="single" w:color="auto"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900" w:type="dxa"/>
            <w:tcBorders>
              <w:top w:val="single" w:color="auto"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87" w:type="dxa"/>
            <w:tcBorders>
              <w:top w:val="single" w:color="auto"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288" w:type="dxa"/>
            <w:tcBorders>
              <w:top w:val="single" w:color="auto"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jc w:val="center"/>
        </w:trPr>
        <w:tc>
          <w:tcPr>
            <w:tcW w:w="1433" w:type="dxa"/>
            <w:tcBorders>
              <w:top w:val="single" w:color="000000" w:sz="4" w:space="0"/>
              <w:left w:val="single" w:color="000000" w:sz="4" w:space="0"/>
              <w:bottom w:val="single" w:color="000000" w:sz="4" w:space="0"/>
              <w:right w:val="single" w:color="000000" w:sz="4" w:space="0"/>
            </w:tcBorders>
          </w:tcPr>
          <w:p>
            <w:pPr>
              <w:spacing w:line="56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其他评估报告</w:t>
            </w:r>
          </w:p>
        </w:tc>
        <w:tc>
          <w:tcPr>
            <w:tcW w:w="856"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24"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75"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87"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288"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4" w:hRule="atLeast"/>
          <w:jc w:val="center"/>
        </w:trPr>
        <w:tc>
          <w:tcPr>
            <w:tcW w:w="1433"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合计</w:t>
            </w:r>
          </w:p>
        </w:tc>
        <w:tc>
          <w:tcPr>
            <w:tcW w:w="856"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24"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75"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938"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900"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087"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c>
          <w:tcPr>
            <w:tcW w:w="1288" w:type="dxa"/>
            <w:tcBorders>
              <w:top w:val="single" w:color="000000" w:sz="4" w:space="0"/>
              <w:left w:val="single" w:color="000000" w:sz="4" w:space="0"/>
              <w:bottom w:val="single" w:color="000000" w:sz="4" w:space="0"/>
              <w:right w:val="single" w:color="000000" w:sz="4" w:space="0"/>
            </w:tcBorders>
          </w:tcPr>
          <w:p>
            <w:pPr>
              <w:spacing w:line="560" w:lineRule="exact"/>
              <w:ind w:firstLine="560" w:firstLineChars="200"/>
              <w:rPr>
                <w:rFonts w:ascii="仿宋_GB2312" w:hAnsi="Times New Roman" w:eastAsia="仿宋_GB2312" w:cs="Times New Roman"/>
                <w:color w:val="000000"/>
                <w:sz w:val="28"/>
                <w:szCs w:val="28"/>
              </w:rPr>
            </w:pPr>
          </w:p>
        </w:tc>
      </w:tr>
    </w:tbl>
    <w:p>
      <w:pPr>
        <w:numPr>
          <w:ilvl w:val="0"/>
          <w:numId w:val="4"/>
        </w:num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自查的抽选报告是否实现</w:t>
      </w:r>
      <w:r>
        <w:rPr>
          <w:rFonts w:hint="eastAsia" w:ascii="仿宋_GB2312" w:hAnsi="仿宋_GB2312" w:eastAsia="仿宋_GB2312" w:cs="仿宋_GB2312"/>
          <w:color w:val="000000"/>
          <w:sz w:val="32"/>
          <w:szCs w:val="32"/>
        </w:rPr>
        <w:t>“全覆盖+重点突出”</w:t>
      </w:r>
      <w:r>
        <w:rPr>
          <w:rStyle w:val="14"/>
          <w:rFonts w:hint="eastAsia" w:ascii="仿宋_GB2312" w:hAnsi="仿宋_GB2312" w:eastAsia="仿宋_GB2312" w:cs="仿宋_GB2312"/>
          <w:color w:val="000000"/>
          <w:sz w:val="32"/>
          <w:szCs w:val="32"/>
        </w:rPr>
        <w:footnoteReference w:id="0"/>
      </w:r>
      <w:r>
        <w:rPr>
          <w:rFonts w:hint="eastAsia" w:ascii="仿宋_GB2312" w:hAnsi="仿宋_GB2312" w:eastAsia="仿宋_GB2312" w:cs="仿宋_GB2312"/>
          <w:color w:val="000000"/>
          <w:sz w:val="32"/>
          <w:szCs w:val="32"/>
        </w:rPr>
        <w:t>，</w:t>
      </w:r>
      <w:r>
        <w:rPr>
          <w:rFonts w:hint="eastAsia" w:ascii="仿宋_GB2312" w:eastAsia="仿宋_GB2312"/>
          <w:color w:val="000000"/>
          <w:sz w:val="32"/>
          <w:szCs w:val="32"/>
        </w:rPr>
        <w:t>是否涵盖了每个股东（合伙人）的业务。抽查报告占2020年度出具资产评估报告总数的比例，抽查报告业务收入人民币为多少。</w:t>
      </w:r>
    </w:p>
    <w:p>
      <w:pPr>
        <w:spacing w:line="560" w:lineRule="exact"/>
        <w:ind w:firstLine="643" w:firstLineChars="200"/>
        <w:rPr>
          <w:rFonts w:ascii="楷体" w:hAnsi="楷体" w:eastAsia="楷体" w:cs="楷体"/>
          <w:b/>
          <w:bCs/>
          <w:color w:val="000000"/>
          <w:sz w:val="32"/>
          <w:szCs w:val="32"/>
        </w:rPr>
      </w:pPr>
      <w:r>
        <w:rPr>
          <w:rFonts w:hint="eastAsia" w:ascii="楷体" w:hAnsi="楷体" w:eastAsia="楷体" w:cs="楷体"/>
          <w:b/>
          <w:bCs/>
          <w:color w:val="000000"/>
          <w:sz w:val="32"/>
          <w:szCs w:val="32"/>
        </w:rPr>
        <w:t>（四）其他</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简述本机构近五年接受证监会/证监局、财政部门等相关政府机构以及中国资产评估协会或省评协检查的情况，以及近五年本机构及其资产评估师受到的刑事处罚、行政处罚和行业惩戒等。</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以上内容根据本机构的实际情况填写。</w:t>
      </w:r>
    </w:p>
    <w:p>
      <w:pPr>
        <w:numPr>
          <w:ilvl w:val="0"/>
          <w:numId w:val="5"/>
        </w:num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机构自查概况</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主要包括：自查时间、自查标准、自查范围、自查方法、自查数量、自查人员及分工、自查结果等。其中，自查范围包括：</w:t>
      </w:r>
      <w:r>
        <w:rPr>
          <w:rFonts w:hint="eastAsia" w:ascii="仿宋_GB2312" w:eastAsia="仿宋_GB2312"/>
          <w:color w:val="000000"/>
          <w:sz w:val="32"/>
          <w:szCs w:val="32"/>
        </w:rPr>
        <w:t>资产评估机构内部管理、专业胜任能力、风险防范机制、质量控制体系、执业质量，以及资产评估师挂名执业专项整治情况和财务会计信息情况。资产评估报告质量检查范围自2020年1月1日至2020年12月31日期间出具的资产评估报告。</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三、对机构执业质量的整体评价</w:t>
      </w:r>
    </w:p>
    <w:p>
      <w:pPr>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主要包括：通过本次自查，是否发现机构在质量控制体系的设计与执行方面存在哪些重大（要）的缺陷与不足，以及风险点；机构的整体业务质量存在哪些主要问题；在长期的执业实践中，机构在质量控制与风险管理方面积累和形成了哪些先进理念、有益做法与成功经验。</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四、内部管理和质量控制制度自查情况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（一）机构内部架构及各部门职责、重大决策时如何做出的。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（二）机构是否设置首席评估师，设置的首席评估师是否符合《资产评估机构首席评估师管理办法》的规定，首席评估师是否向协会备案，现任的首席评估师是何时担任，是否存在频繁变更首席评估师。</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（三）机构内部管理和质量控制制度有哪些，是否执行到位。内控制度的制定是否符合《资产评估行业财政监督管理办法》（财政部令第97号）第十七条、《资产评估机构业务质量控制指南》、</w:t>
      </w:r>
      <w:r>
        <w:rPr>
          <w:rFonts w:hint="eastAsia" w:ascii="仿宋_GB2312" w:hAnsi="仿宋_GB2312" w:eastAsia="仿宋_GB2312" w:cs="仿宋_GB2312"/>
          <w:sz w:val="32"/>
          <w:szCs w:val="32"/>
        </w:rPr>
        <w:t>《资产评估专家指引第7号——中小评估机构业务质量控制》</w:t>
      </w:r>
      <w:r>
        <w:rPr>
          <w:rFonts w:hint="eastAsia" w:ascii="仿宋_GB2312" w:eastAsia="仿宋_GB2312"/>
          <w:color w:val="000000"/>
          <w:sz w:val="32"/>
          <w:szCs w:val="32"/>
        </w:rPr>
        <w:t>等相关行业管理规定，是否存在未制定内控制度的情形。</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（四）机构是如何承接评估业务，如何开展对专业能力、独立性和业务风险分析和评价。</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（五）出具报告是否履行内部审核，内部审核如何进行，是否进行实质性的内部审核，初步资产评估报告是否按规定进行归档。</w:t>
      </w:r>
    </w:p>
    <w:p>
      <w:pPr>
        <w:spacing w:line="560" w:lineRule="exact"/>
        <w:ind w:firstLine="640" w:firstLineChars="200"/>
        <w:rPr>
          <w:rFonts w:ascii="仿宋_GB2312" w:eastAsia="仿宋_GB2312"/>
          <w:color w:val="000000"/>
          <w:sz w:val="32"/>
          <w:szCs w:val="32"/>
        </w:rPr>
      </w:pPr>
      <w:r>
        <w:rPr>
          <w:rFonts w:hint="eastAsia" w:ascii="仿宋_GB2312" w:hAnsi="Times New Roman" w:eastAsia="仿宋_GB2312" w:cs="Times New Roman"/>
          <w:color w:val="000000"/>
          <w:sz w:val="32"/>
          <w:szCs w:val="32"/>
        </w:rPr>
        <w:t>（六）截止自查时间，是否符合</w:t>
      </w:r>
      <w:r>
        <w:rPr>
          <w:rFonts w:hint="eastAsia" w:ascii="仿宋_GB2312" w:eastAsia="仿宋_GB2312"/>
          <w:color w:val="000000"/>
          <w:sz w:val="32"/>
          <w:szCs w:val="32"/>
        </w:rPr>
        <w:t>持续符合资产评估第十五条规定条件，发生名称、股东等重大变更时，是否及时向财政部门备案。</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（七）机构被检查年度对资产评估专业人员遵循职业道德的监控情况。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（八）是否按规定提取、管理、使用职业风险基金或者是否购买执业责任保险。</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（九）以前年度省评协或者财政部门检查发现问题整改情况。</w:t>
      </w:r>
    </w:p>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五、专业胜任能力自查方面</w:t>
      </w:r>
    </w:p>
    <w:p>
      <w:pPr>
        <w:adjustRightInd w:val="0"/>
        <w:snapToGrid w:val="0"/>
        <w:spacing w:line="560" w:lineRule="exact"/>
        <w:ind w:firstLine="640" w:firstLineChars="200"/>
        <w:jc w:val="both"/>
        <w:rPr>
          <w:rFonts w:ascii="仿宋_GB2312" w:eastAsia="仿宋_GB2312"/>
          <w:color w:val="000000"/>
          <w:sz w:val="32"/>
          <w:szCs w:val="32"/>
        </w:rPr>
      </w:pPr>
      <w:r>
        <w:rPr>
          <w:rFonts w:hint="eastAsia" w:ascii="仿宋_GB2312" w:hAnsi="仿宋_GB2312" w:eastAsia="仿宋_GB2312" w:cs="仿宋_GB2312"/>
          <w:color w:val="000000"/>
          <w:sz w:val="32"/>
          <w:szCs w:val="32"/>
        </w:rPr>
        <w:t>结合资产评估报告统一编码系统中资产评估师签署资产评估报告数量情况，</w:t>
      </w:r>
      <w:r>
        <w:rPr>
          <w:rFonts w:hint="eastAsia" w:ascii="仿宋_GB2312" w:eastAsia="仿宋_GB2312"/>
          <w:color w:val="000000"/>
          <w:sz w:val="32"/>
          <w:szCs w:val="32"/>
        </w:rPr>
        <w:t>重点关注已备案的资产评估机构和资产评估师是否具备从事资产评估业务所必须具备的专业知识，或者严重超出正常签署报告数量范围，存在超出专业胜任能力的情形。</w:t>
      </w:r>
    </w:p>
    <w:p>
      <w:pPr>
        <w:adjustRightInd w:val="0"/>
        <w:snapToGrid w:val="0"/>
        <w:spacing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对年度签署资产评估报告份数超过100份的资产评估师，查找、分析说明是否存在超出胜任能力。</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六、资产评估师挂名执业专项整治情况</w:t>
      </w:r>
    </w:p>
    <w:p>
      <w:pPr>
        <w:adjustRightInd w:val="0"/>
        <w:snapToGrid w:val="0"/>
        <w:spacing w:line="560" w:lineRule="exact"/>
        <w:ind w:firstLine="640" w:firstLineChars="200"/>
        <w:rPr>
          <w:rFonts w:ascii="仿宋_GB2312" w:eastAsia="仿宋_GB2312"/>
          <w:b/>
          <w:bCs/>
          <w:color w:val="000000"/>
          <w:sz w:val="32"/>
          <w:szCs w:val="32"/>
        </w:rPr>
      </w:pPr>
      <w:r>
        <w:rPr>
          <w:rFonts w:hint="eastAsia" w:ascii="仿宋_GB2312" w:eastAsia="仿宋_GB2312"/>
          <w:color w:val="000000"/>
          <w:sz w:val="32"/>
          <w:szCs w:val="32"/>
        </w:rPr>
        <w:t>依据《中华人民共和国资产评估法》第五条、第十六条、《广东省财政厅 财政部广东监管局 关于联合开展2020年注册会计师行业和资产评估行业专项整治工作的通知》（粤财监</w:t>
      </w:r>
      <w:r>
        <w:rPr>
          <w:rFonts w:hint="eastAsia"/>
          <w:color w:val="000000"/>
          <w:sz w:val="32"/>
          <w:szCs w:val="32"/>
        </w:rPr>
        <w:t>〔2020〕48号</w:t>
      </w:r>
      <w:r>
        <w:rPr>
          <w:rFonts w:hint="eastAsia" w:ascii="仿宋_GB2312" w:eastAsia="仿宋_GB2312"/>
          <w:color w:val="000000"/>
          <w:sz w:val="32"/>
          <w:szCs w:val="32"/>
        </w:rPr>
        <w:t>）、《关于开展资产评估机构及分支机构未备案违法承接资产评估业务自查工作的通知》</w:t>
      </w:r>
      <w:r>
        <w:rPr>
          <w:rFonts w:hint="eastAsia" w:ascii="仿宋_GB2312" w:hAnsi="仿宋_GB2312" w:eastAsia="仿宋_GB2312" w:cs="仿宋_GB2312"/>
          <w:color w:val="000000"/>
          <w:sz w:val="32"/>
          <w:szCs w:val="32"/>
        </w:rPr>
        <w:t>（粤评协〔2021〕31号）</w:t>
      </w:r>
      <w:r>
        <w:rPr>
          <w:rFonts w:hint="eastAsia" w:ascii="仿宋_GB2312" w:eastAsia="仿宋_GB2312"/>
          <w:color w:val="000000"/>
          <w:sz w:val="32"/>
          <w:szCs w:val="32"/>
        </w:rPr>
        <w:t>的要求，对是否存在兼职、挂名（多处）执业的资产评估师，以及是否存在未经备案违法承接资产评估业务等情况进行检查</w:t>
      </w:r>
      <w:r>
        <w:rPr>
          <w:rFonts w:hint="eastAsia" w:ascii="仿宋_GB2312" w:eastAsia="仿宋_GB2312"/>
          <w:b/>
          <w:bCs/>
          <w:color w:val="000000"/>
          <w:sz w:val="32"/>
          <w:szCs w:val="32"/>
        </w:rPr>
        <w:t>。</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七、执业质量自查情况</w:t>
      </w:r>
    </w:p>
    <w:p>
      <w:pPr>
        <w:adjustRightInd w:val="0"/>
        <w:snapToGrid w:val="0"/>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自查重点：是否根据业务具体情况履行了适当的评估程序；是否全面履行评估业务所需的系统性工作步骤；工作底稿是否反映评估程序实施情况，支持评估结论；资产评估报告是否清晰、准确地陈述报告内容，有无误导性表述；是否存在故意或过失出具虚假、不实资产评估报告等。</w:t>
      </w:r>
    </w:p>
    <w:p>
      <w:pPr>
        <w:numPr>
          <w:ilvl w:val="0"/>
          <w:numId w:val="6"/>
        </w:numPr>
        <w:adjustRightInd w:val="0"/>
        <w:snapToGrid w:val="0"/>
        <w:spacing w:line="560" w:lineRule="exact"/>
        <w:ind w:firstLine="643" w:firstLineChars="200"/>
        <w:rPr>
          <w:rFonts w:ascii="楷体" w:hAnsi="楷体" w:eastAsia="楷体" w:cs="楷体"/>
          <w:b/>
          <w:bCs/>
          <w:color w:val="000000"/>
          <w:sz w:val="32"/>
          <w:szCs w:val="32"/>
        </w:rPr>
      </w:pPr>
      <w:r>
        <w:rPr>
          <w:rFonts w:hint="eastAsia" w:ascii="楷体" w:hAnsi="楷体" w:eastAsia="楷体" w:cs="楷体"/>
          <w:b/>
          <w:bCs/>
          <w:color w:val="000000"/>
          <w:sz w:val="32"/>
          <w:szCs w:val="32"/>
        </w:rPr>
        <w:t>自查报告基本情况</w:t>
      </w:r>
    </w:p>
    <w:p>
      <w:pPr>
        <w:adjustRightInd w:val="0"/>
        <w:snapToGrid w:val="0"/>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 评估报告名称、文号、评估委托方、评估对象、评估基准日、评估目的、评估方法、评估结论及其增减值、签字评估师等基本情况。</w:t>
      </w:r>
    </w:p>
    <w:p>
      <w:pPr>
        <w:numPr>
          <w:ilvl w:val="0"/>
          <w:numId w:val="6"/>
        </w:numPr>
        <w:adjustRightInd w:val="0"/>
        <w:snapToGrid w:val="0"/>
        <w:spacing w:line="560" w:lineRule="exact"/>
        <w:ind w:firstLine="643" w:firstLineChars="200"/>
        <w:rPr>
          <w:rFonts w:ascii="楷体" w:hAnsi="楷体" w:eastAsia="楷体" w:cs="楷体"/>
          <w:b/>
          <w:bCs/>
          <w:color w:val="000000"/>
          <w:sz w:val="32"/>
          <w:szCs w:val="32"/>
        </w:rPr>
      </w:pPr>
      <w:r>
        <w:rPr>
          <w:rFonts w:hint="eastAsia" w:ascii="楷体" w:hAnsi="楷体" w:eastAsia="楷体" w:cs="楷体"/>
          <w:b/>
          <w:bCs/>
          <w:color w:val="000000"/>
          <w:sz w:val="32"/>
          <w:szCs w:val="32"/>
        </w:rPr>
        <w:t>资产报告背景情况</w:t>
      </w:r>
    </w:p>
    <w:p>
      <w:pPr>
        <w:adjustRightInd w:val="0"/>
        <w:snapToGrid w:val="0"/>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1.自查报告所服务经济行为完成情况；</w:t>
      </w:r>
    </w:p>
    <w:p>
      <w:pPr>
        <w:adjustRightInd w:val="0"/>
        <w:snapToGrid w:val="0"/>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2.自查报告由其他监管部门检查情况。</w:t>
      </w:r>
    </w:p>
    <w:p>
      <w:pPr>
        <w:adjustRightInd w:val="0"/>
        <w:snapToGrid w:val="0"/>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3.公开媒体质疑或者关注情况。</w:t>
      </w:r>
    </w:p>
    <w:p>
      <w:pPr>
        <w:adjustRightInd w:val="0"/>
        <w:snapToGrid w:val="0"/>
        <w:spacing w:line="560" w:lineRule="exact"/>
        <w:ind w:firstLine="643" w:firstLineChars="200"/>
        <w:rPr>
          <w:rFonts w:ascii="楷体" w:hAnsi="楷体" w:eastAsia="楷体" w:cs="楷体"/>
          <w:b/>
          <w:bCs/>
          <w:color w:val="000000"/>
          <w:sz w:val="32"/>
          <w:szCs w:val="32"/>
        </w:rPr>
      </w:pPr>
      <w:r>
        <w:rPr>
          <w:rFonts w:hint="eastAsia" w:ascii="楷体" w:hAnsi="楷体" w:eastAsia="楷体" w:cs="楷体"/>
          <w:b/>
          <w:bCs/>
          <w:color w:val="000000"/>
          <w:sz w:val="32"/>
          <w:szCs w:val="32"/>
        </w:rPr>
        <w:t>（三）自查意见</w:t>
      </w:r>
    </w:p>
    <w:p>
      <w:pPr>
        <w:adjustRightInd w:val="0"/>
        <w:snapToGrid w:val="0"/>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自查意见是指针对自查报告及工作底稿中发现的问题（按照按照资产评估需履行的基本程序，逐一进行自查），按问题严重程度进行列式。每个问题内容包括：问题标题、描述问题具体事项、列示问题涉及违反评估准则等相关规定的具体条款，自查人员与签字评估师沟通情况。</w:t>
      </w:r>
    </w:p>
    <w:p>
      <w:pPr>
        <w:adjustRightInd w:val="0"/>
        <w:snapToGrid w:val="0"/>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举例：</w:t>
      </w:r>
    </w:p>
    <w:p>
      <w:pPr>
        <w:adjustRightInd w:val="0"/>
        <w:snapToGrid w:val="0"/>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①未履行完整的独立性核查程序</w:t>
      </w:r>
    </w:p>
    <w:p>
      <w:pPr>
        <w:adjustRightInd w:val="0"/>
        <w:snapToGrid w:val="0"/>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xxx号资产评估报告的底稿中未明确填写评估项目独立性核查表。</w:t>
      </w:r>
    </w:p>
    <w:p>
      <w:pPr>
        <w:adjustRightInd w:val="0"/>
        <w:snapToGrid w:val="0"/>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上述问题不符合《资产评估基本准则》第九条“资产评估机构应当对专业能力、独立性和业务风险进行综合分析和评价。受理资产评估业务应当满足专业能力、独立性和业务风险控制要求，否则不得受理”的相关规定。</w:t>
      </w:r>
    </w:p>
    <w:p>
      <w:pPr>
        <w:adjustRightInd w:val="0"/>
        <w:snapToGrid w:val="0"/>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②合同内容变更但未重新签订合同或签订补充合同</w:t>
      </w:r>
    </w:p>
    <w:p>
      <w:pPr>
        <w:adjustRightInd w:val="0"/>
        <w:snapToGrid w:val="0"/>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xxxx号资产评估报告合同中约定的收费金额变更后未重新签订合同或签订补充合同，xxx号资产评估报告合同中约定的资产评估报告提交方式变更后未重新签订合同或签订补充合同。</w:t>
      </w:r>
    </w:p>
    <w:p>
      <w:pPr>
        <w:adjustRightInd w:val="0"/>
        <w:snapToGrid w:val="0"/>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上述问题不符合《资产评估执业准则—资产评估委托合同》第十九条“资产评估委托合同订立后发现相关事项存在遗漏、约定不明确，或者在合同履行中约定内容发生变化的，资产评估机构可以要求与委托人订立补充合同或者重新订立资产评估委托合同，或者以法律允许的其他方式对资产评估委托合同的相关条款进行变更”的相关规定。</w:t>
      </w:r>
    </w:p>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八、自纠措施</w:t>
      </w:r>
    </w:p>
    <w:p>
      <w:pPr>
        <w:adjustRightInd w:val="0"/>
        <w:snapToGrid w:val="0"/>
        <w:spacing w:line="560" w:lineRule="exact"/>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针对自查中发现的问题，机构拟采取的整改措施。</w:t>
      </w:r>
    </w:p>
    <w:p>
      <w:pPr>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九、提升行业执业质量的建议和意见</w:t>
      </w:r>
    </w:p>
    <w:p>
      <w:pPr>
        <w:adjustRightInd w:val="0"/>
        <w:snapToGrid w:val="0"/>
        <w:spacing w:line="560" w:lineRule="exact"/>
        <w:ind w:firstLine="640" w:firstLineChars="200"/>
        <w:rPr>
          <w:sz w:val="36"/>
          <w:szCs w:val="36"/>
        </w:rPr>
      </w:pPr>
      <w:r>
        <w:rPr>
          <w:rFonts w:hint="eastAsia" w:ascii="仿宋_GB2312" w:hAnsi="Arial" w:eastAsia="仿宋_GB2312" w:cs="Arial"/>
          <w:color w:val="000000"/>
          <w:sz w:val="32"/>
          <w:szCs w:val="32"/>
        </w:rPr>
        <w:t>可从业务技术、拓展新业务、业务管理等方面提出提升行业执业质量的建议和意见，也可以从如何发挥行业专业技术委员会、教育培训委员会等专门专业委员会作用方面提出完善行业治理的建议和意见；还可以从人才培训、人才储备或者抓住粤港澳大湾区建发展机遇或者</w:t>
      </w:r>
      <w:r>
        <w:rPr>
          <w:rFonts w:eastAsia="仿宋_GB2312"/>
          <w:color w:val="000000"/>
          <w:sz w:val="32"/>
          <w:szCs w:val="32"/>
        </w:rPr>
        <w:t>规范资产评估行业发展</w:t>
      </w:r>
      <w:r>
        <w:rPr>
          <w:rFonts w:hint="eastAsia" w:ascii="仿宋_GB2312" w:hAnsi="Arial" w:eastAsia="仿宋_GB2312" w:cs="Arial"/>
          <w:color w:val="000000"/>
          <w:sz w:val="32"/>
          <w:szCs w:val="32"/>
        </w:rPr>
        <w:t>等方面提出建议和意见。</w:t>
      </w:r>
    </w:p>
    <w:p>
      <w:pPr>
        <w:pStyle w:val="4"/>
        <w:ind w:firstLine="0" w:firstLineChars="0"/>
        <w:jc w:val="center"/>
        <w:rPr>
          <w:rFonts w:hint="eastAsia" w:ascii="仿宋_GB2312" w:hAnsi="仿宋_GB2312" w:eastAsia="仿宋_GB2312" w:cs="仿宋_GB2312"/>
          <w:b/>
          <w:bCs w:val="0"/>
          <w:sz w:val="32"/>
          <w:szCs w:val="32"/>
        </w:rPr>
      </w:pPr>
      <w:bookmarkStart w:id="12" w:name="_Toc23447"/>
      <w:r>
        <w:rPr>
          <w:rFonts w:hint="eastAsia" w:ascii="仿宋_GB2312" w:hAnsi="仿宋_GB2312" w:eastAsia="仿宋_GB2312" w:cs="仿宋_GB2312"/>
          <w:b/>
          <w:bCs w:val="0"/>
          <w:sz w:val="32"/>
          <w:szCs w:val="32"/>
        </w:rPr>
        <w:t>（三）承  诺  书</w:t>
      </w:r>
      <w:bookmarkEnd w:id="9"/>
      <w:bookmarkEnd w:id="10"/>
      <w:bookmarkEnd w:id="11"/>
      <w:bookmarkEnd w:id="12"/>
    </w:p>
    <w:p>
      <w:pPr>
        <w:pStyle w:val="5"/>
        <w:ind w:firstLine="480"/>
        <w:jc w:val="center"/>
        <w:rPr>
          <w:lang w:bidi="he-IL"/>
        </w:rPr>
      </w:pPr>
      <w:r>
        <w:rPr>
          <w:rFonts w:hint="eastAsia"/>
          <w:lang w:bidi="he-IL"/>
        </w:rPr>
        <w:t>（适用于被检查机构）</w:t>
      </w:r>
    </w:p>
    <w:p>
      <w:pPr>
        <w:spacing w:line="360" w:lineRule="auto"/>
        <w:ind w:firstLine="240" w:firstLineChars="100"/>
        <w:rPr>
          <w:rFonts w:cs="Times New Roman" w:asciiTheme="majorEastAsia" w:hAnsiTheme="majorEastAsia" w:eastAsiaTheme="majorEastAsia"/>
          <w:szCs w:val="28"/>
        </w:rPr>
      </w:pPr>
      <w:r>
        <w:rPr>
          <w:rFonts w:cs="Times New Roman" w:asciiTheme="majorEastAsia" w:hAnsiTheme="majorEastAsia" w:eastAsiaTheme="majorEastAsia"/>
          <w:szCs w:val="28"/>
        </w:rPr>
        <w:t xml:space="preserve">  </w:t>
      </w:r>
    </w:p>
    <w:p>
      <w:pPr>
        <w:tabs>
          <w:tab w:val="left" w:pos="993"/>
        </w:tabs>
        <w:spacing w:line="360" w:lineRule="auto"/>
        <w:ind w:firstLine="480" w:firstLineChars="200"/>
        <w:contextualSpacing/>
        <w:rPr>
          <w:rFonts w:cs="Times New Roman" w:asciiTheme="majorEastAsia" w:hAnsiTheme="majorEastAsia" w:eastAsiaTheme="majorEastAsia"/>
          <w:szCs w:val="28"/>
        </w:rPr>
      </w:pPr>
      <w:r>
        <w:rPr>
          <w:rFonts w:cs="Times New Roman" w:asciiTheme="majorEastAsia" w:hAnsiTheme="majorEastAsia" w:eastAsiaTheme="majorEastAsia"/>
          <w:szCs w:val="28"/>
        </w:rPr>
        <w:t>本单位已知悉联合检查事宜，了解应承担的责任与义务，为确保此次 联合检查工作的顺利进行，本单位郑重承诺：</w:t>
      </w:r>
    </w:p>
    <w:p>
      <w:pPr>
        <w:numPr>
          <w:ilvl w:val="0"/>
          <w:numId w:val="7"/>
        </w:numPr>
        <w:tabs>
          <w:tab w:val="left" w:pos="993"/>
        </w:tabs>
        <w:spacing w:line="360" w:lineRule="auto"/>
        <w:ind w:left="0" w:firstLine="480" w:firstLineChars="200"/>
        <w:contextualSpacing/>
        <w:rPr>
          <w:rFonts w:cs="Times New Roman" w:asciiTheme="majorEastAsia" w:hAnsiTheme="majorEastAsia" w:eastAsiaTheme="majorEastAsia"/>
          <w:szCs w:val="28"/>
        </w:rPr>
      </w:pPr>
      <w:r>
        <w:rPr>
          <w:rFonts w:cs="Times New Roman" w:asciiTheme="majorEastAsia" w:hAnsiTheme="majorEastAsia" w:eastAsiaTheme="majorEastAsia"/>
          <w:szCs w:val="28"/>
        </w:rPr>
        <w:t>遵守国家保密法律、法规、规章制度；</w:t>
      </w:r>
    </w:p>
    <w:p>
      <w:pPr>
        <w:numPr>
          <w:ilvl w:val="0"/>
          <w:numId w:val="7"/>
        </w:numPr>
        <w:tabs>
          <w:tab w:val="left" w:pos="993"/>
        </w:tabs>
        <w:spacing w:line="360" w:lineRule="auto"/>
        <w:ind w:left="0" w:firstLine="480" w:firstLineChars="200"/>
        <w:contextualSpacing/>
        <w:rPr>
          <w:rFonts w:cs="Times New Roman" w:asciiTheme="majorEastAsia" w:hAnsiTheme="majorEastAsia" w:eastAsiaTheme="majorEastAsia"/>
          <w:szCs w:val="28"/>
        </w:rPr>
      </w:pPr>
      <w:r>
        <w:rPr>
          <w:rFonts w:cs="Times New Roman" w:asciiTheme="majorEastAsia" w:hAnsiTheme="majorEastAsia" w:eastAsiaTheme="majorEastAsia"/>
          <w:szCs w:val="28"/>
        </w:rPr>
        <w:t>尊重检查组工作人员；</w:t>
      </w:r>
    </w:p>
    <w:p>
      <w:pPr>
        <w:numPr>
          <w:ilvl w:val="0"/>
          <w:numId w:val="7"/>
        </w:numPr>
        <w:tabs>
          <w:tab w:val="left" w:pos="993"/>
        </w:tabs>
        <w:spacing w:line="360" w:lineRule="auto"/>
        <w:ind w:left="0" w:firstLine="480" w:firstLineChars="200"/>
        <w:contextualSpacing/>
        <w:rPr>
          <w:rFonts w:cs="Times New Roman" w:asciiTheme="majorEastAsia" w:hAnsiTheme="majorEastAsia" w:eastAsiaTheme="majorEastAsia"/>
          <w:szCs w:val="28"/>
        </w:rPr>
      </w:pPr>
      <w:r>
        <w:rPr>
          <w:rFonts w:hint="eastAsia" w:cs="Times New Roman" w:asciiTheme="majorEastAsia" w:hAnsiTheme="majorEastAsia" w:eastAsiaTheme="majorEastAsia"/>
          <w:szCs w:val="28"/>
        </w:rPr>
        <w:t>及时</w:t>
      </w:r>
      <w:r>
        <w:rPr>
          <w:rFonts w:cs="Times New Roman" w:asciiTheme="majorEastAsia" w:hAnsiTheme="majorEastAsia" w:eastAsiaTheme="majorEastAsia"/>
          <w:szCs w:val="28"/>
        </w:rPr>
        <w:t>提供公司信息、资料、数据</w:t>
      </w:r>
      <w:r>
        <w:rPr>
          <w:rFonts w:hint="eastAsia" w:cs="Times New Roman" w:asciiTheme="majorEastAsia" w:hAnsiTheme="majorEastAsia" w:eastAsiaTheme="majorEastAsia"/>
          <w:szCs w:val="28"/>
        </w:rPr>
        <w:t>，并保证所提供信息、资料、数据的真实性和完整性；</w:t>
      </w:r>
    </w:p>
    <w:p>
      <w:pPr>
        <w:numPr>
          <w:ilvl w:val="0"/>
          <w:numId w:val="7"/>
        </w:numPr>
        <w:tabs>
          <w:tab w:val="left" w:pos="993"/>
        </w:tabs>
        <w:spacing w:line="360" w:lineRule="auto"/>
        <w:ind w:left="0" w:firstLine="480" w:firstLineChars="200"/>
        <w:contextualSpacing/>
        <w:rPr>
          <w:rFonts w:cs="Times New Roman" w:asciiTheme="majorEastAsia" w:hAnsiTheme="majorEastAsia" w:eastAsiaTheme="majorEastAsia"/>
          <w:szCs w:val="28"/>
        </w:rPr>
      </w:pPr>
      <w:r>
        <w:rPr>
          <w:rFonts w:cs="Times New Roman" w:asciiTheme="majorEastAsia" w:hAnsiTheme="majorEastAsia" w:eastAsiaTheme="majorEastAsia"/>
          <w:szCs w:val="28"/>
        </w:rPr>
        <w:t>不干涉联合检查组工作；</w:t>
      </w:r>
    </w:p>
    <w:p>
      <w:pPr>
        <w:numPr>
          <w:ilvl w:val="0"/>
          <w:numId w:val="7"/>
        </w:numPr>
        <w:tabs>
          <w:tab w:val="left" w:pos="993"/>
        </w:tabs>
        <w:spacing w:line="360" w:lineRule="auto"/>
        <w:ind w:left="0" w:firstLine="480" w:firstLineChars="200"/>
        <w:contextualSpacing/>
        <w:rPr>
          <w:rFonts w:cs="Times New Roman" w:asciiTheme="majorEastAsia" w:hAnsiTheme="majorEastAsia" w:eastAsiaTheme="majorEastAsia"/>
          <w:szCs w:val="28"/>
        </w:rPr>
      </w:pPr>
      <w:r>
        <w:rPr>
          <w:rFonts w:cs="Times New Roman" w:asciiTheme="majorEastAsia" w:hAnsiTheme="majorEastAsia" w:eastAsiaTheme="majorEastAsia"/>
          <w:szCs w:val="28"/>
        </w:rPr>
        <w:t>不以任何方式泄露所接触和知悉的国家秘密或检查结果；</w:t>
      </w:r>
    </w:p>
    <w:p>
      <w:pPr>
        <w:numPr>
          <w:ilvl w:val="0"/>
          <w:numId w:val="7"/>
        </w:numPr>
        <w:tabs>
          <w:tab w:val="left" w:pos="993"/>
        </w:tabs>
        <w:spacing w:line="360" w:lineRule="auto"/>
        <w:ind w:left="0" w:firstLine="480" w:firstLineChars="200"/>
        <w:contextualSpacing/>
        <w:rPr>
          <w:rFonts w:cs="Times New Roman" w:asciiTheme="majorEastAsia" w:hAnsiTheme="majorEastAsia" w:eastAsiaTheme="majorEastAsia"/>
          <w:szCs w:val="28"/>
        </w:rPr>
      </w:pPr>
      <w:r>
        <w:rPr>
          <w:rFonts w:cs="Times New Roman" w:asciiTheme="majorEastAsia" w:hAnsiTheme="majorEastAsia" w:eastAsiaTheme="majorEastAsia"/>
          <w:szCs w:val="28"/>
        </w:rPr>
        <w:t>不违规记录、存储、复制国家秘密信息或检查相关资料；</w:t>
      </w:r>
    </w:p>
    <w:p>
      <w:pPr>
        <w:numPr>
          <w:ilvl w:val="0"/>
          <w:numId w:val="7"/>
        </w:numPr>
        <w:tabs>
          <w:tab w:val="left" w:pos="993"/>
        </w:tabs>
        <w:spacing w:line="360" w:lineRule="auto"/>
        <w:ind w:left="0" w:firstLine="480" w:firstLineChars="200"/>
        <w:contextualSpacing/>
        <w:rPr>
          <w:rFonts w:cs="Times New Roman" w:asciiTheme="majorEastAsia" w:hAnsiTheme="majorEastAsia" w:eastAsiaTheme="majorEastAsia"/>
          <w:szCs w:val="28"/>
        </w:rPr>
      </w:pPr>
      <w:r>
        <w:rPr>
          <w:rFonts w:cs="Times New Roman" w:asciiTheme="majorEastAsia" w:hAnsiTheme="majorEastAsia" w:eastAsiaTheme="majorEastAsia"/>
          <w:szCs w:val="28"/>
        </w:rPr>
        <w:t>不将所知晓的检查工作情况和检查意见透露给无关人员；</w:t>
      </w:r>
    </w:p>
    <w:p>
      <w:pPr>
        <w:numPr>
          <w:ilvl w:val="0"/>
          <w:numId w:val="7"/>
        </w:numPr>
        <w:tabs>
          <w:tab w:val="left" w:pos="993"/>
        </w:tabs>
        <w:spacing w:line="360" w:lineRule="auto"/>
        <w:ind w:left="0" w:firstLine="480" w:firstLineChars="200"/>
        <w:contextualSpacing/>
        <w:rPr>
          <w:rFonts w:cs="Times New Roman" w:asciiTheme="majorEastAsia" w:hAnsiTheme="majorEastAsia" w:eastAsiaTheme="majorEastAsia"/>
          <w:szCs w:val="28"/>
        </w:rPr>
      </w:pPr>
      <w:r>
        <w:rPr>
          <w:rFonts w:cs="Times New Roman" w:asciiTheme="majorEastAsia" w:hAnsiTheme="majorEastAsia" w:eastAsiaTheme="majorEastAsia"/>
          <w:szCs w:val="28"/>
        </w:rPr>
        <w:t>不擅自发表有关联合检查工作内容的言论；</w:t>
      </w:r>
    </w:p>
    <w:p>
      <w:pPr>
        <w:numPr>
          <w:ilvl w:val="0"/>
          <w:numId w:val="7"/>
        </w:numPr>
        <w:tabs>
          <w:tab w:val="left" w:pos="993"/>
        </w:tabs>
        <w:spacing w:line="360" w:lineRule="auto"/>
        <w:ind w:left="0" w:firstLine="480" w:firstLineChars="200"/>
        <w:contextualSpacing/>
        <w:rPr>
          <w:rFonts w:cs="Times New Roman" w:asciiTheme="majorEastAsia" w:hAnsiTheme="majorEastAsia" w:eastAsiaTheme="majorEastAsia"/>
          <w:szCs w:val="28"/>
        </w:rPr>
      </w:pPr>
      <w:r>
        <w:rPr>
          <w:rFonts w:cs="Times New Roman" w:asciiTheme="majorEastAsia" w:hAnsiTheme="majorEastAsia" w:eastAsiaTheme="majorEastAsia"/>
          <w:szCs w:val="28"/>
        </w:rPr>
        <w:t>积极配合检查工作，虚心接受检查意见及结果。</w:t>
      </w:r>
    </w:p>
    <w:p>
      <w:pPr>
        <w:tabs>
          <w:tab w:val="left" w:pos="993"/>
        </w:tabs>
        <w:spacing w:line="360" w:lineRule="auto"/>
        <w:ind w:firstLine="480" w:firstLineChars="200"/>
        <w:contextualSpacing/>
        <w:rPr>
          <w:rFonts w:cs="Times New Roman" w:asciiTheme="majorEastAsia" w:hAnsiTheme="majorEastAsia" w:eastAsiaTheme="majorEastAsia"/>
          <w:szCs w:val="28"/>
        </w:rPr>
      </w:pPr>
    </w:p>
    <w:p>
      <w:pPr>
        <w:tabs>
          <w:tab w:val="left" w:pos="993"/>
        </w:tabs>
        <w:spacing w:line="360" w:lineRule="auto"/>
        <w:ind w:firstLine="480" w:firstLineChars="200"/>
        <w:contextualSpacing/>
        <w:rPr>
          <w:rFonts w:cs="Times New Roman" w:asciiTheme="majorEastAsia" w:hAnsiTheme="majorEastAsia" w:eastAsiaTheme="majorEastAsia"/>
          <w:szCs w:val="28"/>
        </w:rPr>
      </w:pPr>
      <w:r>
        <w:rPr>
          <w:rFonts w:cs="Times New Roman" w:asciiTheme="majorEastAsia" w:hAnsiTheme="majorEastAsia" w:eastAsiaTheme="majorEastAsia"/>
          <w:szCs w:val="28"/>
        </w:rPr>
        <w:t>违反以上承诺，本单位自愿承担法律后果。</w:t>
      </w:r>
    </w:p>
    <w:p>
      <w:pPr>
        <w:spacing w:line="360" w:lineRule="auto"/>
        <w:ind w:right="1121"/>
        <w:jc w:val="right"/>
        <w:rPr>
          <w:rFonts w:cs="Times New Roman" w:asciiTheme="majorEastAsia" w:hAnsiTheme="majorEastAsia" w:eastAsiaTheme="majorEastAsia"/>
          <w:szCs w:val="28"/>
        </w:rPr>
      </w:pPr>
    </w:p>
    <w:p>
      <w:pPr>
        <w:spacing w:line="360" w:lineRule="auto"/>
        <w:ind w:right="2552"/>
        <w:jc w:val="right"/>
        <w:rPr>
          <w:rFonts w:cs="Times New Roman" w:asciiTheme="majorEastAsia" w:hAnsiTheme="majorEastAsia" w:eastAsiaTheme="majorEastAsia"/>
          <w:szCs w:val="28"/>
        </w:rPr>
      </w:pPr>
      <w:r>
        <w:rPr>
          <w:rFonts w:cs="Times New Roman" w:asciiTheme="majorEastAsia" w:hAnsiTheme="majorEastAsia" w:eastAsiaTheme="majorEastAsia"/>
          <w:szCs w:val="28"/>
        </w:rPr>
        <w:t>承诺单位（盖章）：</w:t>
      </w:r>
    </w:p>
    <w:p>
      <w:pPr>
        <w:spacing w:line="360" w:lineRule="auto"/>
        <w:ind w:right="2552"/>
        <w:jc w:val="right"/>
        <w:rPr>
          <w:rFonts w:cs="Times New Roman" w:asciiTheme="majorEastAsia" w:hAnsiTheme="majorEastAsia" w:eastAsiaTheme="majorEastAsia"/>
          <w:szCs w:val="28"/>
        </w:rPr>
      </w:pPr>
    </w:p>
    <w:p>
      <w:pPr>
        <w:spacing w:line="360" w:lineRule="auto"/>
        <w:ind w:right="2552"/>
        <w:jc w:val="right"/>
        <w:rPr>
          <w:rFonts w:cs="Times New Roman" w:asciiTheme="majorEastAsia" w:hAnsiTheme="majorEastAsia" w:eastAsiaTheme="majorEastAsia"/>
          <w:szCs w:val="28"/>
        </w:rPr>
      </w:pPr>
      <w:r>
        <w:rPr>
          <w:rFonts w:cs="Times New Roman" w:asciiTheme="majorEastAsia" w:hAnsiTheme="majorEastAsia" w:eastAsiaTheme="majorEastAsia"/>
          <w:szCs w:val="28"/>
        </w:rPr>
        <w:t>法</w:t>
      </w:r>
      <w:r>
        <w:rPr>
          <w:rFonts w:hint="eastAsia" w:cs="Times New Roman" w:asciiTheme="majorEastAsia" w:hAnsiTheme="majorEastAsia" w:eastAsiaTheme="majorEastAsia"/>
          <w:szCs w:val="28"/>
        </w:rPr>
        <w:t>定</w:t>
      </w:r>
      <w:r>
        <w:rPr>
          <w:rFonts w:cs="Times New Roman" w:asciiTheme="majorEastAsia" w:hAnsiTheme="majorEastAsia" w:eastAsiaTheme="majorEastAsia"/>
          <w:szCs w:val="28"/>
        </w:rPr>
        <w:t>代表</w:t>
      </w:r>
      <w:r>
        <w:rPr>
          <w:rFonts w:hint="eastAsia" w:cs="Times New Roman" w:asciiTheme="majorEastAsia" w:hAnsiTheme="majorEastAsia" w:eastAsiaTheme="majorEastAsia"/>
          <w:szCs w:val="28"/>
        </w:rPr>
        <w:t>人</w:t>
      </w:r>
      <w:r>
        <w:rPr>
          <w:rFonts w:cs="Times New Roman" w:asciiTheme="majorEastAsia" w:hAnsiTheme="majorEastAsia" w:eastAsiaTheme="majorEastAsia"/>
          <w:szCs w:val="28"/>
        </w:rPr>
        <w:t>（或负责人）签字：</w:t>
      </w:r>
    </w:p>
    <w:p>
      <w:pPr>
        <w:spacing w:line="360" w:lineRule="auto"/>
        <w:ind w:right="1121"/>
        <w:jc w:val="right"/>
        <w:rPr>
          <w:rFonts w:cs="Times New Roman" w:asciiTheme="majorEastAsia" w:hAnsiTheme="majorEastAsia" w:eastAsiaTheme="majorEastAsia"/>
          <w:szCs w:val="28"/>
        </w:rPr>
      </w:pPr>
      <w:r>
        <w:rPr>
          <w:rFonts w:cs="Times New Roman" w:asciiTheme="majorEastAsia" w:hAnsiTheme="majorEastAsia" w:eastAsiaTheme="majorEastAsia"/>
          <w:szCs w:val="28"/>
        </w:rPr>
        <w:t xml:space="preserve"> </w:t>
      </w:r>
    </w:p>
    <w:p>
      <w:pPr>
        <w:spacing w:line="360" w:lineRule="auto"/>
        <w:ind w:right="1121"/>
        <w:jc w:val="right"/>
        <w:rPr>
          <w:rFonts w:cs="Times New Roman" w:asciiTheme="majorEastAsia" w:hAnsiTheme="majorEastAsia" w:eastAsiaTheme="majorEastAsia"/>
          <w:szCs w:val="28"/>
        </w:rPr>
      </w:pPr>
      <w:r>
        <w:rPr>
          <w:rFonts w:cs="Times New Roman" w:asciiTheme="majorEastAsia" w:hAnsiTheme="majorEastAsia" w:eastAsiaTheme="majorEastAsia"/>
          <w:szCs w:val="28"/>
        </w:rPr>
        <w:t xml:space="preserve"> 年     月     日</w:t>
      </w:r>
    </w:p>
    <w:p>
      <w:pPr>
        <w:pStyle w:val="4"/>
        <w:ind w:firstLine="422"/>
        <w:jc w:val="center"/>
        <w:rPr>
          <w:rFonts w:hint="eastAsia" w:ascii="仿宋_GB2312" w:hAnsi="仿宋_GB2312" w:eastAsia="仿宋_GB2312" w:cs="仿宋_GB2312"/>
          <w:b/>
          <w:bCs w:val="0"/>
          <w:sz w:val="32"/>
          <w:szCs w:val="32"/>
        </w:rPr>
      </w:pPr>
      <w:r>
        <w:rPr>
          <w:rFonts w:cs="Times New Roman" w:asciiTheme="majorEastAsia" w:hAnsiTheme="majorEastAsia" w:eastAsiaTheme="majorEastAsia"/>
          <w:bCs w:val="0"/>
        </w:rPr>
        <w:br w:type="page"/>
      </w:r>
      <w:bookmarkStart w:id="13" w:name="_Toc70352802"/>
      <w:bookmarkStart w:id="14" w:name="_Toc83801612"/>
      <w:bookmarkStart w:id="15" w:name="_Toc83801764"/>
      <w:bookmarkStart w:id="16" w:name="_Toc11492"/>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四</w:t>
      </w:r>
      <w:r>
        <w:rPr>
          <w:rFonts w:hint="eastAsia" w:ascii="仿宋_GB2312" w:hAnsi="仿宋_GB2312" w:eastAsia="仿宋_GB2312" w:cs="仿宋_GB2312"/>
          <w:b/>
          <w:bCs w:val="0"/>
          <w:sz w:val="32"/>
          <w:szCs w:val="32"/>
        </w:rPr>
        <w:t>）资产评估机构基本情况表</w:t>
      </w:r>
      <w:bookmarkEnd w:id="13"/>
      <w:bookmarkEnd w:id="14"/>
      <w:bookmarkEnd w:id="15"/>
      <w:bookmarkEnd w:id="16"/>
    </w:p>
    <w:p>
      <w:pPr>
        <w:spacing w:line="360" w:lineRule="auto"/>
        <w:jc w:val="center"/>
        <w:rPr>
          <w:rFonts w:cs="Times New Roman" w:asciiTheme="majorEastAsia" w:hAnsiTheme="majorEastAsia" w:eastAsiaTheme="majorEastAsia"/>
          <w:szCs w:val="21"/>
        </w:rPr>
      </w:pPr>
    </w:p>
    <w:tbl>
      <w:tblPr>
        <w:tblStyle w:val="1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2272"/>
        <w:gridCol w:w="1560"/>
        <w:gridCol w:w="223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机构名称</w:t>
            </w:r>
          </w:p>
        </w:tc>
        <w:tc>
          <w:tcPr>
            <w:tcW w:w="3832" w:type="dxa"/>
            <w:gridSpan w:val="2"/>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成立时间</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办公地址</w:t>
            </w:r>
          </w:p>
        </w:tc>
        <w:tc>
          <w:tcPr>
            <w:tcW w:w="3832" w:type="dxa"/>
            <w:gridSpan w:val="2"/>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邮    编</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 w:val="18"/>
                <w:szCs w:val="18"/>
              </w:rPr>
            </w:pPr>
            <w:r>
              <w:rPr>
                <w:rFonts w:cs="Times New Roman" w:asciiTheme="majorEastAsia" w:hAnsiTheme="majorEastAsia" w:eastAsiaTheme="majorEastAsia"/>
                <w:sz w:val="18"/>
                <w:szCs w:val="18"/>
              </w:rPr>
              <w:t>法定代表人或执行事务合伙人</w:t>
            </w:r>
          </w:p>
        </w:tc>
        <w:tc>
          <w:tcPr>
            <w:tcW w:w="3832" w:type="dxa"/>
            <w:gridSpan w:val="2"/>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联系电话</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职工人数</w:t>
            </w:r>
          </w:p>
        </w:tc>
        <w:tc>
          <w:tcPr>
            <w:tcW w:w="3832" w:type="dxa"/>
            <w:gridSpan w:val="2"/>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评估师人数</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0" w:type="dxa"/>
            <w:gridSpan w:val="5"/>
            <w:vAlign w:val="center"/>
          </w:tcPr>
          <w:p>
            <w:pPr>
              <w:spacing w:line="360" w:lineRule="auto"/>
              <w:jc w:val="center"/>
              <w:rPr>
                <w:rFonts w:cs="Times New Roman" w:asciiTheme="majorEastAsia" w:hAnsiTheme="majorEastAsia" w:eastAsiaTheme="majorEastAsia"/>
                <w:szCs w:val="21"/>
              </w:rPr>
            </w:pPr>
            <w:r>
              <w:rPr>
                <w:rFonts w:cs="Times New Roman" w:asciiTheme="majorEastAsia" w:hAnsiTheme="majorEastAsia" w:eastAsiaTheme="majorEastAsia"/>
                <w:szCs w:val="21"/>
              </w:rPr>
              <w:t>评估报告类型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20  年</w:t>
            </w:r>
          </w:p>
        </w:tc>
        <w:tc>
          <w:tcPr>
            <w:tcW w:w="2272"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报告总数</w:t>
            </w:r>
          </w:p>
        </w:tc>
        <w:tc>
          <w:tcPr>
            <w:tcW w:w="1560" w:type="dxa"/>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其中：证券业务报告数</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20  年</w:t>
            </w:r>
          </w:p>
        </w:tc>
        <w:tc>
          <w:tcPr>
            <w:tcW w:w="2272"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报告总数</w:t>
            </w:r>
          </w:p>
        </w:tc>
        <w:tc>
          <w:tcPr>
            <w:tcW w:w="1560" w:type="dxa"/>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其中：证券业务报告数</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20  年</w:t>
            </w:r>
          </w:p>
        </w:tc>
        <w:tc>
          <w:tcPr>
            <w:tcW w:w="2272"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报告总数</w:t>
            </w:r>
          </w:p>
        </w:tc>
        <w:tc>
          <w:tcPr>
            <w:tcW w:w="1560" w:type="dxa"/>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其中：证券业务报告数</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20  年</w:t>
            </w:r>
          </w:p>
        </w:tc>
        <w:tc>
          <w:tcPr>
            <w:tcW w:w="3832" w:type="dxa"/>
            <w:gridSpan w:val="2"/>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其中：分公司出具的报告数</w:t>
            </w:r>
          </w:p>
        </w:tc>
        <w:tc>
          <w:tcPr>
            <w:tcW w:w="4038" w:type="dxa"/>
            <w:gridSpan w:val="2"/>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20  年</w:t>
            </w:r>
          </w:p>
        </w:tc>
        <w:tc>
          <w:tcPr>
            <w:tcW w:w="3832" w:type="dxa"/>
            <w:gridSpan w:val="2"/>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其中：分公司出具的报告数</w:t>
            </w:r>
          </w:p>
        </w:tc>
        <w:tc>
          <w:tcPr>
            <w:tcW w:w="4038" w:type="dxa"/>
            <w:gridSpan w:val="2"/>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20  年</w:t>
            </w:r>
          </w:p>
        </w:tc>
        <w:tc>
          <w:tcPr>
            <w:tcW w:w="3832" w:type="dxa"/>
            <w:gridSpan w:val="2"/>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其中：分公司出具的报告数</w:t>
            </w:r>
          </w:p>
        </w:tc>
        <w:tc>
          <w:tcPr>
            <w:tcW w:w="4038" w:type="dxa"/>
            <w:gridSpan w:val="2"/>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40" w:type="dxa"/>
            <w:gridSpan w:val="5"/>
            <w:vAlign w:val="center"/>
          </w:tcPr>
          <w:p>
            <w:pPr>
              <w:spacing w:line="360" w:lineRule="auto"/>
              <w:jc w:val="center"/>
              <w:rPr>
                <w:rFonts w:cs="Times New Roman" w:asciiTheme="majorEastAsia" w:hAnsiTheme="majorEastAsia" w:eastAsiaTheme="majorEastAsia"/>
                <w:szCs w:val="21"/>
              </w:rPr>
            </w:pPr>
            <w:r>
              <w:rPr>
                <w:rFonts w:cs="Times New Roman" w:asciiTheme="majorEastAsia" w:hAnsiTheme="majorEastAsia" w:eastAsiaTheme="majorEastAsia"/>
                <w:szCs w:val="21"/>
              </w:rPr>
              <w:t>业绩情况（万元）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20  年</w:t>
            </w:r>
          </w:p>
        </w:tc>
        <w:tc>
          <w:tcPr>
            <w:tcW w:w="2272"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业务收入</w:t>
            </w:r>
          </w:p>
        </w:tc>
        <w:tc>
          <w:tcPr>
            <w:tcW w:w="1560" w:type="dxa"/>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其中：分支机构收入</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20  年</w:t>
            </w:r>
          </w:p>
        </w:tc>
        <w:tc>
          <w:tcPr>
            <w:tcW w:w="2272"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业务收入</w:t>
            </w:r>
          </w:p>
        </w:tc>
        <w:tc>
          <w:tcPr>
            <w:tcW w:w="1560" w:type="dxa"/>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其中：分支机构收入</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20  年</w:t>
            </w:r>
          </w:p>
        </w:tc>
        <w:tc>
          <w:tcPr>
            <w:tcW w:w="2272"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业务收入</w:t>
            </w:r>
          </w:p>
        </w:tc>
        <w:tc>
          <w:tcPr>
            <w:tcW w:w="1560" w:type="dxa"/>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其中：分支机构收入</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40" w:type="dxa"/>
            <w:gridSpan w:val="5"/>
            <w:vAlign w:val="center"/>
          </w:tcPr>
          <w:p>
            <w:pPr>
              <w:spacing w:line="360" w:lineRule="auto"/>
              <w:jc w:val="center"/>
              <w:rPr>
                <w:rFonts w:cs="Times New Roman" w:asciiTheme="majorEastAsia" w:hAnsiTheme="majorEastAsia" w:eastAsiaTheme="majorEastAsia"/>
                <w:szCs w:val="21"/>
              </w:rPr>
            </w:pPr>
            <w:r>
              <w:rPr>
                <w:rFonts w:cs="Times New Roman" w:asciiTheme="majorEastAsia" w:hAnsiTheme="majorEastAsia" w:eastAsiaTheme="majorEastAsia"/>
                <w:szCs w:val="21"/>
              </w:rPr>
              <w:t>分支机构情况1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分支机构名称</w:t>
            </w:r>
          </w:p>
        </w:tc>
        <w:tc>
          <w:tcPr>
            <w:tcW w:w="3832" w:type="dxa"/>
            <w:gridSpan w:val="2"/>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成立时间</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办公地址</w:t>
            </w:r>
          </w:p>
        </w:tc>
        <w:tc>
          <w:tcPr>
            <w:tcW w:w="3832" w:type="dxa"/>
            <w:gridSpan w:val="2"/>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邮    编</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负责人</w:t>
            </w:r>
          </w:p>
        </w:tc>
        <w:tc>
          <w:tcPr>
            <w:tcW w:w="3832" w:type="dxa"/>
            <w:gridSpan w:val="2"/>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联系电话</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职工人数</w:t>
            </w:r>
          </w:p>
        </w:tc>
        <w:tc>
          <w:tcPr>
            <w:tcW w:w="3832" w:type="dxa"/>
            <w:gridSpan w:val="2"/>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评估师人数</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bookmarkStart w:id="17" w:name="_Hlk66030672"/>
            <w:r>
              <w:rPr>
                <w:rFonts w:cs="Times New Roman" w:asciiTheme="majorEastAsia" w:hAnsiTheme="majorEastAsia" w:eastAsiaTheme="majorEastAsia"/>
                <w:szCs w:val="21"/>
              </w:rPr>
              <w:t>20  年</w:t>
            </w:r>
          </w:p>
        </w:tc>
        <w:tc>
          <w:tcPr>
            <w:tcW w:w="2272"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报告总数</w:t>
            </w:r>
          </w:p>
        </w:tc>
        <w:tc>
          <w:tcPr>
            <w:tcW w:w="1560" w:type="dxa"/>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其中：证券业务报告数</w:t>
            </w:r>
          </w:p>
        </w:tc>
        <w:tc>
          <w:tcPr>
            <w:tcW w:w="1800" w:type="dxa"/>
            <w:vAlign w:val="center"/>
          </w:tcPr>
          <w:p>
            <w:pPr>
              <w:spacing w:line="360" w:lineRule="auto"/>
              <w:rPr>
                <w:rFonts w:cs="Times New Roman" w:asciiTheme="majorEastAsia" w:hAnsiTheme="majorEastAsia" w:eastAsiaTheme="majorEastAsia"/>
                <w:szCs w:val="21"/>
              </w:rPr>
            </w:pP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0" w:type="dxa"/>
            <w:gridSpan w:val="5"/>
            <w:vAlign w:val="center"/>
          </w:tcPr>
          <w:p>
            <w:pPr>
              <w:spacing w:line="360" w:lineRule="auto"/>
              <w:jc w:val="center"/>
              <w:rPr>
                <w:rFonts w:cs="Times New Roman" w:asciiTheme="majorEastAsia" w:hAnsiTheme="majorEastAsia" w:eastAsiaTheme="majorEastAsia"/>
                <w:szCs w:val="21"/>
              </w:rPr>
            </w:pPr>
            <w:r>
              <w:rPr>
                <w:rFonts w:cs="Times New Roman" w:asciiTheme="majorEastAsia" w:hAnsiTheme="majorEastAsia" w:eastAsiaTheme="majorEastAsia"/>
                <w:szCs w:val="21"/>
              </w:rPr>
              <w:t>分支机构情况2（依次类推）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分支机构名称</w:t>
            </w:r>
          </w:p>
        </w:tc>
        <w:tc>
          <w:tcPr>
            <w:tcW w:w="3832" w:type="dxa"/>
            <w:gridSpan w:val="2"/>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成立时间</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办公地址</w:t>
            </w:r>
          </w:p>
        </w:tc>
        <w:tc>
          <w:tcPr>
            <w:tcW w:w="3832" w:type="dxa"/>
            <w:gridSpan w:val="2"/>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邮    编</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负责人</w:t>
            </w:r>
          </w:p>
        </w:tc>
        <w:tc>
          <w:tcPr>
            <w:tcW w:w="3832" w:type="dxa"/>
            <w:gridSpan w:val="2"/>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联系电话</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职工人数</w:t>
            </w:r>
          </w:p>
        </w:tc>
        <w:tc>
          <w:tcPr>
            <w:tcW w:w="3832" w:type="dxa"/>
            <w:gridSpan w:val="2"/>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评估师人数</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0"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20  年</w:t>
            </w:r>
          </w:p>
        </w:tc>
        <w:tc>
          <w:tcPr>
            <w:tcW w:w="2272"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报告总数</w:t>
            </w:r>
          </w:p>
        </w:tc>
        <w:tc>
          <w:tcPr>
            <w:tcW w:w="1560" w:type="dxa"/>
            <w:vAlign w:val="center"/>
          </w:tcPr>
          <w:p>
            <w:pPr>
              <w:spacing w:line="360" w:lineRule="auto"/>
              <w:rPr>
                <w:rFonts w:cs="Times New Roman" w:asciiTheme="majorEastAsia" w:hAnsiTheme="majorEastAsia" w:eastAsiaTheme="majorEastAsia"/>
                <w:szCs w:val="21"/>
              </w:rPr>
            </w:pPr>
          </w:p>
        </w:tc>
        <w:tc>
          <w:tcPr>
            <w:tcW w:w="2238" w:type="dxa"/>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其中：证券业务报告数</w:t>
            </w:r>
          </w:p>
        </w:tc>
        <w:tc>
          <w:tcPr>
            <w:tcW w:w="1800" w:type="dxa"/>
            <w:vAlign w:val="center"/>
          </w:tcPr>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0" w:type="dxa"/>
            <w:gridSpan w:val="5"/>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近三年机构及评估师奖惩情况：（请具体说明，并附相关材料。）</w:t>
            </w:r>
          </w:p>
          <w:p>
            <w:pPr>
              <w:spacing w:line="360" w:lineRule="auto"/>
              <w:rPr>
                <w:rFonts w:cs="Times New Roman" w:asciiTheme="majorEastAsia" w:hAnsiTheme="majorEastAsia" w:eastAsiaTheme="majorEastAsia"/>
                <w:szCs w:val="21"/>
              </w:rPr>
            </w:pPr>
          </w:p>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0" w:type="dxa"/>
            <w:gridSpan w:val="5"/>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近三年机构涉诉情况及未决诉讼情况：（请具体说明，并附相关材料。）</w:t>
            </w:r>
          </w:p>
          <w:p>
            <w:pPr>
              <w:spacing w:line="360" w:lineRule="auto"/>
              <w:rPr>
                <w:rFonts w:cs="Times New Roman" w:asciiTheme="majorEastAsia" w:hAnsiTheme="majorEastAsia" w:eastAsiaTheme="majorEastAsia"/>
                <w:szCs w:val="21"/>
              </w:rPr>
            </w:pPr>
          </w:p>
          <w:p>
            <w:pPr>
              <w:spacing w:line="360" w:lineRule="auto"/>
              <w:rPr>
                <w:rFonts w:cs="Times New Roman"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0" w:type="dxa"/>
            <w:gridSpan w:val="5"/>
            <w:vAlign w:val="center"/>
          </w:tcPr>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其他需要说明的情况：</w:t>
            </w:r>
          </w:p>
          <w:p>
            <w:pPr>
              <w:spacing w:line="360" w:lineRule="auto"/>
              <w:rPr>
                <w:rFonts w:cs="Times New Roman" w:asciiTheme="majorEastAsia" w:hAnsiTheme="majorEastAsia" w:eastAsiaTheme="majorEastAsia"/>
                <w:szCs w:val="21"/>
              </w:rPr>
            </w:pPr>
          </w:p>
          <w:p>
            <w:pPr>
              <w:spacing w:line="360" w:lineRule="auto"/>
              <w:rPr>
                <w:rFonts w:cs="Times New Roman" w:asciiTheme="majorEastAsia" w:hAnsiTheme="majorEastAsia" w:eastAsiaTheme="majorEastAsia"/>
                <w:szCs w:val="21"/>
              </w:rPr>
            </w:pPr>
          </w:p>
        </w:tc>
      </w:tr>
    </w:tbl>
    <w:p>
      <w:pPr>
        <w:spacing w:line="360" w:lineRule="auto"/>
        <w:rPr>
          <w:rFonts w:cs="Times New Roman" w:asciiTheme="majorEastAsia" w:hAnsiTheme="majorEastAsia" w:eastAsiaTheme="majorEastAsia"/>
          <w:szCs w:val="21"/>
        </w:rPr>
      </w:pPr>
      <w:bookmarkStart w:id="18" w:name="_Hlk84928890"/>
      <w:r>
        <w:rPr>
          <w:rFonts w:hint="eastAsia" w:cs="Times New Roman" w:asciiTheme="majorEastAsia" w:hAnsiTheme="majorEastAsia" w:eastAsiaTheme="majorEastAsia"/>
          <w:szCs w:val="21"/>
        </w:rPr>
        <w:t>填表人员</w:t>
      </w:r>
      <w:r>
        <w:rPr>
          <w:rFonts w:cs="Times New Roman" w:asciiTheme="majorEastAsia" w:hAnsiTheme="majorEastAsia" w:eastAsiaTheme="majorEastAsia"/>
          <w:szCs w:val="21"/>
        </w:rPr>
        <w:t xml:space="preserve">：             机构法定代表人签字：          </w:t>
      </w:r>
      <w:r>
        <w:rPr>
          <w:rFonts w:hint="eastAsia" w:cs="Times New Roman" w:asciiTheme="majorEastAsia" w:hAnsiTheme="majorEastAsia" w:eastAsiaTheme="majorEastAsia"/>
          <w:szCs w:val="21"/>
        </w:rPr>
        <w:t>填写日期：</w:t>
      </w:r>
    </w:p>
    <w:p>
      <w:pPr>
        <w:pStyle w:val="2"/>
        <w:ind w:left="0" w:leftChars="0"/>
        <w:rPr>
          <w:rFonts w:asciiTheme="majorEastAsia" w:hAnsiTheme="majorEastAsia" w:eastAsiaTheme="majorEastAsia"/>
        </w:rPr>
        <w:sectPr>
          <w:headerReference r:id="rId6" w:type="default"/>
          <w:pgSz w:w="11906" w:h="16838"/>
          <w:pgMar w:top="1440" w:right="1841" w:bottom="1440" w:left="1560" w:header="851" w:footer="992" w:gutter="0"/>
          <w:cols w:space="425" w:num="1"/>
          <w:docGrid w:type="lines" w:linePitch="312" w:charSpace="0"/>
        </w:sectPr>
      </w:pPr>
      <w:r>
        <w:rPr>
          <w:rFonts w:hint="eastAsia"/>
        </w:rPr>
        <w:t xml:space="preserve">检查人员（资料接收人）： </w:t>
      </w:r>
      <w:r>
        <w:t xml:space="preserve">     </w:t>
      </w:r>
      <w:r>
        <w:rPr>
          <w:rFonts w:asciiTheme="majorEastAsia" w:hAnsiTheme="majorEastAsia" w:eastAsiaTheme="majorEastAsia"/>
          <w:szCs w:val="21"/>
        </w:rPr>
        <w:t>检查日期：</w:t>
      </w:r>
      <w:r>
        <w:rPr>
          <w:rFonts w:asciiTheme="majorEastAsia" w:hAnsiTheme="majorEastAsia" w:eastAsiaTheme="majorEastAsia"/>
        </w:rPr>
        <w:t xml:space="preserve">      </w:t>
      </w:r>
      <w:bookmarkEnd w:id="18"/>
      <w:r>
        <w:rPr>
          <w:rFonts w:asciiTheme="majorEastAsia" w:hAnsiTheme="majorEastAsia" w:eastAsiaTheme="majorEastAsia"/>
        </w:rPr>
        <w:t xml:space="preserve"> </w:t>
      </w:r>
    </w:p>
    <w:p>
      <w:pPr>
        <w:autoSpaceDE w:val="0"/>
        <w:autoSpaceDN w:val="0"/>
        <w:spacing w:before="10" w:line="360" w:lineRule="auto"/>
        <w:rPr>
          <w:rFonts w:cs="Times New Roman" w:asciiTheme="majorEastAsia" w:hAnsiTheme="majorEastAsia" w:eastAsiaTheme="majorEastAsia"/>
          <w:sz w:val="25"/>
          <w:szCs w:val="15"/>
        </w:rPr>
      </w:pPr>
    </w:p>
    <w:p>
      <w:pPr>
        <w:rPr>
          <w:rFonts w:ascii="黑体" w:eastAsia="仿宋" w:cs="Arial"/>
          <w:bCs/>
          <w:sz w:val="36"/>
          <w:szCs w:val="36"/>
          <w:lang w:bidi="he-IL"/>
        </w:rPr>
      </w:pPr>
      <w:bookmarkStart w:id="19" w:name="资产评估师及专业人员"/>
      <w:bookmarkEnd w:id="19"/>
      <w:bookmarkStart w:id="20" w:name="_Toc70352803"/>
    </w:p>
    <w:p>
      <w:pPr>
        <w:pStyle w:val="4"/>
        <w:spacing w:before="60" w:after="60"/>
        <w:ind w:firstLine="634"/>
        <w:jc w:val="center"/>
        <w:rPr>
          <w:rFonts w:hint="eastAsia" w:ascii="仿宋_GB2312" w:hAnsi="仿宋_GB2312" w:eastAsia="仿宋_GB2312" w:cs="仿宋_GB2312"/>
          <w:b/>
          <w:bCs w:val="0"/>
          <w:sz w:val="32"/>
          <w:szCs w:val="32"/>
        </w:rPr>
      </w:pPr>
      <w:bookmarkStart w:id="21" w:name="_Toc83801613"/>
      <w:bookmarkStart w:id="22" w:name="_Toc83801765"/>
      <w:bookmarkStart w:id="23" w:name="_Toc1596"/>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五</w:t>
      </w:r>
      <w:r>
        <w:rPr>
          <w:rFonts w:hint="eastAsia" w:ascii="仿宋_GB2312" w:hAnsi="仿宋_GB2312" w:eastAsia="仿宋_GB2312" w:cs="仿宋_GB2312"/>
          <w:b/>
          <w:bCs w:val="0"/>
          <w:sz w:val="32"/>
          <w:szCs w:val="32"/>
        </w:rPr>
        <w:t>）资产评估师及专业人员情况表</w:t>
      </w:r>
      <w:bookmarkEnd w:id="20"/>
      <w:bookmarkEnd w:id="21"/>
      <w:bookmarkEnd w:id="22"/>
      <w:bookmarkEnd w:id="23"/>
    </w:p>
    <w:p>
      <w:pPr>
        <w:autoSpaceDE w:val="0"/>
        <w:autoSpaceDN w:val="0"/>
        <w:spacing w:before="1" w:line="360" w:lineRule="auto"/>
        <w:rPr>
          <w:rFonts w:cs="Times New Roman" w:asciiTheme="majorEastAsia" w:hAnsiTheme="majorEastAsia" w:eastAsiaTheme="majorEastAsia"/>
          <w:sz w:val="17"/>
          <w:szCs w:val="15"/>
        </w:rPr>
      </w:pPr>
    </w:p>
    <w:p>
      <w:pPr>
        <w:spacing w:line="360" w:lineRule="auto"/>
        <w:rPr>
          <w:rFonts w:cs="Times New Roman" w:asciiTheme="majorEastAsia" w:hAnsiTheme="majorEastAsia" w:eastAsiaTheme="majorEastAsia"/>
          <w:szCs w:val="21"/>
        </w:rPr>
      </w:pPr>
      <w:r>
        <w:rPr>
          <w:rFonts w:cs="Times New Roman" w:asciiTheme="majorEastAsia" w:hAnsiTheme="majorEastAsia" w:eastAsiaTheme="majorEastAsia"/>
          <w:szCs w:val="21"/>
        </w:rPr>
        <w:t>资产评估机构：XXXXXXXXXX评估公司</w:t>
      </w:r>
      <w:r>
        <w:rPr>
          <w:rFonts w:cs="Times New Roman" w:asciiTheme="majorEastAsia" w:hAnsiTheme="majorEastAsia" w:eastAsiaTheme="majorEastAsia"/>
          <w:szCs w:val="21"/>
        </w:rPr>
        <w:tab/>
      </w:r>
      <w:r>
        <w:rPr>
          <w:rFonts w:cs="Times New Roman" w:asciiTheme="majorEastAsia" w:hAnsiTheme="majorEastAsia" w:eastAsiaTheme="majorEastAsia"/>
          <w:szCs w:val="21"/>
        </w:rPr>
        <w:t xml:space="preserve">                              填表日期：</w:t>
      </w:r>
      <w:r>
        <w:rPr>
          <w:rFonts w:cs="Times New Roman" w:asciiTheme="majorEastAsia" w:hAnsiTheme="majorEastAsia" w:eastAsiaTheme="majorEastAsia"/>
          <w:szCs w:val="21"/>
        </w:rPr>
        <w:tab/>
      </w:r>
      <w:r>
        <w:rPr>
          <w:rFonts w:cs="Times New Roman" w:asciiTheme="majorEastAsia" w:hAnsiTheme="majorEastAsia" w:eastAsiaTheme="majorEastAsia"/>
          <w:szCs w:val="21"/>
        </w:rPr>
        <w:t xml:space="preserve">               填表人：</w:t>
      </w:r>
    </w:p>
    <w:tbl>
      <w:tblPr>
        <w:tblStyle w:val="12"/>
        <w:tblW w:w="136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4"/>
        <w:gridCol w:w="464"/>
        <w:gridCol w:w="465"/>
        <w:gridCol w:w="543"/>
        <w:gridCol w:w="543"/>
        <w:gridCol w:w="465"/>
        <w:gridCol w:w="465"/>
        <w:gridCol w:w="659"/>
        <w:gridCol w:w="698"/>
        <w:gridCol w:w="1343"/>
        <w:gridCol w:w="1522"/>
        <w:gridCol w:w="1118"/>
        <w:gridCol w:w="689"/>
        <w:gridCol w:w="659"/>
        <w:gridCol w:w="806"/>
        <w:gridCol w:w="465"/>
        <w:gridCol w:w="659"/>
        <w:gridCol w:w="543"/>
        <w:gridCol w:w="620"/>
        <w:gridCol w:w="4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9" w:hRule="atLeast"/>
        </w:trPr>
        <w:tc>
          <w:tcPr>
            <w:tcW w:w="464" w:type="dxa"/>
            <w:vAlign w:val="center"/>
          </w:tcPr>
          <w:p>
            <w:pPr>
              <w:spacing w:line="360" w:lineRule="auto"/>
              <w:jc w:val="center"/>
              <w:rPr>
                <w:rFonts w:asciiTheme="majorEastAsia" w:hAnsiTheme="majorEastAsia" w:eastAsiaTheme="majorEastAsia"/>
                <w:sz w:val="18"/>
                <w:szCs w:val="18"/>
              </w:rPr>
            </w:pPr>
          </w:p>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序号</w:t>
            </w:r>
          </w:p>
        </w:tc>
        <w:tc>
          <w:tcPr>
            <w:tcW w:w="464" w:type="dxa"/>
            <w:vAlign w:val="center"/>
          </w:tcPr>
          <w:p>
            <w:pPr>
              <w:spacing w:line="360" w:lineRule="auto"/>
              <w:jc w:val="center"/>
              <w:rPr>
                <w:rFonts w:asciiTheme="majorEastAsia" w:hAnsiTheme="majorEastAsia" w:eastAsiaTheme="majorEastAsia"/>
                <w:sz w:val="18"/>
                <w:szCs w:val="18"/>
              </w:rPr>
            </w:pPr>
          </w:p>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姓名</w:t>
            </w:r>
          </w:p>
        </w:tc>
        <w:tc>
          <w:tcPr>
            <w:tcW w:w="465" w:type="dxa"/>
            <w:vAlign w:val="center"/>
          </w:tcPr>
          <w:p>
            <w:pPr>
              <w:spacing w:line="360" w:lineRule="auto"/>
              <w:jc w:val="center"/>
              <w:rPr>
                <w:rFonts w:asciiTheme="majorEastAsia" w:hAnsiTheme="majorEastAsia" w:eastAsiaTheme="majorEastAsia"/>
                <w:sz w:val="18"/>
                <w:szCs w:val="18"/>
              </w:rPr>
            </w:pPr>
          </w:p>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性别</w:t>
            </w:r>
          </w:p>
        </w:tc>
        <w:tc>
          <w:tcPr>
            <w:tcW w:w="543" w:type="dxa"/>
            <w:vAlign w:val="center"/>
          </w:tcPr>
          <w:p>
            <w:pPr>
              <w:spacing w:line="360" w:lineRule="auto"/>
              <w:jc w:val="center"/>
              <w:rPr>
                <w:rFonts w:asciiTheme="majorEastAsia" w:hAnsiTheme="majorEastAsia" w:eastAsiaTheme="majorEastAsia"/>
                <w:sz w:val="18"/>
                <w:szCs w:val="18"/>
              </w:rPr>
            </w:pPr>
          </w:p>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出生日期</w:t>
            </w:r>
          </w:p>
        </w:tc>
        <w:tc>
          <w:tcPr>
            <w:tcW w:w="543" w:type="dxa"/>
            <w:vAlign w:val="center"/>
          </w:tcPr>
          <w:p>
            <w:pPr>
              <w:spacing w:line="360" w:lineRule="auto"/>
              <w:jc w:val="center"/>
              <w:rPr>
                <w:rFonts w:asciiTheme="majorEastAsia" w:hAnsiTheme="majorEastAsia" w:eastAsiaTheme="majorEastAsia"/>
                <w:sz w:val="18"/>
                <w:szCs w:val="18"/>
              </w:rPr>
            </w:pPr>
          </w:p>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身份证号</w:t>
            </w:r>
          </w:p>
        </w:tc>
        <w:tc>
          <w:tcPr>
            <w:tcW w:w="465" w:type="dxa"/>
            <w:vAlign w:val="center"/>
          </w:tcPr>
          <w:p>
            <w:pPr>
              <w:spacing w:line="360" w:lineRule="auto"/>
              <w:jc w:val="center"/>
              <w:rPr>
                <w:rFonts w:asciiTheme="majorEastAsia" w:hAnsiTheme="majorEastAsia" w:eastAsiaTheme="majorEastAsia"/>
                <w:sz w:val="18"/>
                <w:szCs w:val="18"/>
              </w:rPr>
            </w:pPr>
          </w:p>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学历</w:t>
            </w:r>
          </w:p>
        </w:tc>
        <w:tc>
          <w:tcPr>
            <w:tcW w:w="465" w:type="dxa"/>
            <w:vAlign w:val="center"/>
          </w:tcPr>
          <w:p>
            <w:pPr>
              <w:spacing w:line="360" w:lineRule="auto"/>
              <w:jc w:val="center"/>
              <w:rPr>
                <w:rFonts w:asciiTheme="majorEastAsia" w:hAnsiTheme="majorEastAsia" w:eastAsiaTheme="majorEastAsia"/>
                <w:sz w:val="18"/>
                <w:szCs w:val="18"/>
              </w:rPr>
            </w:pPr>
          </w:p>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专业</w:t>
            </w:r>
          </w:p>
        </w:tc>
        <w:tc>
          <w:tcPr>
            <w:tcW w:w="659" w:type="dxa"/>
            <w:vAlign w:val="center"/>
          </w:tcPr>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是否资产评估师</w:t>
            </w:r>
          </w:p>
        </w:tc>
        <w:tc>
          <w:tcPr>
            <w:tcW w:w="698" w:type="dxa"/>
            <w:vAlign w:val="center"/>
          </w:tcPr>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资产评估师证编号</w:t>
            </w:r>
          </w:p>
        </w:tc>
        <w:tc>
          <w:tcPr>
            <w:tcW w:w="1343" w:type="dxa"/>
            <w:vAlign w:val="center"/>
          </w:tcPr>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首次注册时间</w:t>
            </w:r>
          </w:p>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（yyyy-mm-</w:t>
            </w:r>
          </w:p>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dd）</w:t>
            </w:r>
          </w:p>
        </w:tc>
        <w:tc>
          <w:tcPr>
            <w:tcW w:w="1522" w:type="dxa"/>
            <w:vAlign w:val="center"/>
          </w:tcPr>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评估师开始执业日期（yyyy- mm-dd）</w:t>
            </w:r>
          </w:p>
        </w:tc>
        <w:tc>
          <w:tcPr>
            <w:tcW w:w="1118" w:type="dxa"/>
            <w:vAlign w:val="center"/>
          </w:tcPr>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从事资产评估行业时长</w:t>
            </w:r>
          </w:p>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（年）</w:t>
            </w:r>
          </w:p>
        </w:tc>
        <w:tc>
          <w:tcPr>
            <w:tcW w:w="689" w:type="dxa"/>
            <w:vAlign w:val="center"/>
          </w:tcPr>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现所在部门/ 职位</w:t>
            </w:r>
          </w:p>
        </w:tc>
        <w:tc>
          <w:tcPr>
            <w:tcW w:w="659" w:type="dxa"/>
            <w:vAlign w:val="center"/>
          </w:tcPr>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是否有其他资质</w:t>
            </w:r>
          </w:p>
        </w:tc>
        <w:tc>
          <w:tcPr>
            <w:tcW w:w="806" w:type="dxa"/>
            <w:vAlign w:val="center"/>
          </w:tcPr>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其他资质名称/ 注册证号</w:t>
            </w:r>
          </w:p>
        </w:tc>
        <w:tc>
          <w:tcPr>
            <w:tcW w:w="465" w:type="dxa"/>
            <w:vAlign w:val="center"/>
          </w:tcPr>
          <w:p>
            <w:pPr>
              <w:spacing w:line="360" w:lineRule="auto"/>
              <w:jc w:val="center"/>
              <w:rPr>
                <w:rFonts w:asciiTheme="majorEastAsia" w:hAnsiTheme="majorEastAsia" w:eastAsiaTheme="majorEastAsia"/>
                <w:sz w:val="18"/>
                <w:szCs w:val="18"/>
              </w:rPr>
            </w:pPr>
          </w:p>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电话</w:t>
            </w:r>
          </w:p>
        </w:tc>
        <w:tc>
          <w:tcPr>
            <w:tcW w:w="659" w:type="dxa"/>
            <w:vAlign w:val="center"/>
          </w:tcPr>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本机构入职时间</w:t>
            </w:r>
          </w:p>
        </w:tc>
        <w:tc>
          <w:tcPr>
            <w:tcW w:w="543" w:type="dxa"/>
            <w:vAlign w:val="center"/>
          </w:tcPr>
          <w:p>
            <w:pPr>
              <w:spacing w:line="360" w:lineRule="auto"/>
              <w:jc w:val="center"/>
              <w:rPr>
                <w:rFonts w:asciiTheme="majorEastAsia" w:hAnsiTheme="majorEastAsia" w:eastAsiaTheme="majorEastAsia"/>
                <w:sz w:val="18"/>
                <w:szCs w:val="18"/>
              </w:rPr>
            </w:pPr>
          </w:p>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离职时间</w:t>
            </w:r>
          </w:p>
        </w:tc>
        <w:tc>
          <w:tcPr>
            <w:tcW w:w="620" w:type="dxa"/>
            <w:vAlign w:val="center"/>
          </w:tcPr>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社保缴纳情况</w:t>
            </w:r>
          </w:p>
        </w:tc>
        <w:tc>
          <w:tcPr>
            <w:tcW w:w="465" w:type="dxa"/>
            <w:vAlign w:val="center"/>
          </w:tcPr>
          <w:p>
            <w:pPr>
              <w:spacing w:line="360" w:lineRule="auto"/>
              <w:jc w:val="center"/>
              <w:rPr>
                <w:rFonts w:asciiTheme="majorEastAsia" w:hAnsiTheme="majorEastAsia" w:eastAsiaTheme="majorEastAsia"/>
                <w:sz w:val="18"/>
                <w:szCs w:val="18"/>
              </w:rPr>
            </w:pPr>
          </w:p>
          <w:p>
            <w:pPr>
              <w:spacing w:line="360" w:lineRule="auto"/>
              <w:jc w:val="center"/>
              <w:rPr>
                <w:rFonts w:asciiTheme="majorEastAsia" w:hAnsiTheme="majorEastAsia" w:eastAsiaTheme="majorEastAsia"/>
                <w:sz w:val="18"/>
                <w:szCs w:val="18"/>
              </w:rPr>
            </w:pPr>
            <w:r>
              <w:rPr>
                <w:rFonts w:asciiTheme="majorEastAsia" w:hAnsiTheme="majorEastAsia" w:eastAsiaTheme="majorEastAsia"/>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trPr>
        <w:tc>
          <w:tcPr>
            <w:tcW w:w="464" w:type="dxa"/>
          </w:tcPr>
          <w:p>
            <w:pPr>
              <w:spacing w:line="360" w:lineRule="auto"/>
              <w:rPr>
                <w:rFonts w:asciiTheme="majorEastAsia" w:hAnsiTheme="majorEastAsia" w:eastAsiaTheme="majorEastAsia"/>
                <w:sz w:val="18"/>
                <w:szCs w:val="18"/>
              </w:rPr>
            </w:pPr>
          </w:p>
        </w:tc>
        <w:tc>
          <w:tcPr>
            <w:tcW w:w="464"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698" w:type="dxa"/>
          </w:tcPr>
          <w:p>
            <w:pPr>
              <w:spacing w:line="360" w:lineRule="auto"/>
              <w:rPr>
                <w:rFonts w:asciiTheme="majorEastAsia" w:hAnsiTheme="majorEastAsia" w:eastAsiaTheme="majorEastAsia"/>
                <w:sz w:val="18"/>
                <w:szCs w:val="18"/>
              </w:rPr>
            </w:pPr>
          </w:p>
        </w:tc>
        <w:tc>
          <w:tcPr>
            <w:tcW w:w="1343" w:type="dxa"/>
          </w:tcPr>
          <w:p>
            <w:pPr>
              <w:spacing w:line="360" w:lineRule="auto"/>
              <w:rPr>
                <w:rFonts w:asciiTheme="majorEastAsia" w:hAnsiTheme="majorEastAsia" w:eastAsiaTheme="majorEastAsia"/>
                <w:sz w:val="18"/>
                <w:szCs w:val="18"/>
              </w:rPr>
            </w:pPr>
          </w:p>
        </w:tc>
        <w:tc>
          <w:tcPr>
            <w:tcW w:w="1522" w:type="dxa"/>
          </w:tcPr>
          <w:p>
            <w:pPr>
              <w:spacing w:line="360" w:lineRule="auto"/>
              <w:rPr>
                <w:rFonts w:asciiTheme="majorEastAsia" w:hAnsiTheme="majorEastAsia" w:eastAsiaTheme="majorEastAsia"/>
                <w:sz w:val="18"/>
                <w:szCs w:val="18"/>
              </w:rPr>
            </w:pPr>
          </w:p>
        </w:tc>
        <w:tc>
          <w:tcPr>
            <w:tcW w:w="1118" w:type="dxa"/>
          </w:tcPr>
          <w:p>
            <w:pPr>
              <w:spacing w:line="360" w:lineRule="auto"/>
              <w:rPr>
                <w:rFonts w:asciiTheme="majorEastAsia" w:hAnsiTheme="majorEastAsia" w:eastAsiaTheme="majorEastAsia"/>
                <w:sz w:val="18"/>
                <w:szCs w:val="18"/>
              </w:rPr>
            </w:pPr>
          </w:p>
        </w:tc>
        <w:tc>
          <w:tcPr>
            <w:tcW w:w="689"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806"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620"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trPr>
        <w:tc>
          <w:tcPr>
            <w:tcW w:w="464" w:type="dxa"/>
          </w:tcPr>
          <w:p>
            <w:pPr>
              <w:spacing w:line="360" w:lineRule="auto"/>
              <w:rPr>
                <w:rFonts w:asciiTheme="majorEastAsia" w:hAnsiTheme="majorEastAsia" w:eastAsiaTheme="majorEastAsia"/>
                <w:sz w:val="18"/>
                <w:szCs w:val="18"/>
              </w:rPr>
            </w:pPr>
          </w:p>
        </w:tc>
        <w:tc>
          <w:tcPr>
            <w:tcW w:w="464"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698" w:type="dxa"/>
          </w:tcPr>
          <w:p>
            <w:pPr>
              <w:spacing w:line="360" w:lineRule="auto"/>
              <w:rPr>
                <w:rFonts w:asciiTheme="majorEastAsia" w:hAnsiTheme="majorEastAsia" w:eastAsiaTheme="majorEastAsia"/>
                <w:sz w:val="18"/>
                <w:szCs w:val="18"/>
              </w:rPr>
            </w:pPr>
          </w:p>
        </w:tc>
        <w:tc>
          <w:tcPr>
            <w:tcW w:w="1343" w:type="dxa"/>
          </w:tcPr>
          <w:p>
            <w:pPr>
              <w:spacing w:line="360" w:lineRule="auto"/>
              <w:rPr>
                <w:rFonts w:asciiTheme="majorEastAsia" w:hAnsiTheme="majorEastAsia" w:eastAsiaTheme="majorEastAsia"/>
                <w:sz w:val="18"/>
                <w:szCs w:val="18"/>
              </w:rPr>
            </w:pPr>
          </w:p>
        </w:tc>
        <w:tc>
          <w:tcPr>
            <w:tcW w:w="1522" w:type="dxa"/>
          </w:tcPr>
          <w:p>
            <w:pPr>
              <w:spacing w:line="360" w:lineRule="auto"/>
              <w:rPr>
                <w:rFonts w:asciiTheme="majorEastAsia" w:hAnsiTheme="majorEastAsia" w:eastAsiaTheme="majorEastAsia"/>
                <w:sz w:val="18"/>
                <w:szCs w:val="18"/>
              </w:rPr>
            </w:pPr>
          </w:p>
        </w:tc>
        <w:tc>
          <w:tcPr>
            <w:tcW w:w="1118" w:type="dxa"/>
          </w:tcPr>
          <w:p>
            <w:pPr>
              <w:spacing w:line="360" w:lineRule="auto"/>
              <w:rPr>
                <w:rFonts w:asciiTheme="majorEastAsia" w:hAnsiTheme="majorEastAsia" w:eastAsiaTheme="majorEastAsia"/>
                <w:sz w:val="18"/>
                <w:szCs w:val="18"/>
              </w:rPr>
            </w:pPr>
          </w:p>
        </w:tc>
        <w:tc>
          <w:tcPr>
            <w:tcW w:w="689"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806"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620"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trPr>
        <w:tc>
          <w:tcPr>
            <w:tcW w:w="464" w:type="dxa"/>
          </w:tcPr>
          <w:p>
            <w:pPr>
              <w:spacing w:line="360" w:lineRule="auto"/>
              <w:rPr>
                <w:rFonts w:asciiTheme="majorEastAsia" w:hAnsiTheme="majorEastAsia" w:eastAsiaTheme="majorEastAsia"/>
                <w:sz w:val="18"/>
                <w:szCs w:val="18"/>
              </w:rPr>
            </w:pPr>
          </w:p>
        </w:tc>
        <w:tc>
          <w:tcPr>
            <w:tcW w:w="464"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698" w:type="dxa"/>
          </w:tcPr>
          <w:p>
            <w:pPr>
              <w:spacing w:line="360" w:lineRule="auto"/>
              <w:rPr>
                <w:rFonts w:asciiTheme="majorEastAsia" w:hAnsiTheme="majorEastAsia" w:eastAsiaTheme="majorEastAsia"/>
                <w:sz w:val="18"/>
                <w:szCs w:val="18"/>
              </w:rPr>
            </w:pPr>
          </w:p>
        </w:tc>
        <w:tc>
          <w:tcPr>
            <w:tcW w:w="1343" w:type="dxa"/>
          </w:tcPr>
          <w:p>
            <w:pPr>
              <w:spacing w:line="360" w:lineRule="auto"/>
              <w:rPr>
                <w:rFonts w:asciiTheme="majorEastAsia" w:hAnsiTheme="majorEastAsia" w:eastAsiaTheme="majorEastAsia"/>
                <w:sz w:val="18"/>
                <w:szCs w:val="18"/>
              </w:rPr>
            </w:pPr>
          </w:p>
        </w:tc>
        <w:tc>
          <w:tcPr>
            <w:tcW w:w="1522" w:type="dxa"/>
          </w:tcPr>
          <w:p>
            <w:pPr>
              <w:spacing w:line="360" w:lineRule="auto"/>
              <w:rPr>
                <w:rFonts w:asciiTheme="majorEastAsia" w:hAnsiTheme="majorEastAsia" w:eastAsiaTheme="majorEastAsia"/>
                <w:sz w:val="18"/>
                <w:szCs w:val="18"/>
              </w:rPr>
            </w:pPr>
          </w:p>
        </w:tc>
        <w:tc>
          <w:tcPr>
            <w:tcW w:w="1118" w:type="dxa"/>
          </w:tcPr>
          <w:p>
            <w:pPr>
              <w:spacing w:line="360" w:lineRule="auto"/>
              <w:rPr>
                <w:rFonts w:asciiTheme="majorEastAsia" w:hAnsiTheme="majorEastAsia" w:eastAsiaTheme="majorEastAsia"/>
                <w:sz w:val="18"/>
                <w:szCs w:val="18"/>
              </w:rPr>
            </w:pPr>
          </w:p>
        </w:tc>
        <w:tc>
          <w:tcPr>
            <w:tcW w:w="689"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806"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620"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trPr>
        <w:tc>
          <w:tcPr>
            <w:tcW w:w="464" w:type="dxa"/>
          </w:tcPr>
          <w:p>
            <w:pPr>
              <w:spacing w:line="360" w:lineRule="auto"/>
              <w:rPr>
                <w:rFonts w:asciiTheme="majorEastAsia" w:hAnsiTheme="majorEastAsia" w:eastAsiaTheme="majorEastAsia"/>
                <w:sz w:val="18"/>
                <w:szCs w:val="18"/>
              </w:rPr>
            </w:pPr>
          </w:p>
        </w:tc>
        <w:tc>
          <w:tcPr>
            <w:tcW w:w="464"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698" w:type="dxa"/>
          </w:tcPr>
          <w:p>
            <w:pPr>
              <w:spacing w:line="360" w:lineRule="auto"/>
              <w:rPr>
                <w:rFonts w:asciiTheme="majorEastAsia" w:hAnsiTheme="majorEastAsia" w:eastAsiaTheme="majorEastAsia"/>
                <w:sz w:val="18"/>
                <w:szCs w:val="18"/>
              </w:rPr>
            </w:pPr>
          </w:p>
        </w:tc>
        <w:tc>
          <w:tcPr>
            <w:tcW w:w="1343" w:type="dxa"/>
          </w:tcPr>
          <w:p>
            <w:pPr>
              <w:spacing w:line="360" w:lineRule="auto"/>
              <w:rPr>
                <w:rFonts w:asciiTheme="majorEastAsia" w:hAnsiTheme="majorEastAsia" w:eastAsiaTheme="majorEastAsia"/>
                <w:sz w:val="18"/>
                <w:szCs w:val="18"/>
              </w:rPr>
            </w:pPr>
          </w:p>
        </w:tc>
        <w:tc>
          <w:tcPr>
            <w:tcW w:w="1522" w:type="dxa"/>
          </w:tcPr>
          <w:p>
            <w:pPr>
              <w:spacing w:line="360" w:lineRule="auto"/>
              <w:rPr>
                <w:rFonts w:asciiTheme="majorEastAsia" w:hAnsiTheme="majorEastAsia" w:eastAsiaTheme="majorEastAsia"/>
                <w:sz w:val="18"/>
                <w:szCs w:val="18"/>
              </w:rPr>
            </w:pPr>
          </w:p>
        </w:tc>
        <w:tc>
          <w:tcPr>
            <w:tcW w:w="1118" w:type="dxa"/>
          </w:tcPr>
          <w:p>
            <w:pPr>
              <w:spacing w:line="360" w:lineRule="auto"/>
              <w:rPr>
                <w:rFonts w:asciiTheme="majorEastAsia" w:hAnsiTheme="majorEastAsia" w:eastAsiaTheme="majorEastAsia"/>
                <w:sz w:val="18"/>
                <w:szCs w:val="18"/>
              </w:rPr>
            </w:pPr>
          </w:p>
        </w:tc>
        <w:tc>
          <w:tcPr>
            <w:tcW w:w="689"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806"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620"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trPr>
        <w:tc>
          <w:tcPr>
            <w:tcW w:w="464" w:type="dxa"/>
          </w:tcPr>
          <w:p>
            <w:pPr>
              <w:spacing w:line="360" w:lineRule="auto"/>
              <w:rPr>
                <w:rFonts w:asciiTheme="majorEastAsia" w:hAnsiTheme="majorEastAsia" w:eastAsiaTheme="majorEastAsia"/>
                <w:sz w:val="18"/>
                <w:szCs w:val="18"/>
              </w:rPr>
            </w:pPr>
          </w:p>
        </w:tc>
        <w:tc>
          <w:tcPr>
            <w:tcW w:w="464"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698" w:type="dxa"/>
          </w:tcPr>
          <w:p>
            <w:pPr>
              <w:spacing w:line="360" w:lineRule="auto"/>
              <w:rPr>
                <w:rFonts w:asciiTheme="majorEastAsia" w:hAnsiTheme="majorEastAsia" w:eastAsiaTheme="majorEastAsia"/>
                <w:sz w:val="18"/>
                <w:szCs w:val="18"/>
              </w:rPr>
            </w:pPr>
          </w:p>
        </w:tc>
        <w:tc>
          <w:tcPr>
            <w:tcW w:w="1343" w:type="dxa"/>
          </w:tcPr>
          <w:p>
            <w:pPr>
              <w:spacing w:line="360" w:lineRule="auto"/>
              <w:rPr>
                <w:rFonts w:asciiTheme="majorEastAsia" w:hAnsiTheme="majorEastAsia" w:eastAsiaTheme="majorEastAsia"/>
                <w:sz w:val="18"/>
                <w:szCs w:val="18"/>
              </w:rPr>
            </w:pPr>
          </w:p>
        </w:tc>
        <w:tc>
          <w:tcPr>
            <w:tcW w:w="1522" w:type="dxa"/>
          </w:tcPr>
          <w:p>
            <w:pPr>
              <w:spacing w:line="360" w:lineRule="auto"/>
              <w:rPr>
                <w:rFonts w:asciiTheme="majorEastAsia" w:hAnsiTheme="majorEastAsia" w:eastAsiaTheme="majorEastAsia"/>
                <w:sz w:val="18"/>
                <w:szCs w:val="18"/>
              </w:rPr>
            </w:pPr>
          </w:p>
        </w:tc>
        <w:tc>
          <w:tcPr>
            <w:tcW w:w="1118" w:type="dxa"/>
          </w:tcPr>
          <w:p>
            <w:pPr>
              <w:spacing w:line="360" w:lineRule="auto"/>
              <w:rPr>
                <w:rFonts w:asciiTheme="majorEastAsia" w:hAnsiTheme="majorEastAsia" w:eastAsiaTheme="majorEastAsia"/>
                <w:sz w:val="18"/>
                <w:szCs w:val="18"/>
              </w:rPr>
            </w:pPr>
          </w:p>
        </w:tc>
        <w:tc>
          <w:tcPr>
            <w:tcW w:w="689"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806"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620"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trPr>
        <w:tc>
          <w:tcPr>
            <w:tcW w:w="464" w:type="dxa"/>
          </w:tcPr>
          <w:p>
            <w:pPr>
              <w:spacing w:line="360" w:lineRule="auto"/>
              <w:rPr>
                <w:rFonts w:asciiTheme="majorEastAsia" w:hAnsiTheme="majorEastAsia" w:eastAsiaTheme="majorEastAsia"/>
                <w:sz w:val="18"/>
                <w:szCs w:val="18"/>
              </w:rPr>
            </w:pPr>
          </w:p>
        </w:tc>
        <w:tc>
          <w:tcPr>
            <w:tcW w:w="464"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698" w:type="dxa"/>
          </w:tcPr>
          <w:p>
            <w:pPr>
              <w:spacing w:line="360" w:lineRule="auto"/>
              <w:rPr>
                <w:rFonts w:asciiTheme="majorEastAsia" w:hAnsiTheme="majorEastAsia" w:eastAsiaTheme="majorEastAsia"/>
                <w:sz w:val="18"/>
                <w:szCs w:val="18"/>
              </w:rPr>
            </w:pPr>
          </w:p>
        </w:tc>
        <w:tc>
          <w:tcPr>
            <w:tcW w:w="1343" w:type="dxa"/>
          </w:tcPr>
          <w:p>
            <w:pPr>
              <w:spacing w:line="360" w:lineRule="auto"/>
              <w:rPr>
                <w:rFonts w:asciiTheme="majorEastAsia" w:hAnsiTheme="majorEastAsia" w:eastAsiaTheme="majorEastAsia"/>
                <w:sz w:val="18"/>
                <w:szCs w:val="18"/>
              </w:rPr>
            </w:pPr>
          </w:p>
        </w:tc>
        <w:tc>
          <w:tcPr>
            <w:tcW w:w="1522" w:type="dxa"/>
          </w:tcPr>
          <w:p>
            <w:pPr>
              <w:spacing w:line="360" w:lineRule="auto"/>
              <w:rPr>
                <w:rFonts w:asciiTheme="majorEastAsia" w:hAnsiTheme="majorEastAsia" w:eastAsiaTheme="majorEastAsia"/>
                <w:sz w:val="18"/>
                <w:szCs w:val="18"/>
              </w:rPr>
            </w:pPr>
          </w:p>
        </w:tc>
        <w:tc>
          <w:tcPr>
            <w:tcW w:w="1118" w:type="dxa"/>
          </w:tcPr>
          <w:p>
            <w:pPr>
              <w:spacing w:line="360" w:lineRule="auto"/>
              <w:rPr>
                <w:rFonts w:asciiTheme="majorEastAsia" w:hAnsiTheme="majorEastAsia" w:eastAsiaTheme="majorEastAsia"/>
                <w:sz w:val="18"/>
                <w:szCs w:val="18"/>
              </w:rPr>
            </w:pPr>
          </w:p>
        </w:tc>
        <w:tc>
          <w:tcPr>
            <w:tcW w:w="689"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806"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620"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trPr>
        <w:tc>
          <w:tcPr>
            <w:tcW w:w="464" w:type="dxa"/>
          </w:tcPr>
          <w:p>
            <w:pPr>
              <w:spacing w:line="360" w:lineRule="auto"/>
              <w:rPr>
                <w:rFonts w:asciiTheme="majorEastAsia" w:hAnsiTheme="majorEastAsia" w:eastAsiaTheme="majorEastAsia"/>
                <w:sz w:val="18"/>
                <w:szCs w:val="18"/>
              </w:rPr>
            </w:pPr>
          </w:p>
        </w:tc>
        <w:tc>
          <w:tcPr>
            <w:tcW w:w="464"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698" w:type="dxa"/>
          </w:tcPr>
          <w:p>
            <w:pPr>
              <w:spacing w:line="360" w:lineRule="auto"/>
              <w:rPr>
                <w:rFonts w:asciiTheme="majorEastAsia" w:hAnsiTheme="majorEastAsia" w:eastAsiaTheme="majorEastAsia"/>
                <w:sz w:val="18"/>
                <w:szCs w:val="18"/>
              </w:rPr>
            </w:pPr>
          </w:p>
        </w:tc>
        <w:tc>
          <w:tcPr>
            <w:tcW w:w="1343" w:type="dxa"/>
          </w:tcPr>
          <w:p>
            <w:pPr>
              <w:spacing w:line="360" w:lineRule="auto"/>
              <w:rPr>
                <w:rFonts w:asciiTheme="majorEastAsia" w:hAnsiTheme="majorEastAsia" w:eastAsiaTheme="majorEastAsia"/>
                <w:sz w:val="18"/>
                <w:szCs w:val="18"/>
              </w:rPr>
            </w:pPr>
          </w:p>
        </w:tc>
        <w:tc>
          <w:tcPr>
            <w:tcW w:w="1522" w:type="dxa"/>
          </w:tcPr>
          <w:p>
            <w:pPr>
              <w:spacing w:line="360" w:lineRule="auto"/>
              <w:rPr>
                <w:rFonts w:asciiTheme="majorEastAsia" w:hAnsiTheme="majorEastAsia" w:eastAsiaTheme="majorEastAsia"/>
                <w:sz w:val="18"/>
                <w:szCs w:val="18"/>
              </w:rPr>
            </w:pPr>
          </w:p>
        </w:tc>
        <w:tc>
          <w:tcPr>
            <w:tcW w:w="1118" w:type="dxa"/>
          </w:tcPr>
          <w:p>
            <w:pPr>
              <w:spacing w:line="360" w:lineRule="auto"/>
              <w:rPr>
                <w:rFonts w:asciiTheme="majorEastAsia" w:hAnsiTheme="majorEastAsia" w:eastAsiaTheme="majorEastAsia"/>
                <w:sz w:val="18"/>
                <w:szCs w:val="18"/>
              </w:rPr>
            </w:pPr>
          </w:p>
        </w:tc>
        <w:tc>
          <w:tcPr>
            <w:tcW w:w="689"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806"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620"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trPr>
        <w:tc>
          <w:tcPr>
            <w:tcW w:w="464" w:type="dxa"/>
          </w:tcPr>
          <w:p>
            <w:pPr>
              <w:spacing w:line="360" w:lineRule="auto"/>
              <w:rPr>
                <w:rFonts w:asciiTheme="majorEastAsia" w:hAnsiTheme="majorEastAsia" w:eastAsiaTheme="majorEastAsia"/>
                <w:sz w:val="18"/>
                <w:szCs w:val="18"/>
              </w:rPr>
            </w:pPr>
          </w:p>
        </w:tc>
        <w:tc>
          <w:tcPr>
            <w:tcW w:w="464"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698" w:type="dxa"/>
          </w:tcPr>
          <w:p>
            <w:pPr>
              <w:spacing w:line="360" w:lineRule="auto"/>
              <w:rPr>
                <w:rFonts w:asciiTheme="majorEastAsia" w:hAnsiTheme="majorEastAsia" w:eastAsiaTheme="majorEastAsia"/>
                <w:sz w:val="18"/>
                <w:szCs w:val="18"/>
              </w:rPr>
            </w:pPr>
          </w:p>
        </w:tc>
        <w:tc>
          <w:tcPr>
            <w:tcW w:w="1343" w:type="dxa"/>
          </w:tcPr>
          <w:p>
            <w:pPr>
              <w:spacing w:line="360" w:lineRule="auto"/>
              <w:rPr>
                <w:rFonts w:asciiTheme="majorEastAsia" w:hAnsiTheme="majorEastAsia" w:eastAsiaTheme="majorEastAsia"/>
                <w:sz w:val="18"/>
                <w:szCs w:val="18"/>
              </w:rPr>
            </w:pPr>
          </w:p>
        </w:tc>
        <w:tc>
          <w:tcPr>
            <w:tcW w:w="1522" w:type="dxa"/>
          </w:tcPr>
          <w:p>
            <w:pPr>
              <w:spacing w:line="360" w:lineRule="auto"/>
              <w:rPr>
                <w:rFonts w:asciiTheme="majorEastAsia" w:hAnsiTheme="majorEastAsia" w:eastAsiaTheme="majorEastAsia"/>
                <w:sz w:val="18"/>
                <w:szCs w:val="18"/>
              </w:rPr>
            </w:pPr>
          </w:p>
        </w:tc>
        <w:tc>
          <w:tcPr>
            <w:tcW w:w="1118" w:type="dxa"/>
          </w:tcPr>
          <w:p>
            <w:pPr>
              <w:spacing w:line="360" w:lineRule="auto"/>
              <w:rPr>
                <w:rFonts w:asciiTheme="majorEastAsia" w:hAnsiTheme="majorEastAsia" w:eastAsiaTheme="majorEastAsia"/>
                <w:sz w:val="18"/>
                <w:szCs w:val="18"/>
              </w:rPr>
            </w:pPr>
          </w:p>
        </w:tc>
        <w:tc>
          <w:tcPr>
            <w:tcW w:w="689"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806"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620"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trPr>
        <w:tc>
          <w:tcPr>
            <w:tcW w:w="464" w:type="dxa"/>
          </w:tcPr>
          <w:p>
            <w:pPr>
              <w:spacing w:line="360" w:lineRule="auto"/>
              <w:rPr>
                <w:rFonts w:asciiTheme="majorEastAsia" w:hAnsiTheme="majorEastAsia" w:eastAsiaTheme="majorEastAsia"/>
                <w:sz w:val="18"/>
                <w:szCs w:val="18"/>
              </w:rPr>
            </w:pPr>
          </w:p>
        </w:tc>
        <w:tc>
          <w:tcPr>
            <w:tcW w:w="464"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698" w:type="dxa"/>
          </w:tcPr>
          <w:p>
            <w:pPr>
              <w:spacing w:line="360" w:lineRule="auto"/>
              <w:rPr>
                <w:rFonts w:asciiTheme="majorEastAsia" w:hAnsiTheme="majorEastAsia" w:eastAsiaTheme="majorEastAsia"/>
                <w:sz w:val="18"/>
                <w:szCs w:val="18"/>
              </w:rPr>
            </w:pPr>
          </w:p>
        </w:tc>
        <w:tc>
          <w:tcPr>
            <w:tcW w:w="1343" w:type="dxa"/>
          </w:tcPr>
          <w:p>
            <w:pPr>
              <w:spacing w:line="360" w:lineRule="auto"/>
              <w:rPr>
                <w:rFonts w:asciiTheme="majorEastAsia" w:hAnsiTheme="majorEastAsia" w:eastAsiaTheme="majorEastAsia"/>
                <w:sz w:val="18"/>
                <w:szCs w:val="18"/>
              </w:rPr>
            </w:pPr>
          </w:p>
        </w:tc>
        <w:tc>
          <w:tcPr>
            <w:tcW w:w="1522" w:type="dxa"/>
          </w:tcPr>
          <w:p>
            <w:pPr>
              <w:spacing w:line="360" w:lineRule="auto"/>
              <w:rPr>
                <w:rFonts w:asciiTheme="majorEastAsia" w:hAnsiTheme="majorEastAsia" w:eastAsiaTheme="majorEastAsia"/>
                <w:sz w:val="18"/>
                <w:szCs w:val="18"/>
              </w:rPr>
            </w:pPr>
          </w:p>
        </w:tc>
        <w:tc>
          <w:tcPr>
            <w:tcW w:w="1118" w:type="dxa"/>
          </w:tcPr>
          <w:p>
            <w:pPr>
              <w:spacing w:line="360" w:lineRule="auto"/>
              <w:rPr>
                <w:rFonts w:asciiTheme="majorEastAsia" w:hAnsiTheme="majorEastAsia" w:eastAsiaTheme="majorEastAsia"/>
                <w:sz w:val="18"/>
                <w:szCs w:val="18"/>
              </w:rPr>
            </w:pPr>
          </w:p>
        </w:tc>
        <w:tc>
          <w:tcPr>
            <w:tcW w:w="689"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806"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620"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trPr>
        <w:tc>
          <w:tcPr>
            <w:tcW w:w="464" w:type="dxa"/>
          </w:tcPr>
          <w:p>
            <w:pPr>
              <w:spacing w:line="360" w:lineRule="auto"/>
              <w:rPr>
                <w:rFonts w:asciiTheme="majorEastAsia" w:hAnsiTheme="majorEastAsia" w:eastAsiaTheme="majorEastAsia"/>
                <w:sz w:val="18"/>
                <w:szCs w:val="18"/>
              </w:rPr>
            </w:pPr>
          </w:p>
        </w:tc>
        <w:tc>
          <w:tcPr>
            <w:tcW w:w="464"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698" w:type="dxa"/>
          </w:tcPr>
          <w:p>
            <w:pPr>
              <w:spacing w:line="360" w:lineRule="auto"/>
              <w:rPr>
                <w:rFonts w:asciiTheme="majorEastAsia" w:hAnsiTheme="majorEastAsia" w:eastAsiaTheme="majorEastAsia"/>
                <w:sz w:val="18"/>
                <w:szCs w:val="18"/>
              </w:rPr>
            </w:pPr>
          </w:p>
        </w:tc>
        <w:tc>
          <w:tcPr>
            <w:tcW w:w="1343" w:type="dxa"/>
          </w:tcPr>
          <w:p>
            <w:pPr>
              <w:spacing w:line="360" w:lineRule="auto"/>
              <w:rPr>
                <w:rFonts w:asciiTheme="majorEastAsia" w:hAnsiTheme="majorEastAsia" w:eastAsiaTheme="majorEastAsia"/>
                <w:sz w:val="18"/>
                <w:szCs w:val="18"/>
              </w:rPr>
            </w:pPr>
          </w:p>
        </w:tc>
        <w:tc>
          <w:tcPr>
            <w:tcW w:w="1522" w:type="dxa"/>
          </w:tcPr>
          <w:p>
            <w:pPr>
              <w:spacing w:line="360" w:lineRule="auto"/>
              <w:rPr>
                <w:rFonts w:asciiTheme="majorEastAsia" w:hAnsiTheme="majorEastAsia" w:eastAsiaTheme="majorEastAsia"/>
                <w:sz w:val="18"/>
                <w:szCs w:val="18"/>
              </w:rPr>
            </w:pPr>
          </w:p>
        </w:tc>
        <w:tc>
          <w:tcPr>
            <w:tcW w:w="1118" w:type="dxa"/>
          </w:tcPr>
          <w:p>
            <w:pPr>
              <w:spacing w:line="360" w:lineRule="auto"/>
              <w:rPr>
                <w:rFonts w:asciiTheme="majorEastAsia" w:hAnsiTheme="majorEastAsia" w:eastAsiaTheme="majorEastAsia"/>
                <w:sz w:val="18"/>
                <w:szCs w:val="18"/>
              </w:rPr>
            </w:pPr>
          </w:p>
        </w:tc>
        <w:tc>
          <w:tcPr>
            <w:tcW w:w="689"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806"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620"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8" w:hRule="atLeast"/>
        </w:trPr>
        <w:tc>
          <w:tcPr>
            <w:tcW w:w="464" w:type="dxa"/>
          </w:tcPr>
          <w:p>
            <w:pPr>
              <w:spacing w:line="360" w:lineRule="auto"/>
              <w:rPr>
                <w:rFonts w:asciiTheme="majorEastAsia" w:hAnsiTheme="majorEastAsia" w:eastAsiaTheme="majorEastAsia"/>
                <w:sz w:val="18"/>
                <w:szCs w:val="18"/>
              </w:rPr>
            </w:pPr>
          </w:p>
        </w:tc>
        <w:tc>
          <w:tcPr>
            <w:tcW w:w="464"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698" w:type="dxa"/>
          </w:tcPr>
          <w:p>
            <w:pPr>
              <w:spacing w:line="360" w:lineRule="auto"/>
              <w:rPr>
                <w:rFonts w:asciiTheme="majorEastAsia" w:hAnsiTheme="majorEastAsia" w:eastAsiaTheme="majorEastAsia"/>
                <w:sz w:val="18"/>
                <w:szCs w:val="18"/>
              </w:rPr>
            </w:pPr>
          </w:p>
        </w:tc>
        <w:tc>
          <w:tcPr>
            <w:tcW w:w="1343" w:type="dxa"/>
          </w:tcPr>
          <w:p>
            <w:pPr>
              <w:spacing w:line="360" w:lineRule="auto"/>
              <w:rPr>
                <w:rFonts w:asciiTheme="majorEastAsia" w:hAnsiTheme="majorEastAsia" w:eastAsiaTheme="majorEastAsia"/>
                <w:sz w:val="18"/>
                <w:szCs w:val="18"/>
              </w:rPr>
            </w:pPr>
          </w:p>
        </w:tc>
        <w:tc>
          <w:tcPr>
            <w:tcW w:w="1522" w:type="dxa"/>
          </w:tcPr>
          <w:p>
            <w:pPr>
              <w:spacing w:line="360" w:lineRule="auto"/>
              <w:rPr>
                <w:rFonts w:asciiTheme="majorEastAsia" w:hAnsiTheme="majorEastAsia" w:eastAsiaTheme="majorEastAsia"/>
                <w:sz w:val="18"/>
                <w:szCs w:val="18"/>
              </w:rPr>
            </w:pPr>
          </w:p>
        </w:tc>
        <w:tc>
          <w:tcPr>
            <w:tcW w:w="1118" w:type="dxa"/>
          </w:tcPr>
          <w:p>
            <w:pPr>
              <w:spacing w:line="360" w:lineRule="auto"/>
              <w:rPr>
                <w:rFonts w:asciiTheme="majorEastAsia" w:hAnsiTheme="majorEastAsia" w:eastAsiaTheme="majorEastAsia"/>
                <w:sz w:val="18"/>
                <w:szCs w:val="18"/>
              </w:rPr>
            </w:pPr>
          </w:p>
        </w:tc>
        <w:tc>
          <w:tcPr>
            <w:tcW w:w="689"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806"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c>
          <w:tcPr>
            <w:tcW w:w="659" w:type="dxa"/>
          </w:tcPr>
          <w:p>
            <w:pPr>
              <w:spacing w:line="360" w:lineRule="auto"/>
              <w:rPr>
                <w:rFonts w:asciiTheme="majorEastAsia" w:hAnsiTheme="majorEastAsia" w:eastAsiaTheme="majorEastAsia"/>
                <w:sz w:val="18"/>
                <w:szCs w:val="18"/>
              </w:rPr>
            </w:pPr>
          </w:p>
        </w:tc>
        <w:tc>
          <w:tcPr>
            <w:tcW w:w="543" w:type="dxa"/>
          </w:tcPr>
          <w:p>
            <w:pPr>
              <w:spacing w:line="360" w:lineRule="auto"/>
              <w:rPr>
                <w:rFonts w:asciiTheme="majorEastAsia" w:hAnsiTheme="majorEastAsia" w:eastAsiaTheme="majorEastAsia"/>
                <w:sz w:val="18"/>
                <w:szCs w:val="18"/>
              </w:rPr>
            </w:pPr>
          </w:p>
        </w:tc>
        <w:tc>
          <w:tcPr>
            <w:tcW w:w="620" w:type="dxa"/>
          </w:tcPr>
          <w:p>
            <w:pPr>
              <w:spacing w:line="360" w:lineRule="auto"/>
              <w:rPr>
                <w:rFonts w:asciiTheme="majorEastAsia" w:hAnsiTheme="majorEastAsia" w:eastAsiaTheme="majorEastAsia"/>
                <w:sz w:val="18"/>
                <w:szCs w:val="18"/>
              </w:rPr>
            </w:pPr>
          </w:p>
        </w:tc>
        <w:tc>
          <w:tcPr>
            <w:tcW w:w="465" w:type="dxa"/>
          </w:tcPr>
          <w:p>
            <w:pPr>
              <w:spacing w:line="360" w:lineRule="auto"/>
              <w:rPr>
                <w:rFonts w:asciiTheme="majorEastAsia" w:hAnsiTheme="majorEastAsia" w:eastAsiaTheme="majorEastAsia"/>
                <w:sz w:val="18"/>
                <w:szCs w:val="18"/>
              </w:rPr>
            </w:pPr>
          </w:p>
        </w:tc>
      </w:tr>
    </w:tbl>
    <w:p>
      <w:pPr>
        <w:autoSpaceDE w:val="0"/>
        <w:autoSpaceDN w:val="0"/>
        <w:spacing w:line="360" w:lineRule="auto"/>
        <w:rPr>
          <w:rFonts w:cs="Times New Roman" w:asciiTheme="majorEastAsia" w:hAnsiTheme="majorEastAsia" w:eastAsiaTheme="majorEastAsia"/>
          <w:sz w:val="22"/>
        </w:rPr>
      </w:pPr>
    </w:p>
    <w:p>
      <w:pPr>
        <w:spacing w:line="360" w:lineRule="auto"/>
        <w:rPr>
          <w:rFonts w:cs="Times New Roman" w:asciiTheme="majorEastAsia" w:hAnsiTheme="majorEastAsia" w:eastAsiaTheme="majorEastAsia"/>
        </w:rPr>
        <w:sectPr>
          <w:pgSz w:w="16840" w:h="11910" w:orient="landscape"/>
          <w:pgMar w:top="1100" w:right="1841" w:bottom="280" w:left="1560" w:header="720" w:footer="720" w:gutter="0"/>
          <w:cols w:space="720" w:num="1"/>
        </w:sectPr>
      </w:pPr>
    </w:p>
    <w:p>
      <w:pPr>
        <w:pStyle w:val="4"/>
        <w:spacing w:before="60" w:after="60"/>
        <w:ind w:firstLine="634"/>
        <w:jc w:val="center"/>
        <w:rPr>
          <w:rFonts w:hint="eastAsia" w:ascii="仿宋_GB2312" w:hAnsi="仿宋_GB2312" w:eastAsia="仿宋_GB2312" w:cs="仿宋_GB2312"/>
          <w:b/>
          <w:bCs w:val="0"/>
          <w:sz w:val="32"/>
          <w:szCs w:val="32"/>
        </w:rPr>
      </w:pPr>
      <w:bookmarkStart w:id="24" w:name="评估业务基本信息"/>
      <w:bookmarkEnd w:id="24"/>
      <w:bookmarkStart w:id="25" w:name="_Toc83801614"/>
      <w:bookmarkStart w:id="26" w:name="_Toc83801766"/>
      <w:bookmarkStart w:id="27" w:name="_Toc18729"/>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六</w:t>
      </w:r>
      <w:r>
        <w:rPr>
          <w:rFonts w:hint="eastAsia" w:ascii="仿宋_GB2312" w:hAnsi="仿宋_GB2312" w:eastAsia="仿宋_GB2312" w:cs="仿宋_GB2312"/>
          <w:b/>
          <w:bCs w:val="0"/>
          <w:sz w:val="32"/>
          <w:szCs w:val="32"/>
        </w:rPr>
        <w:t>）2020年度报告明细表</w:t>
      </w:r>
      <w:bookmarkEnd w:id="25"/>
      <w:bookmarkEnd w:id="26"/>
      <w:bookmarkEnd w:id="27"/>
    </w:p>
    <w:p>
      <w:pPr>
        <w:spacing w:line="360" w:lineRule="auto"/>
        <w:rPr>
          <w:rFonts w:cs="Times New Roman" w:asciiTheme="majorEastAsia" w:hAnsiTheme="majorEastAsia" w:eastAsiaTheme="majorEastAsia"/>
          <w:sz w:val="20"/>
        </w:rPr>
      </w:pPr>
      <w:r>
        <w:rPr>
          <w:rFonts w:cs="Times New Roman" w:asciiTheme="majorEastAsia" w:hAnsiTheme="majorEastAsia" w:eastAsiaTheme="majorEastAsia"/>
          <w:szCs w:val="21"/>
        </w:rPr>
        <w:t>资产评估机构：XXXXXXXXXX评估公司</w:t>
      </w:r>
      <w:r>
        <w:rPr>
          <w:rFonts w:cs="Times New Roman" w:asciiTheme="majorEastAsia" w:hAnsiTheme="majorEastAsia" w:eastAsiaTheme="majorEastAsia"/>
          <w:szCs w:val="21"/>
        </w:rPr>
        <w:tab/>
      </w:r>
      <w:r>
        <w:rPr>
          <w:rFonts w:cs="Times New Roman" w:asciiTheme="majorEastAsia" w:hAnsiTheme="majorEastAsia" w:eastAsiaTheme="majorEastAsia"/>
          <w:szCs w:val="21"/>
        </w:rPr>
        <w:t xml:space="preserve">                                    填表日期：</w:t>
      </w:r>
      <w:r>
        <w:rPr>
          <w:rFonts w:cs="Times New Roman" w:asciiTheme="majorEastAsia" w:hAnsiTheme="majorEastAsia" w:eastAsiaTheme="majorEastAsia"/>
          <w:szCs w:val="21"/>
        </w:rPr>
        <w:tab/>
      </w:r>
      <w:r>
        <w:rPr>
          <w:rFonts w:cs="Times New Roman" w:asciiTheme="majorEastAsia" w:hAnsiTheme="majorEastAsia" w:eastAsiaTheme="majorEastAsia"/>
          <w:szCs w:val="21"/>
        </w:rPr>
        <w:t xml:space="preserve">                 填表人：</w:t>
      </w:r>
      <w:r>
        <w:rPr>
          <w:rFonts w:cs="Times New Roman" w:asciiTheme="majorEastAsia" w:hAnsiTheme="majorEastAsia" w:eastAsiaTheme="majorEastAsia"/>
          <w:sz w:val="20"/>
        </w:rPr>
        <w:t xml:space="preserve"> </w:t>
      </w:r>
    </w:p>
    <w:tbl>
      <w:tblPr>
        <w:tblStyle w:val="12"/>
        <w:tblW w:w="15101" w:type="dxa"/>
        <w:tblInd w:w="0" w:type="dxa"/>
        <w:tblLayout w:type="fixed"/>
        <w:tblCellMar>
          <w:top w:w="0" w:type="dxa"/>
          <w:left w:w="108" w:type="dxa"/>
          <w:bottom w:w="0" w:type="dxa"/>
          <w:right w:w="108" w:type="dxa"/>
        </w:tblCellMar>
      </w:tblPr>
      <w:tblGrid>
        <w:gridCol w:w="417"/>
        <w:gridCol w:w="479"/>
        <w:gridCol w:w="476"/>
        <w:gridCol w:w="473"/>
        <w:gridCol w:w="470"/>
        <w:gridCol w:w="921"/>
        <w:gridCol w:w="921"/>
        <w:gridCol w:w="468"/>
        <w:gridCol w:w="465"/>
        <w:gridCol w:w="463"/>
        <w:gridCol w:w="460"/>
        <w:gridCol w:w="458"/>
        <w:gridCol w:w="456"/>
        <w:gridCol w:w="618"/>
        <w:gridCol w:w="921"/>
        <w:gridCol w:w="454"/>
        <w:gridCol w:w="618"/>
        <w:gridCol w:w="451"/>
        <w:gridCol w:w="450"/>
        <w:gridCol w:w="448"/>
        <w:gridCol w:w="446"/>
        <w:gridCol w:w="445"/>
        <w:gridCol w:w="443"/>
        <w:gridCol w:w="442"/>
        <w:gridCol w:w="440"/>
        <w:gridCol w:w="439"/>
        <w:gridCol w:w="706"/>
        <w:gridCol w:w="436"/>
        <w:gridCol w:w="417"/>
      </w:tblGrid>
      <w:tr>
        <w:tblPrEx>
          <w:tblCellMar>
            <w:top w:w="0" w:type="dxa"/>
            <w:left w:w="108" w:type="dxa"/>
            <w:bottom w:w="0" w:type="dxa"/>
            <w:right w:w="108" w:type="dxa"/>
          </w:tblCellMar>
        </w:tblPrEx>
        <w:trPr>
          <w:trHeight w:val="390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序号</w:t>
            </w:r>
          </w:p>
        </w:tc>
        <w:tc>
          <w:tcPr>
            <w:tcW w:w="479"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报告编号</w:t>
            </w:r>
          </w:p>
        </w:tc>
        <w:tc>
          <w:tcPr>
            <w:tcW w:w="476"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编码系统中编码号</w:t>
            </w:r>
          </w:p>
        </w:tc>
        <w:tc>
          <w:tcPr>
            <w:tcW w:w="473"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报告名称</w:t>
            </w:r>
          </w:p>
        </w:tc>
        <w:tc>
          <w:tcPr>
            <w:tcW w:w="470"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评估目的</w:t>
            </w:r>
          </w:p>
        </w:tc>
        <w:tc>
          <w:tcPr>
            <w:tcW w:w="921"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评估基准日（yyyy-mm-dd)</w:t>
            </w:r>
          </w:p>
        </w:tc>
        <w:tc>
          <w:tcPr>
            <w:tcW w:w="921"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报告日（yyyy-mm-dd)</w:t>
            </w:r>
          </w:p>
        </w:tc>
        <w:tc>
          <w:tcPr>
            <w:tcW w:w="468"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委托方</w:t>
            </w:r>
          </w:p>
        </w:tc>
        <w:tc>
          <w:tcPr>
            <w:tcW w:w="465"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评估对象</w:t>
            </w:r>
          </w:p>
        </w:tc>
        <w:tc>
          <w:tcPr>
            <w:tcW w:w="463"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账面净资产</w:t>
            </w:r>
          </w:p>
        </w:tc>
        <w:tc>
          <w:tcPr>
            <w:tcW w:w="460"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价值类型</w:t>
            </w:r>
          </w:p>
        </w:tc>
        <w:tc>
          <w:tcPr>
            <w:tcW w:w="458"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 xml:space="preserve">               评估方法</w:t>
            </w:r>
          </w:p>
        </w:tc>
        <w:tc>
          <w:tcPr>
            <w:tcW w:w="456"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评估结论对应的评估方法</w:t>
            </w:r>
          </w:p>
        </w:tc>
        <w:tc>
          <w:tcPr>
            <w:tcW w:w="618"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评估结论对应的评估值（万元）</w:t>
            </w:r>
          </w:p>
        </w:tc>
        <w:tc>
          <w:tcPr>
            <w:tcW w:w="921"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评估委托合同签订日期（yyyy-mm-dd)</w:t>
            </w:r>
          </w:p>
        </w:tc>
        <w:tc>
          <w:tcPr>
            <w:tcW w:w="454"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资产评估委托合同编号</w:t>
            </w:r>
          </w:p>
        </w:tc>
        <w:tc>
          <w:tcPr>
            <w:tcW w:w="618"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评估收费（万元）</w:t>
            </w:r>
          </w:p>
        </w:tc>
        <w:tc>
          <w:tcPr>
            <w:tcW w:w="451"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至填表日已收评估费</w:t>
            </w:r>
          </w:p>
        </w:tc>
        <w:tc>
          <w:tcPr>
            <w:tcW w:w="450"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是否重大资产重组项目</w:t>
            </w:r>
          </w:p>
        </w:tc>
        <w:tc>
          <w:tcPr>
            <w:tcW w:w="448"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是否证券项目</w:t>
            </w:r>
          </w:p>
        </w:tc>
        <w:tc>
          <w:tcPr>
            <w:tcW w:w="446"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是否国资项目</w:t>
            </w:r>
          </w:p>
        </w:tc>
        <w:tc>
          <w:tcPr>
            <w:tcW w:w="445"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是否为涉及境外资产</w:t>
            </w:r>
          </w:p>
        </w:tc>
        <w:tc>
          <w:tcPr>
            <w:tcW w:w="443"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一级审核人员</w:t>
            </w:r>
          </w:p>
        </w:tc>
        <w:tc>
          <w:tcPr>
            <w:tcW w:w="442"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二级审核人员</w:t>
            </w:r>
          </w:p>
        </w:tc>
        <w:tc>
          <w:tcPr>
            <w:tcW w:w="440"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三级审核人员</w:t>
            </w:r>
          </w:p>
        </w:tc>
        <w:tc>
          <w:tcPr>
            <w:tcW w:w="439"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签字资产评估师</w:t>
            </w:r>
          </w:p>
        </w:tc>
        <w:tc>
          <w:tcPr>
            <w:tcW w:w="706"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业务类型（整体/单项/无形资产/财务报告目的）</w:t>
            </w:r>
          </w:p>
        </w:tc>
        <w:tc>
          <w:tcPr>
            <w:tcW w:w="436"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档案册数</w:t>
            </w:r>
          </w:p>
        </w:tc>
        <w:tc>
          <w:tcPr>
            <w:tcW w:w="417" w:type="dxa"/>
            <w:tcBorders>
              <w:top w:val="single" w:color="auto" w:sz="4" w:space="0"/>
              <w:left w:val="nil"/>
              <w:bottom w:val="single" w:color="auto" w:sz="4" w:space="0"/>
              <w:right w:val="single" w:color="auto" w:sz="4" w:space="0"/>
            </w:tcBorders>
            <w:shd w:val="clear" w:color="auto" w:fill="auto"/>
            <w:vAlign w:val="center"/>
          </w:tcPr>
          <w:p>
            <w:pPr>
              <w:jc w:val="center"/>
              <w:rPr>
                <w:rFonts w:cs="Arial"/>
                <w:b/>
                <w:bCs/>
                <w:sz w:val="20"/>
                <w:szCs w:val="20"/>
              </w:rPr>
            </w:pPr>
            <w:r>
              <w:rPr>
                <w:rFonts w:hint="eastAsia" w:cs="Arial"/>
                <w:b/>
                <w:bCs/>
                <w:sz w:val="20"/>
                <w:szCs w:val="20"/>
              </w:rPr>
              <w:t>备注</w:t>
            </w:r>
          </w:p>
        </w:tc>
      </w:tr>
      <w:tr>
        <w:tblPrEx>
          <w:tblCellMar>
            <w:top w:w="0" w:type="dxa"/>
            <w:left w:w="108" w:type="dxa"/>
            <w:bottom w:w="0" w:type="dxa"/>
            <w:right w:w="108" w:type="dxa"/>
          </w:tblCellMar>
        </w:tblPrEx>
        <w:trPr>
          <w:trHeight w:val="250" w:hRule="atLeast"/>
        </w:trPr>
        <w:tc>
          <w:tcPr>
            <w:tcW w:w="417"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4"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70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17"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CellMar>
            <w:top w:w="0" w:type="dxa"/>
            <w:left w:w="108" w:type="dxa"/>
            <w:bottom w:w="0" w:type="dxa"/>
            <w:right w:w="108" w:type="dxa"/>
          </w:tblCellMar>
        </w:tblPrEx>
        <w:trPr>
          <w:trHeight w:val="250" w:hRule="atLeast"/>
        </w:trPr>
        <w:tc>
          <w:tcPr>
            <w:tcW w:w="417"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4"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70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17"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CellMar>
            <w:top w:w="0" w:type="dxa"/>
            <w:left w:w="108" w:type="dxa"/>
            <w:bottom w:w="0" w:type="dxa"/>
            <w:right w:w="108" w:type="dxa"/>
          </w:tblCellMar>
        </w:tblPrEx>
        <w:trPr>
          <w:trHeight w:val="250" w:hRule="atLeast"/>
        </w:trPr>
        <w:tc>
          <w:tcPr>
            <w:tcW w:w="417"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4"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70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17"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CellMar>
            <w:top w:w="0" w:type="dxa"/>
            <w:left w:w="108" w:type="dxa"/>
            <w:bottom w:w="0" w:type="dxa"/>
            <w:right w:w="108" w:type="dxa"/>
          </w:tblCellMar>
        </w:tblPrEx>
        <w:trPr>
          <w:trHeight w:val="250" w:hRule="atLeast"/>
        </w:trPr>
        <w:tc>
          <w:tcPr>
            <w:tcW w:w="417"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4"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70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17"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CellMar>
            <w:top w:w="0" w:type="dxa"/>
            <w:left w:w="108" w:type="dxa"/>
            <w:bottom w:w="0" w:type="dxa"/>
            <w:right w:w="108" w:type="dxa"/>
          </w:tblCellMar>
        </w:tblPrEx>
        <w:trPr>
          <w:trHeight w:val="250" w:hRule="atLeast"/>
        </w:trPr>
        <w:tc>
          <w:tcPr>
            <w:tcW w:w="417"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4"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70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17"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CellMar>
            <w:top w:w="0" w:type="dxa"/>
            <w:left w:w="108" w:type="dxa"/>
            <w:bottom w:w="0" w:type="dxa"/>
            <w:right w:w="108" w:type="dxa"/>
          </w:tblCellMar>
        </w:tblPrEx>
        <w:trPr>
          <w:trHeight w:val="250" w:hRule="atLeast"/>
        </w:trPr>
        <w:tc>
          <w:tcPr>
            <w:tcW w:w="417"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4"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70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17"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CellMar>
            <w:top w:w="0" w:type="dxa"/>
            <w:left w:w="108" w:type="dxa"/>
            <w:bottom w:w="0" w:type="dxa"/>
            <w:right w:w="108" w:type="dxa"/>
          </w:tblCellMar>
        </w:tblPrEx>
        <w:trPr>
          <w:trHeight w:val="250" w:hRule="atLeast"/>
        </w:trPr>
        <w:tc>
          <w:tcPr>
            <w:tcW w:w="417"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4"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70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17"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CellMar>
            <w:top w:w="0" w:type="dxa"/>
            <w:left w:w="108" w:type="dxa"/>
            <w:bottom w:w="0" w:type="dxa"/>
            <w:right w:w="108" w:type="dxa"/>
          </w:tblCellMar>
        </w:tblPrEx>
        <w:trPr>
          <w:trHeight w:val="250" w:hRule="atLeast"/>
        </w:trPr>
        <w:tc>
          <w:tcPr>
            <w:tcW w:w="417"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7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6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92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4"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61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1"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5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8"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5"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3"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2"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40"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9"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70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36"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417" w:type="dxa"/>
            <w:tcBorders>
              <w:top w:val="nil"/>
              <w:left w:val="nil"/>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CellMar>
            <w:top w:w="0" w:type="dxa"/>
            <w:left w:w="108" w:type="dxa"/>
            <w:bottom w:w="0" w:type="dxa"/>
            <w:right w:w="108" w:type="dxa"/>
          </w:tblCellMar>
        </w:tblPrEx>
        <w:trPr>
          <w:trHeight w:val="250" w:hRule="atLeast"/>
        </w:trPr>
        <w:tc>
          <w:tcPr>
            <w:tcW w:w="417" w:type="dxa"/>
            <w:tcBorders>
              <w:top w:val="nil"/>
              <w:left w:val="nil"/>
              <w:bottom w:val="nil"/>
              <w:right w:val="nil"/>
            </w:tcBorders>
            <w:shd w:val="clear" w:color="auto" w:fill="auto"/>
            <w:vAlign w:val="bottom"/>
          </w:tcPr>
          <w:p>
            <w:pPr>
              <w:rPr>
                <w:rFonts w:ascii="Arial" w:hAnsi="Arial" w:cs="Arial"/>
                <w:sz w:val="20"/>
                <w:szCs w:val="20"/>
              </w:rPr>
            </w:pPr>
          </w:p>
        </w:tc>
        <w:tc>
          <w:tcPr>
            <w:tcW w:w="479"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76"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73"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70"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921"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921"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68"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65"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63"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60"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58"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56"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618"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921"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54"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618"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51"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50"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48"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46"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45"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43"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42"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40"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39"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706"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36"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417"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417" w:type="dxa"/>
            <w:tcBorders>
              <w:top w:val="nil"/>
              <w:left w:val="nil"/>
              <w:bottom w:val="nil"/>
              <w:right w:val="nil"/>
            </w:tcBorders>
            <w:shd w:val="clear" w:color="auto" w:fill="auto"/>
            <w:vAlign w:val="bottom"/>
          </w:tcPr>
          <w:p>
            <w:pPr>
              <w:rPr>
                <w:rFonts w:ascii="Times New Roman" w:hAnsi="Times New Roman" w:eastAsia="Times New Roman" w:cs="Times New Roman"/>
                <w:sz w:val="20"/>
                <w:szCs w:val="20"/>
              </w:rPr>
            </w:pPr>
          </w:p>
        </w:tc>
        <w:tc>
          <w:tcPr>
            <w:tcW w:w="14267" w:type="dxa"/>
            <w:gridSpan w:val="27"/>
            <w:tcBorders>
              <w:top w:val="nil"/>
              <w:left w:val="nil"/>
              <w:bottom w:val="nil"/>
              <w:right w:val="nil"/>
            </w:tcBorders>
            <w:shd w:val="clear" w:color="auto" w:fill="auto"/>
            <w:vAlign w:val="bottom"/>
          </w:tcPr>
          <w:p>
            <w:pPr>
              <w:rPr>
                <w:rFonts w:ascii="仿宋" w:hAnsi="仿宋" w:eastAsia="仿宋" w:cs="Arial"/>
              </w:rPr>
            </w:pPr>
            <w:r>
              <w:rPr>
                <w:rFonts w:hint="eastAsia" w:ascii="仿宋" w:hAnsi="仿宋" w:eastAsia="仿宋" w:cs="Arial"/>
              </w:rPr>
              <w:t>明细表包含：1、资产评估报告；</w:t>
            </w:r>
            <w:r>
              <w:rPr>
                <w:rFonts w:ascii="仿宋" w:hAnsi="仿宋" w:eastAsia="仿宋" w:cs="Arial"/>
              </w:rPr>
              <w:t>2</w:t>
            </w:r>
            <w:r>
              <w:rPr>
                <w:rFonts w:hint="eastAsia" w:ascii="仿宋" w:hAnsi="仿宋" w:eastAsia="仿宋" w:cs="Arial"/>
              </w:rPr>
              <w:t>、估值报告；</w:t>
            </w:r>
            <w:r>
              <w:rPr>
                <w:rFonts w:ascii="仿宋" w:hAnsi="仿宋" w:eastAsia="仿宋" w:cs="Arial"/>
              </w:rPr>
              <w:t>3</w:t>
            </w:r>
            <w:r>
              <w:rPr>
                <w:rFonts w:hint="eastAsia" w:ascii="仿宋" w:hAnsi="仿宋" w:eastAsia="仿宋" w:cs="Arial"/>
              </w:rPr>
              <w:t>、咨询报告；</w:t>
            </w:r>
            <w:r>
              <w:rPr>
                <w:rFonts w:ascii="仿宋" w:hAnsi="仿宋" w:eastAsia="仿宋" w:cs="Arial"/>
              </w:rPr>
              <w:t>4</w:t>
            </w:r>
            <w:r>
              <w:rPr>
                <w:rFonts w:hint="eastAsia" w:ascii="仿宋" w:hAnsi="仿宋" w:eastAsia="仿宋" w:cs="Arial"/>
              </w:rPr>
              <w:t>、复核报告等</w:t>
            </w:r>
          </w:p>
          <w:p>
            <w:pPr>
              <w:pStyle w:val="2"/>
              <w:ind w:left="0" w:leftChars="0"/>
            </w:pPr>
            <w:r>
              <w:rPr>
                <w:rFonts w:hint="eastAsia"/>
              </w:rPr>
              <w:t>统</w:t>
            </w:r>
            <w:r>
              <w:rPr>
                <w:rFonts w:hint="eastAsia" w:ascii="仿宋" w:hAnsi="仿宋" w:eastAsia="仿宋" w:cs="Arial"/>
              </w:rPr>
              <w:t>计时段：2</w:t>
            </w:r>
            <w:r>
              <w:rPr>
                <w:rFonts w:ascii="仿宋" w:hAnsi="仿宋" w:eastAsia="仿宋" w:cs="Arial"/>
              </w:rPr>
              <w:t>020</w:t>
            </w:r>
            <w:r>
              <w:rPr>
                <w:rFonts w:hint="eastAsia" w:ascii="仿宋" w:hAnsi="仿宋" w:eastAsia="仿宋" w:cs="Arial"/>
              </w:rPr>
              <w:t>年1月1日-</w:t>
            </w:r>
            <w:r>
              <w:rPr>
                <w:rFonts w:ascii="仿宋" w:hAnsi="仿宋" w:eastAsia="仿宋" w:cs="Arial"/>
              </w:rPr>
              <w:t>2021</w:t>
            </w:r>
            <w:r>
              <w:rPr>
                <w:rFonts w:hint="eastAsia" w:ascii="仿宋" w:hAnsi="仿宋" w:eastAsia="仿宋" w:cs="Arial"/>
              </w:rPr>
              <w:t>年1</w:t>
            </w:r>
            <w:r>
              <w:rPr>
                <w:rFonts w:ascii="仿宋" w:hAnsi="仿宋" w:eastAsia="仿宋" w:cs="Arial"/>
              </w:rPr>
              <w:t>2</w:t>
            </w:r>
            <w:r>
              <w:rPr>
                <w:rFonts w:hint="eastAsia" w:ascii="仿宋" w:hAnsi="仿宋" w:eastAsia="仿宋" w:cs="Arial"/>
              </w:rPr>
              <w:t>月3</w:t>
            </w:r>
            <w:r>
              <w:rPr>
                <w:rFonts w:ascii="仿宋" w:hAnsi="仿宋" w:eastAsia="仿宋" w:cs="Arial"/>
              </w:rPr>
              <w:t>1</w:t>
            </w:r>
            <w:r>
              <w:rPr>
                <w:rFonts w:hint="eastAsia" w:ascii="仿宋" w:hAnsi="仿宋" w:eastAsia="仿宋" w:cs="Arial"/>
              </w:rPr>
              <w:t>日</w:t>
            </w:r>
          </w:p>
        </w:tc>
        <w:tc>
          <w:tcPr>
            <w:tcW w:w="417" w:type="dxa"/>
            <w:tcBorders>
              <w:top w:val="nil"/>
              <w:left w:val="nil"/>
              <w:bottom w:val="nil"/>
              <w:right w:val="nil"/>
            </w:tcBorders>
            <w:shd w:val="clear" w:color="auto" w:fill="auto"/>
            <w:vAlign w:val="bottom"/>
          </w:tcPr>
          <w:p>
            <w:pPr>
              <w:rPr>
                <w:rFonts w:ascii="仿宋" w:hAnsi="仿宋" w:eastAsia="仿宋" w:cs="Arial"/>
              </w:rPr>
            </w:pPr>
          </w:p>
        </w:tc>
      </w:tr>
    </w:tbl>
    <w:p>
      <w:pPr>
        <w:spacing w:line="360" w:lineRule="auto"/>
        <w:rPr>
          <w:rFonts w:cs="Times New Roman" w:asciiTheme="majorEastAsia" w:hAnsiTheme="majorEastAsia" w:eastAsiaTheme="majorEastAsia"/>
          <w:sz w:val="20"/>
        </w:rPr>
      </w:pPr>
    </w:p>
    <w:p>
      <w:pPr>
        <w:spacing w:line="360" w:lineRule="auto"/>
        <w:rPr>
          <w:rFonts w:cs="Times New Roman" w:asciiTheme="majorEastAsia" w:hAnsiTheme="majorEastAsia" w:eastAsiaTheme="majorEastAsia"/>
          <w:sz w:val="20"/>
        </w:rPr>
      </w:pPr>
    </w:p>
    <w:p>
      <w:pPr>
        <w:pStyle w:val="5"/>
        <w:spacing w:line="360" w:lineRule="auto"/>
        <w:ind w:firstLine="0" w:firstLineChars="0"/>
        <w:rPr>
          <w:rFonts w:asciiTheme="majorEastAsia" w:hAnsiTheme="majorEastAsia" w:eastAsiaTheme="majorEastAsia"/>
        </w:rPr>
        <w:sectPr>
          <w:pgSz w:w="16840" w:h="11910" w:orient="landscape"/>
          <w:pgMar w:top="1100" w:right="1841" w:bottom="280" w:left="1560" w:header="720" w:footer="720" w:gutter="0"/>
          <w:cols w:space="720" w:num="1"/>
        </w:sectPr>
      </w:pPr>
    </w:p>
    <w:p>
      <w:pPr>
        <w:spacing w:line="360" w:lineRule="auto"/>
        <w:jc w:val="center"/>
        <w:rPr>
          <w:rFonts w:cs="Times New Roman" w:asciiTheme="majorEastAsia" w:hAnsiTheme="majorEastAsia" w:eastAsiaTheme="majorEastAsia"/>
          <w:b/>
          <w:bCs/>
          <w:sz w:val="44"/>
          <w:szCs w:val="44"/>
        </w:rPr>
      </w:pPr>
    </w:p>
    <w:p>
      <w:pPr>
        <w:pStyle w:val="4"/>
        <w:ind w:firstLine="634"/>
        <w:jc w:val="center"/>
        <w:rPr>
          <w:rFonts w:hint="eastAsia" w:ascii="仿宋_GB2312" w:hAnsi="仿宋_GB2312" w:eastAsia="仿宋_GB2312" w:cs="仿宋_GB2312"/>
          <w:b/>
          <w:bCs/>
          <w:sz w:val="32"/>
          <w:szCs w:val="32"/>
        </w:rPr>
      </w:pPr>
      <w:bookmarkStart w:id="28" w:name="_Toc83801767"/>
      <w:bookmarkStart w:id="29" w:name="_Toc83801615"/>
      <w:bookmarkStart w:id="30" w:name="_Toc12144"/>
      <w:bookmarkStart w:id="31" w:name="_Hlk79917611"/>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）资产评估机构党建信息表</w:t>
      </w:r>
      <w:bookmarkEnd w:id="28"/>
      <w:bookmarkEnd w:id="29"/>
      <w:bookmarkEnd w:id="30"/>
    </w:p>
    <w:tbl>
      <w:tblPr>
        <w:tblStyle w:val="12"/>
        <w:tblW w:w="8520" w:type="dxa"/>
        <w:tblInd w:w="-5" w:type="dxa"/>
        <w:tblLayout w:type="fixed"/>
        <w:tblCellMar>
          <w:top w:w="15" w:type="dxa"/>
          <w:left w:w="15" w:type="dxa"/>
          <w:bottom w:w="15" w:type="dxa"/>
          <w:right w:w="15" w:type="dxa"/>
        </w:tblCellMar>
      </w:tblPr>
      <w:tblGrid>
        <w:gridCol w:w="2651"/>
        <w:gridCol w:w="2333"/>
        <w:gridCol w:w="1203"/>
        <w:gridCol w:w="2333"/>
      </w:tblGrid>
      <w:tr>
        <w:tblPrEx>
          <w:tblCellMar>
            <w:top w:w="15" w:type="dxa"/>
            <w:left w:w="15" w:type="dxa"/>
            <w:bottom w:w="15" w:type="dxa"/>
            <w:right w:w="15" w:type="dxa"/>
          </w:tblCellMar>
        </w:tblPrEx>
        <w:trPr>
          <w:trHeight w:val="20" w:hRule="atLeast"/>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机构名称</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cs="仿宋_GB2312" w:asciiTheme="majorEastAsia" w:hAnsiTheme="majorEastAsia" w:eastAsiaTheme="majorEastAsia"/>
                <w:color w:val="000000"/>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资产评估机构代码</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cs="仿宋_GB2312" w:asciiTheme="majorEastAsia" w:hAnsiTheme="majorEastAsia" w:eastAsiaTheme="majorEastAsia"/>
                <w:color w:val="000000"/>
              </w:rPr>
            </w:pPr>
          </w:p>
        </w:tc>
      </w:tr>
      <w:tr>
        <w:tblPrEx>
          <w:tblCellMar>
            <w:top w:w="15" w:type="dxa"/>
            <w:left w:w="15" w:type="dxa"/>
            <w:bottom w:w="15" w:type="dxa"/>
            <w:right w:w="15" w:type="dxa"/>
          </w:tblCellMar>
        </w:tblPrEx>
        <w:trPr>
          <w:trHeight w:val="20" w:hRule="atLeast"/>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资产评估机构负责人</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cs="仿宋_GB2312" w:asciiTheme="majorEastAsia" w:hAnsiTheme="majorEastAsia" w:eastAsiaTheme="majorEastAsia"/>
                <w:color w:val="000000"/>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联系电话</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cs="仿宋_GB2312" w:asciiTheme="majorEastAsia" w:hAnsiTheme="majorEastAsia" w:eastAsiaTheme="majorEastAsia"/>
                <w:color w:val="000000"/>
              </w:rPr>
            </w:pPr>
          </w:p>
        </w:tc>
      </w:tr>
      <w:tr>
        <w:tblPrEx>
          <w:tblCellMar>
            <w:top w:w="15" w:type="dxa"/>
            <w:left w:w="15" w:type="dxa"/>
            <w:bottom w:w="15" w:type="dxa"/>
            <w:right w:w="15" w:type="dxa"/>
          </w:tblCellMar>
        </w:tblPrEx>
        <w:trPr>
          <w:trHeight w:val="20" w:hRule="atLeast"/>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资产评估机构地址</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cs="仿宋_GB2312" w:asciiTheme="majorEastAsia" w:hAnsiTheme="majorEastAsia" w:eastAsiaTheme="majorEastAsia"/>
                <w:color w:val="000000"/>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邮编</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cs="仿宋_GB2312" w:asciiTheme="majorEastAsia" w:hAnsiTheme="majorEastAsia" w:eastAsiaTheme="majorEastAsia"/>
                <w:color w:val="000000"/>
              </w:rPr>
            </w:pPr>
          </w:p>
        </w:tc>
      </w:tr>
      <w:tr>
        <w:tblPrEx>
          <w:tblCellMar>
            <w:top w:w="15" w:type="dxa"/>
            <w:left w:w="15" w:type="dxa"/>
            <w:bottom w:w="15" w:type="dxa"/>
            <w:right w:w="15" w:type="dxa"/>
          </w:tblCellMar>
        </w:tblPrEx>
        <w:trPr>
          <w:trHeight w:val="20" w:hRule="atLeast"/>
        </w:trPr>
        <w:tc>
          <w:tcPr>
            <w:tcW w:w="2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本机构党员人数</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cs="仿宋_GB2312" w:asciiTheme="majorEastAsia" w:hAnsiTheme="majorEastAsia" w:eastAsiaTheme="majorEastAsia"/>
                <w:color w:val="000000"/>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其中流动党员人数</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cs="仿宋_GB2312" w:asciiTheme="majorEastAsia" w:hAnsiTheme="majorEastAsia" w:eastAsiaTheme="majorEastAsia"/>
                <w:color w:val="000000"/>
              </w:rPr>
            </w:pPr>
          </w:p>
        </w:tc>
      </w:tr>
      <w:tr>
        <w:tblPrEx>
          <w:tblCellMar>
            <w:top w:w="15" w:type="dxa"/>
            <w:left w:w="15" w:type="dxa"/>
            <w:bottom w:w="15" w:type="dxa"/>
            <w:right w:w="15" w:type="dxa"/>
          </w:tblCellMar>
        </w:tblPrEx>
        <w:trPr>
          <w:trHeight w:val="20" w:hRule="atLeast"/>
        </w:trPr>
        <w:tc>
          <w:tcPr>
            <w:tcW w:w="2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cs="仿宋_GB2312" w:asciiTheme="majorEastAsia" w:hAnsiTheme="majorEastAsia" w:eastAsiaTheme="majorEastAsia"/>
                <w:color w:val="000000"/>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cs="仿宋_GB2312" w:asciiTheme="majorEastAsia" w:hAnsiTheme="majorEastAsia" w:eastAsiaTheme="majorEastAsia"/>
                <w:color w:val="000000"/>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其中，资产评估师党员人员</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cs="仿宋_GB2312" w:asciiTheme="majorEastAsia" w:hAnsiTheme="majorEastAsia" w:eastAsiaTheme="majorEastAsia"/>
                <w:color w:val="000000"/>
              </w:rPr>
            </w:pPr>
          </w:p>
        </w:tc>
      </w:tr>
      <w:tr>
        <w:tblPrEx>
          <w:tblCellMar>
            <w:top w:w="15" w:type="dxa"/>
            <w:left w:w="15" w:type="dxa"/>
            <w:bottom w:w="15" w:type="dxa"/>
            <w:right w:w="15" w:type="dxa"/>
          </w:tblCellMar>
        </w:tblPrEx>
        <w:trPr>
          <w:trHeight w:val="20" w:hRule="atLeast"/>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本机构是否建立党组织</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 xml:space="preserve">□ 是    </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 xml:space="preserve"> □否</w:t>
            </w:r>
          </w:p>
        </w:tc>
      </w:tr>
      <w:tr>
        <w:tblPrEx>
          <w:tblCellMar>
            <w:top w:w="15" w:type="dxa"/>
            <w:left w:w="15" w:type="dxa"/>
            <w:bottom w:w="15" w:type="dxa"/>
            <w:right w:w="15" w:type="dxa"/>
          </w:tblCellMar>
        </w:tblPrEx>
        <w:trPr>
          <w:trHeight w:val="20" w:hRule="atLeast"/>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党组织已组建情况</w:t>
            </w:r>
          </w:p>
        </w:tc>
        <w:tc>
          <w:tcPr>
            <w:tcW w:w="23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 xml:space="preserve">□单独组建     </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□联合组建</w:t>
            </w:r>
          </w:p>
        </w:tc>
      </w:tr>
      <w:tr>
        <w:tblPrEx>
          <w:tblCellMar>
            <w:top w:w="15" w:type="dxa"/>
            <w:left w:w="15" w:type="dxa"/>
            <w:bottom w:w="15" w:type="dxa"/>
            <w:right w:w="15" w:type="dxa"/>
          </w:tblCellMar>
        </w:tblPrEx>
        <w:trPr>
          <w:trHeight w:val="20" w:hRule="atLeast"/>
        </w:trPr>
        <w:tc>
          <w:tcPr>
            <w:tcW w:w="2651" w:type="dxa"/>
            <w:tcBorders>
              <w:top w:val="single" w:color="000000" w:sz="4" w:space="0"/>
              <w:left w:val="single" w:color="000000" w:sz="4" w:space="0"/>
              <w:right w:val="single" w:color="000000" w:sz="4" w:space="0"/>
            </w:tcBorders>
            <w:shd w:val="clear" w:color="auto" w:fill="auto"/>
            <w:vAlign w:val="center"/>
          </w:tcPr>
          <w:p>
            <w:pPr>
              <w:spacing w:line="360" w:lineRule="auto"/>
              <w:jc w:val="center"/>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党组织活动开展形式</w:t>
            </w:r>
          </w:p>
        </w:tc>
        <w:tc>
          <w:tcPr>
            <w:tcW w:w="5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cs="仿宋_GB2312" w:asciiTheme="majorEastAsia" w:hAnsiTheme="majorEastAsia" w:eastAsiaTheme="majorEastAsia"/>
                <w:color w:val="000000"/>
              </w:rPr>
            </w:pPr>
          </w:p>
        </w:tc>
      </w:tr>
      <w:tr>
        <w:tblPrEx>
          <w:tblCellMar>
            <w:top w:w="15" w:type="dxa"/>
            <w:left w:w="15" w:type="dxa"/>
            <w:bottom w:w="15" w:type="dxa"/>
            <w:right w:w="15" w:type="dxa"/>
          </w:tblCellMar>
        </w:tblPrEx>
        <w:trPr>
          <w:trHeight w:val="20" w:hRule="atLeast"/>
        </w:trPr>
        <w:tc>
          <w:tcPr>
            <w:tcW w:w="2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是否计划组建党组织</w:t>
            </w:r>
          </w:p>
        </w:tc>
        <w:tc>
          <w:tcPr>
            <w:tcW w:w="5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 是      计划组建党组织类型：□单独组建        □联合组建</w:t>
            </w:r>
          </w:p>
        </w:tc>
      </w:tr>
      <w:tr>
        <w:tblPrEx>
          <w:tblCellMar>
            <w:top w:w="15" w:type="dxa"/>
            <w:left w:w="15" w:type="dxa"/>
            <w:bottom w:w="15" w:type="dxa"/>
            <w:right w:w="15" w:type="dxa"/>
          </w:tblCellMar>
        </w:tblPrEx>
        <w:trPr>
          <w:trHeight w:val="20" w:hRule="atLeast"/>
        </w:trPr>
        <w:tc>
          <w:tcPr>
            <w:tcW w:w="2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cs="仿宋_GB2312" w:asciiTheme="majorEastAsia" w:hAnsiTheme="majorEastAsia" w:eastAsiaTheme="majorEastAsia"/>
                <w:color w:val="000000"/>
              </w:rPr>
            </w:pPr>
          </w:p>
        </w:tc>
        <w:tc>
          <w:tcPr>
            <w:tcW w:w="5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 xml:space="preserve">□ 否   </w:t>
            </w:r>
          </w:p>
        </w:tc>
      </w:tr>
      <w:tr>
        <w:tblPrEx>
          <w:tblCellMar>
            <w:top w:w="15" w:type="dxa"/>
            <w:left w:w="15" w:type="dxa"/>
            <w:bottom w:w="15" w:type="dxa"/>
            <w:right w:w="15" w:type="dxa"/>
          </w:tblCellMar>
        </w:tblPrEx>
        <w:trPr>
          <w:trHeight w:val="20" w:hRule="atLeast"/>
        </w:trPr>
        <w:tc>
          <w:tcPr>
            <w:tcW w:w="2651" w:type="dxa"/>
            <w:tcBorders>
              <w:top w:val="single" w:color="000000" w:sz="4" w:space="0"/>
              <w:left w:val="single" w:color="000000" w:sz="4" w:space="0"/>
              <w:right w:val="single" w:color="000000" w:sz="4" w:space="0"/>
            </w:tcBorders>
            <w:shd w:val="clear" w:color="auto" w:fill="auto"/>
            <w:vAlign w:val="center"/>
          </w:tcPr>
          <w:p>
            <w:pPr>
              <w:spacing w:line="360" w:lineRule="auto"/>
              <w:jc w:val="center"/>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对资产评估行业党建工作的意见和建议（可另附页）</w:t>
            </w:r>
          </w:p>
        </w:tc>
        <w:tc>
          <w:tcPr>
            <w:tcW w:w="5869" w:type="dxa"/>
            <w:gridSpan w:val="3"/>
            <w:tcBorders>
              <w:top w:val="single" w:color="000000" w:sz="4" w:space="0"/>
              <w:left w:val="single" w:color="000000" w:sz="4" w:space="0"/>
              <w:right w:val="single" w:color="000000" w:sz="4" w:space="0"/>
            </w:tcBorders>
            <w:shd w:val="clear" w:color="auto" w:fill="auto"/>
            <w:vAlign w:val="center"/>
          </w:tcPr>
          <w:p>
            <w:pPr>
              <w:spacing w:line="360" w:lineRule="auto"/>
              <w:jc w:val="center"/>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无</w:t>
            </w:r>
          </w:p>
        </w:tc>
      </w:tr>
      <w:tr>
        <w:tblPrEx>
          <w:tblCellMar>
            <w:top w:w="15" w:type="dxa"/>
            <w:left w:w="15" w:type="dxa"/>
            <w:bottom w:w="15" w:type="dxa"/>
            <w:right w:w="15" w:type="dxa"/>
          </w:tblCellMar>
        </w:tblPrEx>
        <w:trPr>
          <w:trHeight w:val="20" w:hRule="atLeast"/>
        </w:trPr>
        <w:tc>
          <w:tcPr>
            <w:tcW w:w="8520" w:type="dxa"/>
            <w:gridSpan w:val="4"/>
            <w:tcBorders>
              <w:top w:val="single" w:color="000000" w:sz="4" w:space="0"/>
              <w:left w:val="single" w:color="000000" w:sz="4" w:space="0"/>
              <w:right w:val="single" w:color="000000" w:sz="4" w:space="0"/>
            </w:tcBorders>
            <w:shd w:val="clear" w:color="auto" w:fill="auto"/>
            <w:vAlign w:val="center"/>
          </w:tcPr>
          <w:p>
            <w:pPr>
              <w:spacing w:line="360" w:lineRule="auto"/>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 xml:space="preserve">机构意见：                                  </w:t>
            </w:r>
          </w:p>
        </w:tc>
      </w:tr>
      <w:tr>
        <w:tblPrEx>
          <w:tblCellMar>
            <w:top w:w="15" w:type="dxa"/>
            <w:left w:w="15" w:type="dxa"/>
            <w:bottom w:w="15" w:type="dxa"/>
            <w:right w:w="15" w:type="dxa"/>
          </w:tblCellMar>
        </w:tblPrEx>
        <w:trPr>
          <w:trHeight w:val="20" w:hRule="atLeast"/>
        </w:trPr>
        <w:tc>
          <w:tcPr>
            <w:tcW w:w="8520" w:type="dxa"/>
            <w:gridSpan w:val="4"/>
            <w:tcBorders>
              <w:left w:val="single" w:color="000000" w:sz="4" w:space="0"/>
              <w:right w:val="single" w:color="000000" w:sz="4" w:space="0"/>
            </w:tcBorders>
            <w:shd w:val="clear" w:color="auto" w:fill="auto"/>
          </w:tcPr>
          <w:p>
            <w:pPr>
              <w:spacing w:line="360" w:lineRule="auto"/>
              <w:jc w:val="center"/>
              <w:textAlignment w:val="top"/>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 xml:space="preserve">  法定代表人签名：  </w:t>
            </w:r>
          </w:p>
        </w:tc>
      </w:tr>
      <w:tr>
        <w:tblPrEx>
          <w:tblCellMar>
            <w:top w:w="15" w:type="dxa"/>
            <w:left w:w="15" w:type="dxa"/>
            <w:bottom w:w="15" w:type="dxa"/>
            <w:right w:w="15" w:type="dxa"/>
          </w:tblCellMar>
        </w:tblPrEx>
        <w:trPr>
          <w:trHeight w:val="20" w:hRule="atLeast"/>
        </w:trPr>
        <w:tc>
          <w:tcPr>
            <w:tcW w:w="8520" w:type="dxa"/>
            <w:gridSpan w:val="4"/>
            <w:tcBorders>
              <w:left w:val="single" w:color="000000" w:sz="4" w:space="0"/>
              <w:bottom w:val="single" w:color="000000" w:sz="4" w:space="0"/>
              <w:right w:val="single" w:color="000000" w:sz="4" w:space="0"/>
            </w:tcBorders>
            <w:shd w:val="clear" w:color="auto" w:fill="auto"/>
          </w:tcPr>
          <w:p>
            <w:pPr>
              <w:spacing w:line="360" w:lineRule="auto"/>
              <w:jc w:val="center"/>
              <w:textAlignment w:val="top"/>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 xml:space="preserve">  机构盖章：</w:t>
            </w:r>
          </w:p>
        </w:tc>
      </w:tr>
      <w:tr>
        <w:tblPrEx>
          <w:tblCellMar>
            <w:top w:w="15" w:type="dxa"/>
            <w:left w:w="15" w:type="dxa"/>
            <w:bottom w:w="15" w:type="dxa"/>
            <w:right w:w="15" w:type="dxa"/>
          </w:tblCellMar>
        </w:tblPrEx>
        <w:trPr>
          <w:trHeight w:val="20" w:hRule="atLeast"/>
        </w:trPr>
        <w:tc>
          <w:tcPr>
            <w:tcW w:w="8520" w:type="dxa"/>
            <w:gridSpan w:val="4"/>
            <w:tcBorders>
              <w:top w:val="single" w:color="000000" w:sz="4" w:space="0"/>
            </w:tcBorders>
            <w:shd w:val="clear" w:color="auto" w:fill="auto"/>
            <w:vAlign w:val="center"/>
          </w:tcPr>
          <w:p>
            <w:pPr>
              <w:spacing w:line="360" w:lineRule="auto"/>
              <w:textAlignment w:val="center"/>
              <w:rPr>
                <w:rFonts w:cs="仿宋_GB2312" w:asciiTheme="majorEastAsia" w:hAnsiTheme="majorEastAsia" w:eastAsiaTheme="majorEastAsia"/>
                <w:color w:val="000000"/>
              </w:rPr>
            </w:pPr>
            <w:r>
              <w:rPr>
                <w:rFonts w:hint="eastAsia" w:cs="仿宋_GB2312" w:asciiTheme="majorEastAsia" w:hAnsiTheme="majorEastAsia" w:eastAsiaTheme="majorEastAsia"/>
                <w:color w:val="000000"/>
                <w:lang w:bidi="ar"/>
              </w:rPr>
              <w:t xml:space="preserve">填表人：                          填表日期：                       </w:t>
            </w:r>
          </w:p>
        </w:tc>
      </w:tr>
      <w:bookmarkEnd w:id="31"/>
    </w:tbl>
    <w:p>
      <w:pPr>
        <w:spacing w:line="360" w:lineRule="auto"/>
        <w:rPr>
          <w:rFonts w:cs="Times New Roman" w:asciiTheme="majorEastAsia" w:hAnsiTheme="majorEastAsia" w:eastAsiaTheme="majorEastAsia"/>
          <w:sz w:val="44"/>
          <w:szCs w:val="44"/>
        </w:rPr>
      </w:pPr>
      <w:r>
        <w:rPr>
          <w:rFonts w:cs="Times New Roman" w:asciiTheme="majorEastAsia" w:hAnsiTheme="majorEastAsia" w:eastAsiaTheme="majorEastAsia"/>
        </w:rPr>
        <w:br w:type="page"/>
      </w:r>
    </w:p>
    <w:p>
      <w:pPr>
        <w:jc w:val="center"/>
        <w:outlineLvl w:val="2"/>
        <w:rPr>
          <w:rFonts w:eastAsia="仿宋_GB2312"/>
          <w:b/>
          <w:bCs/>
          <w:color w:val="000000"/>
          <w:sz w:val="32"/>
          <w:szCs w:val="32"/>
        </w:rPr>
      </w:pPr>
      <w:bookmarkStart w:id="32" w:name="_Toc23460"/>
      <w:bookmarkStart w:id="33" w:name="_Hlk84928965"/>
      <w:r>
        <w:rPr>
          <w:rFonts w:hint="eastAsia" w:eastAsia="仿宋_GB2312"/>
          <w:b/>
          <w:bCs/>
          <w:color w:val="000000"/>
          <w:sz w:val="32"/>
          <w:szCs w:val="32"/>
          <w:lang w:eastAsia="zh-CN"/>
        </w:rPr>
        <w:t>（八）</w:t>
      </w:r>
      <w:r>
        <w:rPr>
          <w:rFonts w:hint="eastAsia" w:eastAsia="仿宋_GB2312"/>
          <w:b/>
          <w:bCs/>
          <w:color w:val="000000"/>
          <w:sz w:val="32"/>
          <w:szCs w:val="32"/>
        </w:rPr>
        <w:t>机构内部管理和质量控制制度目录</w:t>
      </w:r>
      <w:bookmarkEnd w:id="32"/>
    </w:p>
    <w:p>
      <w:pPr>
        <w:rPr>
          <w:color w:val="000000"/>
        </w:rPr>
      </w:pPr>
    </w:p>
    <w:p>
      <w:pPr>
        <w:rPr>
          <w:rFonts w:eastAsia="仿宋_GB2312"/>
          <w:b/>
          <w:bCs/>
          <w:color w:val="000000"/>
          <w:sz w:val="30"/>
        </w:rPr>
      </w:pPr>
      <w:r>
        <w:rPr>
          <w:rFonts w:hint="eastAsia" w:eastAsia="仿宋_GB2312"/>
          <w:b/>
          <w:bCs/>
          <w:color w:val="000000"/>
          <w:sz w:val="30"/>
        </w:rPr>
        <w:t>机构名称：</w:t>
      </w:r>
    </w:p>
    <w:tbl>
      <w:tblPr>
        <w:tblStyle w:val="12"/>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6436"/>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vAlign w:val="center"/>
          </w:tcPr>
          <w:p>
            <w:pPr>
              <w:jc w:val="center"/>
              <w:rPr>
                <w:color w:val="000000"/>
                <w:sz w:val="20"/>
              </w:rPr>
            </w:pPr>
            <w:r>
              <w:rPr>
                <w:rFonts w:hint="eastAsia"/>
                <w:color w:val="000000"/>
                <w:sz w:val="20"/>
              </w:rPr>
              <w:t>序号</w:t>
            </w:r>
          </w:p>
        </w:tc>
        <w:tc>
          <w:tcPr>
            <w:tcW w:w="6436" w:type="dxa"/>
            <w:vAlign w:val="center"/>
          </w:tcPr>
          <w:p>
            <w:pPr>
              <w:jc w:val="center"/>
              <w:rPr>
                <w:color w:val="000000"/>
                <w:sz w:val="20"/>
              </w:rPr>
            </w:pPr>
            <w:r>
              <w:rPr>
                <w:rFonts w:hint="eastAsia"/>
                <w:color w:val="000000"/>
                <w:sz w:val="20"/>
              </w:rPr>
              <w:t>制度名称</w:t>
            </w:r>
          </w:p>
        </w:tc>
        <w:tc>
          <w:tcPr>
            <w:tcW w:w="1652" w:type="dxa"/>
            <w:vAlign w:val="center"/>
          </w:tcPr>
          <w:p>
            <w:pPr>
              <w:jc w:val="center"/>
              <w:rPr>
                <w:color w:val="000000"/>
                <w:sz w:val="20"/>
              </w:rPr>
            </w:pPr>
            <w:r>
              <w:rPr>
                <w:rFonts w:hint="eastAsia"/>
                <w:color w:val="000000"/>
                <w:sz w:val="20"/>
              </w:rPr>
              <w:t>制定时间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p>
        </w:tc>
        <w:tc>
          <w:tcPr>
            <w:tcW w:w="1652" w:type="dxa"/>
          </w:tcPr>
          <w:p>
            <w:pPr>
              <w:rPr>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Pr>
          <w:p>
            <w:pPr>
              <w:rPr>
                <w:color w:val="000000"/>
                <w:sz w:val="20"/>
              </w:rPr>
            </w:pPr>
          </w:p>
        </w:tc>
        <w:tc>
          <w:tcPr>
            <w:tcW w:w="6436" w:type="dxa"/>
          </w:tcPr>
          <w:p>
            <w:pPr>
              <w:rPr>
                <w:color w:val="000000"/>
                <w:sz w:val="20"/>
              </w:rPr>
            </w:pPr>
            <w:r>
              <w:rPr>
                <w:rFonts w:hint="eastAsia"/>
                <w:color w:val="000000"/>
                <w:sz w:val="20"/>
              </w:rPr>
              <w:t xml:space="preserve">注：含分支机构管理制度文件  </w:t>
            </w:r>
          </w:p>
        </w:tc>
        <w:tc>
          <w:tcPr>
            <w:tcW w:w="1652" w:type="dxa"/>
          </w:tcPr>
          <w:p>
            <w:pPr>
              <w:rPr>
                <w:color w:val="000000"/>
                <w:sz w:val="20"/>
              </w:rPr>
            </w:pPr>
          </w:p>
        </w:tc>
      </w:tr>
    </w:tbl>
    <w:p>
      <w:pPr>
        <w:rPr>
          <w:rFonts w:hint="eastAsia"/>
        </w:rPr>
      </w:pPr>
      <w:r>
        <w:rPr>
          <w:rFonts w:hint="eastAsia"/>
          <w:color w:val="000000"/>
        </w:rPr>
        <w:t>填报人员：                                           填报时间</w:t>
      </w:r>
      <w:bookmarkEnd w:id="3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0"/>
        <w:rPr>
          <w:rFonts w:ascii="仿宋_GB2312" w:hAnsi="仿宋_GB2312" w:eastAsia="仿宋_GB2312" w:cs="仿宋_GB2312"/>
          <w:sz w:val="28"/>
          <w:szCs w:val="28"/>
        </w:rPr>
      </w:pPr>
      <w:r>
        <w:rPr>
          <w:rStyle w:val="14"/>
        </w:rPr>
        <w:footnoteRef/>
      </w:r>
      <w:r>
        <w:t xml:space="preserve"> </w:t>
      </w:r>
      <w:r>
        <w:rPr>
          <w:rFonts w:hint="eastAsia" w:ascii="仿宋_GB2312" w:hAnsi="仿宋_GB2312" w:eastAsia="仿宋_GB2312" w:cs="仿宋_GB2312"/>
          <w:sz w:val="28"/>
          <w:szCs w:val="28"/>
        </w:rPr>
        <w:t>“全覆盖+重点突出”是指所抽取的资产评估报告要实现对总部和分支机构的全覆盖，重点选取资产评估并购、重组、企业混改等评估价值较大的项目或者重大影响的项目，兼顾不同类型的评估业务。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pPr>
    <w:r>
      <w:rPr>
        <w:rFonts w:hint="eastAsia" w:ascii="华文中宋" w:hAnsi="华文中宋" w:cs="Times New Roman"/>
        <w:lang w:val="en-SG"/>
      </w:rPr>
      <w:t>需被检查单位提供的资料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960"/>
      <w:jc w:val="right"/>
      <w:rPr>
        <w:sz w:val="18"/>
        <w:szCs w:val="18"/>
      </w:rPr>
    </w:pPr>
    <w:r>
      <w:rPr>
        <w:rFonts w:hint="eastAsia" w:ascii="华文中宋" w:hAnsi="华文中宋" w:cs="Times New Roman"/>
        <w:sz w:val="18"/>
        <w:szCs w:val="18"/>
        <w:lang w:val="en-SG"/>
      </w:rPr>
      <w:t>需被检查单位提供资料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54FF8"/>
    <w:multiLevelType w:val="multilevel"/>
    <w:tmpl w:val="31454FF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D91B3E"/>
    <w:multiLevelType w:val="singleLevel"/>
    <w:tmpl w:val="5CD91B3E"/>
    <w:lvl w:ilvl="0" w:tentative="0">
      <w:start w:val="2"/>
      <w:numFmt w:val="chineseCounting"/>
      <w:suff w:val="nothing"/>
      <w:lvlText w:val="%1、"/>
      <w:lvlJc w:val="left"/>
    </w:lvl>
  </w:abstractNum>
  <w:abstractNum w:abstractNumId="2">
    <w:nsid w:val="5CD91EE2"/>
    <w:multiLevelType w:val="singleLevel"/>
    <w:tmpl w:val="5CD91EE2"/>
    <w:lvl w:ilvl="0" w:tentative="0">
      <w:start w:val="1"/>
      <w:numFmt w:val="chineseCounting"/>
      <w:suff w:val="nothing"/>
      <w:lvlText w:val="（%1）"/>
      <w:lvlJc w:val="left"/>
    </w:lvl>
  </w:abstractNum>
  <w:abstractNum w:abstractNumId="3">
    <w:nsid w:val="5CD93383"/>
    <w:multiLevelType w:val="singleLevel"/>
    <w:tmpl w:val="5CD93383"/>
    <w:lvl w:ilvl="0" w:tentative="0">
      <w:start w:val="1"/>
      <w:numFmt w:val="chineseCounting"/>
      <w:suff w:val="nothing"/>
      <w:lvlText w:val="%1、"/>
      <w:lvlJc w:val="left"/>
    </w:lvl>
  </w:abstractNum>
  <w:abstractNum w:abstractNumId="4">
    <w:nsid w:val="5CD933D9"/>
    <w:multiLevelType w:val="singleLevel"/>
    <w:tmpl w:val="5CD933D9"/>
    <w:lvl w:ilvl="0" w:tentative="0">
      <w:start w:val="3"/>
      <w:numFmt w:val="chineseCounting"/>
      <w:suff w:val="nothing"/>
      <w:lvlText w:val="（%1）"/>
      <w:lvlJc w:val="left"/>
    </w:lvl>
  </w:abstractNum>
  <w:abstractNum w:abstractNumId="5">
    <w:nsid w:val="5CD93574"/>
    <w:multiLevelType w:val="singleLevel"/>
    <w:tmpl w:val="5CD93574"/>
    <w:lvl w:ilvl="0" w:tentative="0">
      <w:start w:val="2"/>
      <w:numFmt w:val="decimal"/>
      <w:suff w:val="nothing"/>
      <w:lvlText w:val="%1."/>
      <w:lvlJc w:val="left"/>
    </w:lvl>
  </w:abstractNum>
  <w:abstractNum w:abstractNumId="6">
    <w:nsid w:val="6163EFE7"/>
    <w:multiLevelType w:val="singleLevel"/>
    <w:tmpl w:val="6163EFE7"/>
    <w:lvl w:ilvl="0" w:tentative="0">
      <w:start w:val="2"/>
      <w:numFmt w:val="chineseCounting"/>
      <w:suff w:val="nothing"/>
      <w:lvlText w:val="（%1）"/>
      <w:lvlJc w:val="left"/>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67CF7"/>
    <w:rsid w:val="00086F9B"/>
    <w:rsid w:val="005D5974"/>
    <w:rsid w:val="006B01A6"/>
    <w:rsid w:val="007012F1"/>
    <w:rsid w:val="00831100"/>
    <w:rsid w:val="008C45CF"/>
    <w:rsid w:val="00B05B6A"/>
    <w:rsid w:val="00CA1201"/>
    <w:rsid w:val="00E848D0"/>
    <w:rsid w:val="00F67876"/>
    <w:rsid w:val="26E67CF7"/>
    <w:rsid w:val="34213E68"/>
    <w:rsid w:val="35E05CB5"/>
    <w:rsid w:val="3C405947"/>
    <w:rsid w:val="3CEF19D0"/>
    <w:rsid w:val="4BA13835"/>
    <w:rsid w:val="63352E07"/>
    <w:rsid w:val="77F1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2"/>
    <w:basedOn w:val="1"/>
    <w:next w:val="1"/>
    <w:unhideWhenUsed/>
    <w:qFormat/>
    <w:uiPriority w:val="0"/>
    <w:pPr>
      <w:keepNext/>
      <w:keepLines/>
      <w:tabs>
        <w:tab w:val="left" w:pos="1134"/>
      </w:tabs>
      <w:adjustRightInd w:val="0"/>
      <w:snapToGrid w:val="0"/>
      <w:jc w:val="center"/>
      <w:textAlignment w:val="baseline"/>
      <w:outlineLvl w:val="1"/>
    </w:pPr>
    <w:rPr>
      <w:rFonts w:cs="Times New Roman" w:asciiTheme="majorEastAsia" w:hAnsiTheme="majorEastAsia" w:eastAsiaTheme="majorEastAsia"/>
      <w:sz w:val="28"/>
      <w:szCs w:val="28"/>
    </w:rPr>
  </w:style>
  <w:style w:type="paragraph" w:styleId="4">
    <w:name w:val="heading 3"/>
    <w:basedOn w:val="1"/>
    <w:next w:val="5"/>
    <w:unhideWhenUsed/>
    <w:qFormat/>
    <w:uiPriority w:val="0"/>
    <w:pPr>
      <w:tabs>
        <w:tab w:val="left" w:pos="0"/>
      </w:tabs>
      <w:adjustRightInd w:val="0"/>
      <w:spacing w:before="78" w:beforeLines="25" w:after="78" w:afterLines="25" w:line="360" w:lineRule="auto"/>
      <w:ind w:firstLine="495" w:firstLineChars="176"/>
      <w:textAlignment w:val="baseline"/>
      <w:outlineLvl w:val="2"/>
    </w:pPr>
    <w:rPr>
      <w:rFonts w:ascii="黑体" w:eastAsia="仿宋" w:cs="Arial"/>
      <w:bCs/>
      <w:szCs w:val="28"/>
      <w:lang w:bidi="he-IL"/>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rPr>
      <w:rFonts w:ascii="Times New Roman" w:hAnsi="Times New Roman" w:cs="Times New Roman"/>
    </w:rPr>
  </w:style>
  <w:style w:type="paragraph" w:styleId="5">
    <w:name w:val="Normal Indent"/>
    <w:basedOn w:val="1"/>
    <w:qFormat/>
    <w:uiPriority w:val="0"/>
    <w:pPr>
      <w:ind w:firstLine="420" w:firstLineChars="200"/>
    </w:pPr>
    <w:rPr>
      <w:rFonts w:ascii="Times New Roman" w:hAnsi="Times New Roman" w:cs="Times New Roman"/>
    </w:rPr>
  </w:style>
  <w:style w:type="paragraph" w:styleId="6">
    <w:name w:val="toc 7"/>
    <w:basedOn w:val="1"/>
    <w:next w:val="1"/>
    <w:qFormat/>
    <w:uiPriority w:val="0"/>
    <w:pPr>
      <w:ind w:left="2520" w:leftChars="1200"/>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pPr>
    <w:rPr>
      <w:sz w:val="18"/>
    </w:rPr>
  </w:style>
  <w:style w:type="paragraph" w:styleId="11">
    <w:name w:val="Normal (Web)"/>
    <w:basedOn w:val="1"/>
    <w:qFormat/>
    <w:uiPriority w:val="0"/>
    <w:pPr>
      <w:spacing w:before="100" w:beforeAutospacing="1" w:after="100" w:afterAutospacing="1"/>
    </w:pPr>
    <w:rPr>
      <w:rFonts w:cs="Times New Roman"/>
    </w:rPr>
  </w:style>
  <w:style w:type="character" w:styleId="14">
    <w:name w:val="footnote reference"/>
    <w:basedOn w:val="13"/>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1104</Words>
  <Characters>6299</Characters>
  <Lines>52</Lines>
  <Paragraphs>14</Paragraphs>
  <TotalTime>9</TotalTime>
  <ScaleCrop>false</ScaleCrop>
  <LinksUpToDate>false</LinksUpToDate>
  <CharactersWithSpaces>7389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2021-10-11T07:51:00Z</dcterms:created>
  <dc:creator>lenovo</dc:creator>
  <cp:lastModifiedBy>Administrator</cp:lastModifiedBy>
  <cp:lastPrinted>2021-10-11T08:02:00Z</cp:lastPrinted>
  <dcterms:modified xsi:type="dcterms:W3CDTF">2021-10-18T08:27:05Z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D2B3FBACADFC4E90995370B2DAB4CE81</vt:lpwstr>
  </property>
</Properties>
</file>