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本次抽检依据和检验项目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抽检依据是《食品安全国家标准 食品添加剂使用标准》（GB 2760-2014）、《食品安全国家标准 食品中污染物限量》（GB 2762-2017）、《食品安全国家标准 食品中致病菌限量》（GB 29921-2013）、《食品安全国家标准 糕点、面包》（GB 7099-2015）、食品整治办[2009]5号《食品中可能违法添加的非食用物质名单（第二批）》。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（一）2021年汕尾市食品安全监督抽检（生产环节）：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酸价(以脂肪计)、过氧化值(以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脂肪计)、富马酸二甲酯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、山梨酸及其钾盐(以山梨酸计)、丙酸及其钠盐、钙盐(以丙酸计)、脱氢乙酸及其钠盐(以脱氢乙酸计)、纳他霉素、防腐剂混合使用时各自用量占其最大使用量比例之和、菌落总数、大肠菌群、沙门氏菌、金黄色葡萄球菌、霉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（二）2021年汕尾市食品安全监督抽检（省转移汕尾任务）：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（以脂肪计）、过氧化值（以脂肪计）、富马酸二甲酯、苯甲酸及其钠盐（以苯甲酸计）、山梨酸及其钾盐（以山梨酸计）、铝的残留量（干样品，以Al计）、脱氢乙酸及其钠盐（以脱氢乙酸计）、防腐剂混合使用时各自用量占其最大使用量的比例之和、丙酸及其钠盐、钙盐（以丙酸计）、纳他霉素、菌落总数、大肠菌群、金黄色葡萄球菌、沙门氏菌、霉菌、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（三）2021年汕尾市食品安全监督抽检（节令食品专项）：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酸价（以脂肪计）、过氧化值（以脂肪计）、富马酸二甲酯、苯甲酸及其钠盐（以苯甲酸计）、山梨酸及其钾盐（以山梨酸计）、铝的残留量（干样品，以Al计）、脱氢乙酸及其钠盐（以脱氢乙酸计）、防腐剂混合使用时各自用量占其最大使用量的比例之和、菌落总数、大肠菌群、金黄色葡萄球菌、沙门氏菌、霉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8D539D"/>
    <w:rsid w:val="29F4420E"/>
    <w:rsid w:val="586E38E1"/>
    <w:rsid w:val="69466545"/>
    <w:rsid w:val="6F316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2021-09-09T07:34:00Z</dcterms:created>
  <dc:creator>彭逸铭</dc:creator>
  <cp:lastModifiedBy>彭逸铭</cp:lastModifiedBy>
  <dcterms:modified xsi:type="dcterms:W3CDTF">2021-09-09T07:49:52Z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