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汕尾市市场监督管理局关于2021年度</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国VI车用燃油及车用尿素水溶液产品</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i w:val="0"/>
          <w:caps w:val="0"/>
          <w:color w:val="auto"/>
          <w:spacing w:val="0"/>
          <w:sz w:val="36"/>
          <w:szCs w:val="36"/>
          <w:shd w:val="clear" w:fill="FFFFFF"/>
        </w:rPr>
      </w:pPr>
      <w:r>
        <w:rPr>
          <w:rFonts w:hint="eastAsia" w:ascii="方正小标宋简体" w:hAnsi="方正小标宋简体" w:eastAsia="方正小标宋简体" w:cs="方正小标宋简体"/>
          <w:sz w:val="44"/>
          <w:szCs w:val="44"/>
        </w:rPr>
        <w:t>质量监督抽查实施细则的通告</w:t>
      </w:r>
    </w:p>
    <w:p>
      <w:pPr>
        <w:rPr>
          <w:rFonts w:hint="eastAsia" w:asciiTheme="minorEastAsia" w:hAnsiTheme="minorEastAsia" w:eastAsiaTheme="minorEastAsia" w:cstheme="minorEastAsia"/>
          <w:b w:val="0"/>
          <w:i w:val="0"/>
          <w:caps w:val="0"/>
          <w:color w:val="53535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根据《中华人民共和国产品质量法》《产品质量监督抽查管理暂行办法》等规定，结合</w:t>
      </w:r>
      <w:r>
        <w:rPr>
          <w:rFonts w:hint="eastAsia" w:ascii="仿宋_GB2312" w:hAnsi="仿宋_GB2312" w:eastAsia="仿宋_GB2312" w:cs="仿宋_GB2312"/>
          <w:sz w:val="32"/>
          <w:szCs w:val="32"/>
        </w:rPr>
        <w:t>《产品质量监督抽查抽样检验技术服务规范》T/GDAQI 020-2020</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我局制定了国VI车用燃油及车用尿素水溶液</w:t>
      </w:r>
      <w:r>
        <w:rPr>
          <w:rFonts w:hint="eastAsia" w:ascii="仿宋_GB2312" w:hAnsi="仿宋_GB2312" w:eastAsia="仿宋_GB2312" w:cs="仿宋_GB2312"/>
          <w:sz w:val="32"/>
          <w:szCs w:val="32"/>
        </w:rPr>
        <w:t>产品质量监督抽查</w:t>
      </w:r>
      <w:r>
        <w:rPr>
          <w:rFonts w:hint="eastAsia" w:ascii="仿宋_GB2312" w:hAnsi="仿宋_GB2312" w:eastAsia="仿宋_GB2312" w:cs="仿宋_GB2312"/>
          <w:sz w:val="32"/>
          <w:szCs w:val="32"/>
          <w:lang w:eastAsia="zh-CN"/>
        </w:rPr>
        <w:t>实施细则，现予以公告。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p>
    <w:p>
      <w:pPr>
        <w:ind w:right="1165" w:rightChars="555"/>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汕尾市市场监督管理局</w:t>
      </w:r>
    </w:p>
    <w:p>
      <w:pPr>
        <w:ind w:right="1365" w:rightChars="65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2021年8月17日</w:t>
      </w: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_5b8b_4f53" w:hAnsi="_5b8b_4f53" w:eastAsia="宋体" w:cs="宋体"/>
          <w:b/>
          <w:color w:val="000000"/>
          <w:kern w:val="0"/>
          <w:sz w:val="32"/>
          <w:szCs w:val="32"/>
          <w:shd w:val="clear" w:fill="FFFFFF"/>
          <w:lang w:val="en-US" w:eastAsia="zh-CN" w:bidi="ar"/>
        </w:rPr>
      </w:pPr>
      <w:r>
        <w:rPr>
          <w:rFonts w:hint="eastAsia" w:ascii="方正小标宋简体" w:hAnsi="方正小标宋简体" w:eastAsia="方正小标宋简体" w:cs="方正小标宋简体"/>
          <w:sz w:val="44"/>
          <w:szCs w:val="44"/>
        </w:rPr>
        <w:t>2021年度</w:t>
      </w:r>
      <w:r>
        <w:rPr>
          <w:rFonts w:hint="eastAsia" w:ascii="方正小标宋简体" w:hAnsi="方正小标宋简体" w:eastAsia="方正小标宋简体" w:cs="方正小标宋简体"/>
          <w:sz w:val="44"/>
          <w:szCs w:val="44"/>
          <w:lang w:val="en-US" w:eastAsia="zh-CN"/>
        </w:rPr>
        <w:t>汕尾市</w:t>
      </w:r>
      <w:r>
        <w:rPr>
          <w:rFonts w:hint="eastAsia" w:ascii="方正小标宋简体" w:hAnsi="方正小标宋简体" w:eastAsia="方正小标宋简体" w:cs="方正小标宋简体"/>
          <w:sz w:val="44"/>
          <w:szCs w:val="44"/>
        </w:rPr>
        <w:t>国VI车用燃油及车用尿素水溶液产品质量监督抽查实施细则</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本细则由汕尾市市场监督管理局制定，抽样检验工作委托</w:t>
      </w:r>
      <w:r>
        <w:rPr>
          <w:rFonts w:hint="eastAsia" w:ascii="黑体" w:hAnsi="宋体" w:eastAsia="黑体" w:cs="黑体"/>
          <w:b/>
          <w:kern w:val="0"/>
          <w:sz w:val="30"/>
          <w:szCs w:val="30"/>
          <w:u w:val="single"/>
          <w:lang w:val="en-US" w:eastAsia="zh-CN" w:bidi="ar"/>
        </w:rPr>
        <w:t>按照政府采购程序依规选定的检测机构</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适用于2021</w:t>
      </w:r>
      <w:r>
        <w:rPr>
          <w:rFonts w:hint="eastAsia" w:ascii="仿宋_GB2312" w:hAnsi="仿宋_GB2312" w:eastAsia="仿宋_GB2312" w:cs="仿宋_GB2312"/>
          <w:sz w:val="32"/>
          <w:szCs w:val="32"/>
        </w:rPr>
        <w:t>年度汕尾市市场监督管理局组织的车用燃油及车用尿素水溶液产品质量监督抽查的抽样、检验工作。</w:t>
      </w:r>
    </w:p>
    <w:p>
      <w:pPr>
        <w:spacing w:line="600" w:lineRule="exact"/>
        <w:ind w:firstLine="640" w:firstLineChars="200"/>
        <w:rPr>
          <w:rFonts w:eastAsia="黑体"/>
          <w:sz w:val="32"/>
          <w:szCs w:val="32"/>
        </w:rPr>
      </w:pPr>
      <w:r>
        <w:rPr>
          <w:rFonts w:eastAsia="黑体"/>
          <w:sz w:val="32"/>
          <w:szCs w:val="32"/>
        </w:rPr>
        <w:t>一、抽样检验的商品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1．抽查检验的商品品种：车用汽油、车用柴油、船用燃料油、车用尿素水溶液。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2．本次抽查检验的监督（核查）总体确定为：汕尾市流通领域与抽检的样本标称同一销售者的同一批次、同一规格型号的</w:t>
      </w:r>
      <w:r>
        <w:rPr>
          <w:rFonts w:hint="eastAsia" w:eastAsia="仿宋_GB2312"/>
          <w:kern w:val="0"/>
          <w:sz w:val="32"/>
        </w:rPr>
        <w:t>车用汽油、车用柴油、</w:t>
      </w:r>
      <w:r>
        <w:rPr>
          <w:rFonts w:hint="eastAsia" w:ascii="仿宋_GB2312" w:hAnsi="仿宋_GB2312" w:eastAsia="仿宋_GB2312" w:cs="仿宋_GB2312"/>
          <w:sz w:val="32"/>
          <w:szCs w:val="32"/>
        </w:rPr>
        <w:t>船用燃料油及车用尿素水溶液商品集合。</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在开展监督抽查时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随机对抽样总数不少于5%的样品采用检1备2的方法</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比对实验</w:t>
      </w:r>
      <w:r>
        <w:rPr>
          <w:rFonts w:hint="eastAsia" w:ascii="仿宋_GB2312" w:hAnsi="仿宋_GB2312" w:eastAsia="仿宋_GB2312" w:cs="仿宋_GB2312"/>
          <w:sz w:val="32"/>
          <w:szCs w:val="32"/>
          <w:lang w:eastAsia="zh-CN"/>
        </w:rPr>
        <w:t>，相关工作由承检机构负责，比对实验发生费用均在本次采购范围内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lang w:val="en-US" w:eastAsia="zh-CN"/>
        </w:rPr>
        <w:t>每款商品需抽取2组样本（每组2升），其中检验 1组，备份1组</w:t>
      </w:r>
      <w:r>
        <w:rPr>
          <w:rFonts w:hint="eastAsia" w:ascii="仿宋_GB2312" w:hAnsi="仿宋_GB2312" w:eastAsia="仿宋_GB2312" w:cs="仿宋_GB2312"/>
          <w:kern w:val="2"/>
          <w:sz w:val="30"/>
          <w:szCs w:val="30"/>
          <w:lang w:val="en-US" w:eastAsia="zh-CN" w:bidi="ar"/>
        </w:rPr>
        <w:t>。</w:t>
      </w:r>
    </w:p>
    <w:p>
      <w:pPr>
        <w:spacing w:line="600" w:lineRule="exact"/>
        <w:ind w:firstLine="640" w:firstLineChars="200"/>
        <w:rPr>
          <w:rFonts w:eastAsia="黑体"/>
          <w:sz w:val="32"/>
          <w:szCs w:val="32"/>
        </w:rPr>
      </w:pPr>
      <w:r>
        <w:rPr>
          <w:rFonts w:hint="eastAsia" w:eastAsia="黑体"/>
          <w:sz w:val="32"/>
          <w:szCs w:val="32"/>
          <w:lang w:eastAsia="zh-CN"/>
        </w:rPr>
        <w:t>二</w:t>
      </w:r>
      <w:r>
        <w:rPr>
          <w:rFonts w:eastAsia="黑体"/>
          <w:sz w:val="32"/>
          <w:szCs w:val="32"/>
        </w:rPr>
        <w:t>、监督抽样检验程序</w:t>
      </w:r>
      <w:bookmarkStart w:id="0" w:name="_GoBack"/>
      <w:bookmarkEnd w:id="0"/>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（一）抽样及复检程序依据。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2019年11月21日国家市场监督管理总局令第18号公布</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产品质量监督抽查管理暂行办法</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2020年3月5日广东省市场监督管理局发布实施的《产品质量监督抽查抽样检验技术服务规范》（T/GDAQI 020-2020）相关规定执行。</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（二）抽样方案。</w:t>
      </w:r>
    </w:p>
    <w:p>
      <w:pPr>
        <w:ind w:firstLine="640" w:firstLineChars="200"/>
        <w:rPr>
          <w:rFonts w:hint="eastAsia" w:ascii="仿宋_GB2312" w:hAnsi="仿宋_GB2312" w:eastAsia="仿宋_GB2312" w:cs="仿宋_GB2312"/>
          <w:sz w:val="32"/>
          <w:szCs w:val="32"/>
          <w:u w:val="single"/>
        </w:rPr>
      </w:pPr>
      <w:r>
        <w:rPr>
          <w:rFonts w:hint="eastAsia" w:eastAsia="仿宋_GB2312"/>
          <w:kern w:val="0"/>
          <w:sz w:val="32"/>
        </w:rPr>
        <w:t>车用汽油、车用柴油、</w:t>
      </w:r>
      <w:r>
        <w:rPr>
          <w:rFonts w:hint="eastAsia" w:ascii="仿宋_GB2312" w:hAnsi="仿宋_GB2312" w:eastAsia="仿宋_GB2312" w:cs="仿宋_GB2312"/>
          <w:sz w:val="32"/>
          <w:szCs w:val="32"/>
        </w:rPr>
        <w:t>船用燃料油及车用尿素水溶液</w:t>
      </w:r>
      <w:r>
        <w:rPr>
          <w:rFonts w:hint="eastAsia" w:eastAsia="仿宋_GB2312"/>
          <w:kern w:val="0"/>
          <w:sz w:val="32"/>
        </w:rPr>
        <w:t>属于</w:t>
      </w:r>
      <w:r>
        <w:rPr>
          <w:rFonts w:hint="eastAsia" w:ascii="仿宋_GB2312" w:hAnsi="仿宋_GB2312" w:eastAsia="仿宋_GB2312" w:cs="仿宋_GB2312"/>
          <w:sz w:val="32"/>
          <w:szCs w:val="32"/>
        </w:rPr>
        <w:t>具有先验质量信息情形的商品，适用GB/T 28863-2012进行抽样及判定。</w:t>
      </w:r>
    </w:p>
    <w:p>
      <w:pPr>
        <w:ind w:firstLine="640" w:firstLineChars="200"/>
        <w:jc w:val="left"/>
        <w:rPr>
          <w:rFonts w:hint="eastAsia" w:ascii="仿宋_GB2312" w:hAnsi="仿宋_GB2312" w:eastAsia="仿宋_GB2312" w:cs="仿宋_GB2312"/>
          <w:sz w:val="32"/>
          <w:szCs w:val="32"/>
        </w:rPr>
      </w:pPr>
      <w:r>
        <w:rPr>
          <w:rFonts w:hint="eastAsia" w:eastAsia="仿宋_GB2312"/>
          <w:kern w:val="0"/>
          <w:sz w:val="32"/>
        </w:rPr>
        <w:t>本次抽样由市场监管部门执法人员和承检机构抽样人员共同完成。抽样时应采用简单随机的方式选择抽样地点，在任意经营者销售的同一品种中抽取所需样品，</w:t>
      </w:r>
      <w:r>
        <w:rPr>
          <w:rFonts w:hint="eastAsia" w:ascii="仿宋_GB2312" w:hAnsi="仿宋_GB2312" w:eastAsia="仿宋_GB2312" w:cs="仿宋_GB2312"/>
          <w:sz w:val="32"/>
          <w:szCs w:val="32"/>
        </w:rPr>
        <w:t>避免特意抽取特定厂家、特定品牌商品。抽样时对每一个监督总体，随机抽取2组样本</w:t>
      </w:r>
      <w:r>
        <w:rPr>
          <w:rFonts w:hint="eastAsia" w:ascii="仿宋_GB2312" w:hAnsi="仿宋_GB2312" w:eastAsia="仿宋_GB2312" w:cs="仿宋_GB2312"/>
          <w:sz w:val="32"/>
          <w:szCs w:val="32"/>
          <w:lang w:eastAsia="zh-CN"/>
        </w:rPr>
        <w:t>；随机比对实验所需第</w:t>
      </w:r>
      <w:r>
        <w:rPr>
          <w:rFonts w:hint="eastAsia" w:ascii="仿宋_GB2312" w:hAnsi="仿宋_GB2312" w:eastAsia="仿宋_GB2312" w:cs="仿宋_GB2312"/>
          <w:sz w:val="32"/>
          <w:szCs w:val="32"/>
          <w:lang w:val="en-US" w:eastAsia="zh-CN"/>
        </w:rPr>
        <w:t>3组</w:t>
      </w:r>
      <w:r>
        <w:rPr>
          <w:rFonts w:hint="eastAsia" w:ascii="仿宋_GB2312" w:hAnsi="仿宋_GB2312" w:eastAsia="仿宋_GB2312" w:cs="仿宋_GB2312"/>
          <w:sz w:val="32"/>
          <w:szCs w:val="32"/>
          <w:lang w:eastAsia="zh-CN"/>
        </w:rPr>
        <w:t>样品参照第</w:t>
      </w:r>
      <w:r>
        <w:rPr>
          <w:rFonts w:hint="eastAsia" w:ascii="仿宋_GB2312" w:hAnsi="仿宋_GB2312" w:eastAsia="仿宋_GB2312" w:cs="仿宋_GB2312"/>
          <w:sz w:val="32"/>
          <w:szCs w:val="32"/>
          <w:lang w:val="en-US" w:eastAsia="zh-CN"/>
        </w:rPr>
        <w:t>2组样品要求抽取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检验样本和备份样本均须购买，存放于检验机构。</w:t>
      </w:r>
      <w:r>
        <w:rPr>
          <w:rFonts w:hint="eastAsia" w:ascii="仿宋_GB2312" w:hAnsi="仿宋_GB2312" w:eastAsia="仿宋_GB2312" w:cs="仿宋_GB2312"/>
          <w:sz w:val="32"/>
          <w:szCs w:val="32"/>
        </w:rPr>
        <w:t>每组样本需抽取样品数量如下表所示：</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14"/>
        <w:gridCol w:w="3118"/>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825" w:type="dxa"/>
            <w:noWrap w:val="0"/>
            <w:vAlign w:val="center"/>
          </w:tcPr>
          <w:p>
            <w:pPr>
              <w:adjustRightInd w:val="0"/>
              <w:snapToGrid w:val="0"/>
              <w:spacing w:line="5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814" w:type="dxa"/>
            <w:noWrap w:val="0"/>
            <w:vAlign w:val="center"/>
          </w:tcPr>
          <w:p>
            <w:pPr>
              <w:adjustRightInd w:val="0"/>
              <w:snapToGrid w:val="0"/>
              <w:spacing w:line="5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产品名称</w:t>
            </w:r>
          </w:p>
        </w:tc>
        <w:tc>
          <w:tcPr>
            <w:tcW w:w="3118" w:type="dxa"/>
            <w:noWrap w:val="0"/>
            <w:vAlign w:val="center"/>
          </w:tcPr>
          <w:p>
            <w:pPr>
              <w:adjustRightInd w:val="0"/>
              <w:snapToGrid w:val="0"/>
              <w:spacing w:line="5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第1组数量</w:t>
            </w:r>
          </w:p>
        </w:tc>
        <w:tc>
          <w:tcPr>
            <w:tcW w:w="3113" w:type="dxa"/>
            <w:noWrap w:val="0"/>
            <w:vAlign w:val="center"/>
          </w:tcPr>
          <w:p>
            <w:pPr>
              <w:adjustRightInd w:val="0"/>
              <w:snapToGrid w:val="0"/>
              <w:spacing w:line="56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25"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814"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车用汽油</w:t>
            </w:r>
          </w:p>
        </w:tc>
        <w:tc>
          <w:tcPr>
            <w:tcW w:w="3118" w:type="dxa"/>
            <w:noWrap w:val="0"/>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至少2.7L（包含2部分，第一部分至少2L，第二部分至少700mL）</w:t>
            </w:r>
          </w:p>
        </w:tc>
        <w:tc>
          <w:tcPr>
            <w:tcW w:w="3113" w:type="dxa"/>
            <w:noWrap w:val="0"/>
            <w:vAlign w:val="center"/>
          </w:tcPr>
          <w:p>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至少2.7L（包含2部分，第一部分至少2L，第二部分至少700mL）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5"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814"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车用柴油</w:t>
            </w:r>
          </w:p>
        </w:tc>
        <w:tc>
          <w:tcPr>
            <w:tcW w:w="3118"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至少2L</w:t>
            </w:r>
          </w:p>
        </w:tc>
        <w:tc>
          <w:tcPr>
            <w:tcW w:w="3113"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5"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814"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船用燃料油</w:t>
            </w:r>
          </w:p>
        </w:tc>
        <w:tc>
          <w:tcPr>
            <w:tcW w:w="3118"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至少2L</w:t>
            </w:r>
          </w:p>
        </w:tc>
        <w:tc>
          <w:tcPr>
            <w:tcW w:w="3113"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5"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814"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车用尿素水溶液</w:t>
            </w:r>
          </w:p>
        </w:tc>
        <w:tc>
          <w:tcPr>
            <w:tcW w:w="3118"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w:t>
            </w:r>
            <w:r>
              <w:rPr>
                <w:rFonts w:ascii="仿宋_GB2312" w:hAnsi="仿宋_GB2312" w:eastAsia="仿宋_GB2312" w:cs="仿宋_GB2312"/>
                <w:szCs w:val="21"/>
              </w:rPr>
              <w:t>2</w:t>
            </w:r>
            <w:r>
              <w:rPr>
                <w:rFonts w:hint="eastAsia" w:ascii="仿宋_GB2312" w:hAnsi="仿宋_GB2312" w:eastAsia="仿宋_GB2312" w:cs="仿宋_GB2312"/>
                <w:szCs w:val="21"/>
              </w:rPr>
              <w:t>L</w:t>
            </w:r>
          </w:p>
        </w:tc>
        <w:tc>
          <w:tcPr>
            <w:tcW w:w="3113" w:type="dxa"/>
            <w:noWrap w:val="0"/>
            <w:vAlign w:val="center"/>
          </w:tcPr>
          <w:p>
            <w:pPr>
              <w:adjustRightInd w:val="0"/>
              <w:snapToGrid w:val="0"/>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至少</w:t>
            </w:r>
            <w:r>
              <w:rPr>
                <w:rFonts w:ascii="仿宋_GB2312" w:hAnsi="仿宋_GB2312" w:eastAsia="仿宋_GB2312" w:cs="仿宋_GB2312"/>
                <w:szCs w:val="21"/>
              </w:rPr>
              <w:t>2</w:t>
            </w:r>
            <w:r>
              <w:rPr>
                <w:rFonts w:hint="eastAsia" w:ascii="仿宋_GB2312" w:hAnsi="仿宋_GB2312" w:eastAsia="仿宋_GB2312" w:cs="仿宋_GB2312"/>
                <w:szCs w:val="21"/>
              </w:rPr>
              <w:t>L</w:t>
            </w:r>
          </w:p>
        </w:tc>
      </w:tr>
    </w:tbl>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仿宋_GB2312" w:hAnsi="仿宋_GB2312" w:eastAsia="仿宋_GB2312" w:cs="仿宋_GB2312"/>
          <w:sz w:val="32"/>
          <w:szCs w:val="32"/>
        </w:rPr>
        <w:t>抽样现场要求、样品的处理、判定规则、检验报告报送要求均按照《产品质量监督抽查抽样检验技术服务规范》（T/GDAQI 020-2020）要求及合同约定执行。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、检验依据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1.本类商品的强制性国家标准、行业标准: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eastAsia="仿宋_GB2312"/>
          <w:kern w:val="0"/>
          <w:sz w:val="32"/>
        </w:rPr>
        <w:t>GB</w:t>
      </w:r>
      <w:r>
        <w:rPr>
          <w:rFonts w:hint="eastAsia" w:eastAsia="仿宋_GB2312"/>
          <w:kern w:val="0"/>
          <w:sz w:val="32"/>
        </w:rPr>
        <w:t xml:space="preserve"> </w:t>
      </w:r>
      <w:r>
        <w:rPr>
          <w:rFonts w:eastAsia="仿宋_GB2312"/>
          <w:kern w:val="0"/>
          <w:sz w:val="32"/>
        </w:rPr>
        <w:t>17930-201</w:t>
      </w:r>
      <w:r>
        <w:rPr>
          <w:rFonts w:hint="eastAsia" w:eastAsia="仿宋_GB2312"/>
          <w:kern w:val="0"/>
          <w:sz w:val="32"/>
        </w:rPr>
        <w:t>6</w:t>
      </w:r>
      <w:r>
        <w:rPr>
          <w:rFonts w:eastAsia="仿宋_GB2312"/>
          <w:kern w:val="0"/>
          <w:sz w:val="32"/>
        </w:rPr>
        <w:t xml:space="preserve"> 车用汽油</w:t>
      </w:r>
      <w:r>
        <w:rPr>
          <w:rFonts w:hint="eastAsia" w:eastAsia="仿宋_GB2312"/>
          <w:kern w:val="0"/>
          <w:sz w:val="32"/>
        </w:rPr>
        <w:t xml:space="preserve">   </w:t>
      </w:r>
      <w:r>
        <w:rPr>
          <w:rFonts w:hint="eastAsia" w:ascii="仿宋_GB2312" w:hAnsi="仿宋_GB2312" w:eastAsia="仿宋_GB2312" w:cs="仿宋_GB2312"/>
          <w:sz w:val="32"/>
          <w:szCs w:val="32"/>
        </w:rPr>
        <w:t xml:space="preserve"> </w:t>
      </w:r>
    </w:p>
    <w:p>
      <w:pPr>
        <w:ind w:firstLine="640" w:firstLineChars="200"/>
        <w:rPr>
          <w:rFonts w:hint="eastAsia" w:eastAsia="仿宋_GB2312"/>
          <w:kern w:val="0"/>
          <w:sz w:val="32"/>
        </w:rPr>
      </w:pPr>
      <w:r>
        <w:rPr>
          <w:rFonts w:hint="eastAsia" w:ascii="仿宋_GB2312" w:hAnsi="仿宋_GB2312" w:eastAsia="仿宋_GB2312" w:cs="仿宋_GB2312"/>
          <w:sz w:val="32"/>
          <w:szCs w:val="32"/>
        </w:rPr>
        <w:t xml:space="preserve">（2） </w:t>
      </w:r>
      <w:r>
        <w:rPr>
          <w:rFonts w:eastAsia="仿宋_GB2312"/>
          <w:kern w:val="0"/>
          <w:sz w:val="32"/>
        </w:rPr>
        <w:t>GB</w:t>
      </w:r>
      <w:r>
        <w:rPr>
          <w:rFonts w:hint="eastAsia" w:eastAsia="仿宋_GB2312"/>
          <w:kern w:val="0"/>
          <w:sz w:val="32"/>
        </w:rPr>
        <w:t xml:space="preserve"> </w:t>
      </w:r>
      <w:r>
        <w:rPr>
          <w:rFonts w:eastAsia="仿宋_GB2312"/>
          <w:kern w:val="0"/>
          <w:sz w:val="32"/>
        </w:rPr>
        <w:t>19147-201</w:t>
      </w:r>
      <w:r>
        <w:rPr>
          <w:rFonts w:hint="eastAsia" w:eastAsia="仿宋_GB2312"/>
          <w:kern w:val="0"/>
          <w:sz w:val="32"/>
        </w:rPr>
        <w:t>6</w:t>
      </w:r>
      <w:r>
        <w:rPr>
          <w:rFonts w:eastAsia="仿宋_GB2312"/>
          <w:kern w:val="0"/>
          <w:sz w:val="32"/>
        </w:rPr>
        <w:t xml:space="preserve"> 车用柴油</w:t>
      </w:r>
    </w:p>
    <w:p>
      <w:pPr>
        <w:ind w:firstLine="640" w:firstLineChars="200"/>
        <w:rPr>
          <w:rFonts w:eastAsia="仿宋_GB2312"/>
          <w:kern w:val="0"/>
          <w:sz w:val="32"/>
        </w:rPr>
      </w:pPr>
      <w:r>
        <w:rPr>
          <w:rFonts w:hint="eastAsia" w:eastAsia="仿宋_GB2312"/>
          <w:kern w:val="0"/>
          <w:sz w:val="32"/>
        </w:rPr>
        <w:t>（3） GB 17411-2015船用燃料油</w:t>
      </w:r>
    </w:p>
    <w:p>
      <w:pPr>
        <w:ind w:firstLine="640" w:firstLineChars="200"/>
        <w:rPr>
          <w:rFonts w:eastAsia="仿宋_GB2312"/>
          <w:kern w:val="0"/>
          <w:sz w:val="32"/>
        </w:rPr>
      </w:pPr>
      <w:r>
        <w:rPr>
          <w:rFonts w:hint="eastAsia" w:eastAsia="仿宋_GB2312"/>
          <w:kern w:val="0"/>
          <w:sz w:val="32"/>
        </w:rPr>
        <w:t>（4） GB 29518-2013 柴油发动机氮氧化物还原剂 尿素水溶液（AUS 32）</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2．商品标示执行的标准或商品明示指标。商品标示执行的标准或商品明示指标劣于相关强制性标准的，以相关强制性标准作为依据。</w:t>
      </w:r>
    </w:p>
    <w:p>
      <w:pPr>
        <w:ind w:firstLine="640" w:firstLineChars="200"/>
        <w:rPr>
          <w:rFonts w:hint="eastAsia" w:ascii="黑体" w:hAnsi="黑体" w:eastAsia="黑体" w:cs="黑体"/>
          <w:b/>
          <w:bCs/>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楷体_GB2312" w:hAnsi="楷体_GB2312" w:eastAsia="楷体_GB2312" w:cs="楷体_GB2312"/>
          <w:sz w:val="32"/>
          <w:szCs w:val="32"/>
        </w:rPr>
        <w:t xml:space="preserve"> </w:t>
      </w:r>
      <w:r>
        <w:rPr>
          <w:rFonts w:hint="eastAsia" w:ascii="黑体" w:hAnsi="黑体" w:eastAsia="黑体" w:cs="黑体"/>
          <w:b/>
          <w:bCs/>
          <w:sz w:val="32"/>
          <w:szCs w:val="32"/>
        </w:rPr>
        <w:t>内在质量检验项目及其重要性划分表。</w:t>
      </w:r>
    </w:p>
    <w:p>
      <w:pPr>
        <w:adjustRightInd w:val="0"/>
        <w:snapToGrid w:val="0"/>
        <w:ind w:firstLine="300" w:firstLineChars="150"/>
        <w:rPr>
          <w:rFonts w:ascii="仿宋_GB2312" w:hAnsi="仿宋_GB2312" w:eastAsia="仿宋_GB2312" w:cs="仿宋_GB2312"/>
          <w:sz w:val="20"/>
        </w:rPr>
      </w:pPr>
      <w:r>
        <w:rPr>
          <w:rFonts w:hint="eastAsia" w:ascii="仿宋_GB2312" w:hAnsi="仿宋_GB2312" w:eastAsia="仿宋_GB2312" w:cs="仿宋_GB2312"/>
          <w:sz w:val="20"/>
        </w:rPr>
        <w:t>（1）车用汽油</w:t>
      </w:r>
    </w:p>
    <w:tbl>
      <w:tblPr>
        <w:tblStyle w:val="14"/>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417"/>
        <w:gridCol w:w="1701"/>
        <w:gridCol w:w="709"/>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检验项目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依据法律</w:t>
            </w:r>
          </w:p>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法规或标准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非强</w:t>
            </w:r>
          </w:p>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较重</w:t>
            </w:r>
          </w:p>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要项</w:t>
            </w:r>
          </w:p>
        </w:tc>
        <w:tc>
          <w:tcPr>
            <w:tcW w:w="892" w:type="dxa"/>
            <w:tcBorders>
              <w:top w:val="single" w:color="auto" w:sz="4" w:space="0"/>
              <w:left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1</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研究法辛烷值</w:t>
            </w:r>
          </w:p>
        </w:tc>
        <w:tc>
          <w:tcPr>
            <w:tcW w:w="1701" w:type="dxa"/>
            <w:vMerge w:val="restart"/>
            <w:noWrap w:val="0"/>
            <w:vAlign w:val="center"/>
          </w:tcPr>
          <w:p>
            <w:pPr>
              <w:adjustRightInd w:val="0"/>
              <w:snapToGrid w:val="0"/>
              <w:jc w:val="center"/>
              <w:rPr>
                <w:rFonts w:ascii="仿宋_GB2312" w:hAnsi="仿宋_GB2312" w:eastAsia="仿宋_GB2312" w:cs="仿宋_GB2312"/>
                <w:sz w:val="20"/>
              </w:rPr>
            </w:pPr>
            <w:r>
              <w:rPr>
                <w:rFonts w:ascii="仿宋_GB2312" w:hAnsi="仿宋_GB2312" w:eastAsia="仿宋_GB2312" w:cs="仿宋_GB2312"/>
                <w:sz w:val="20"/>
              </w:rPr>
              <w:t>GB17930-201</w:t>
            </w:r>
            <w:r>
              <w:rPr>
                <w:rFonts w:hint="eastAsia" w:ascii="仿宋_GB2312" w:hAnsi="仿宋_GB2312" w:eastAsia="仿宋_GB2312" w:cs="仿宋_GB2312"/>
                <w:sz w:val="20"/>
              </w:rPr>
              <w:t>6</w:t>
            </w:r>
            <w:r>
              <w:rPr>
                <w:rFonts w:ascii="仿宋_GB2312" w:hAnsi="仿宋_GB2312" w:eastAsia="仿宋_GB2312" w:cs="仿宋_GB2312"/>
                <w:sz w:val="20"/>
              </w:rPr>
              <w:t xml:space="preserve"> 车用汽油</w:t>
            </w: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2</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硫含量</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3</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氧含量</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4</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甲醇含量</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5</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芳烃含量</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6</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蒸气压</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bl>
    <w:p>
      <w:pPr>
        <w:adjustRightInd w:val="0"/>
        <w:snapToGrid w:val="0"/>
        <w:ind w:firstLine="300" w:firstLineChars="150"/>
        <w:rPr>
          <w:rFonts w:hint="eastAsia" w:ascii="仿宋_GB2312" w:hAnsi="仿宋_GB2312" w:eastAsia="仿宋_GB2312" w:cs="仿宋_GB2312"/>
          <w:sz w:val="20"/>
        </w:rPr>
      </w:pPr>
    </w:p>
    <w:p>
      <w:pPr>
        <w:adjustRightInd w:val="0"/>
        <w:snapToGrid w:val="0"/>
        <w:ind w:firstLine="300" w:firstLineChars="150"/>
        <w:rPr>
          <w:rFonts w:hint="eastAsia" w:ascii="仿宋_GB2312" w:hAnsi="仿宋_GB2312" w:eastAsia="仿宋_GB2312" w:cs="仿宋_GB2312"/>
          <w:sz w:val="20"/>
        </w:rPr>
      </w:pPr>
      <w:r>
        <w:rPr>
          <w:rFonts w:hint="eastAsia" w:ascii="仿宋_GB2312" w:hAnsi="仿宋_GB2312" w:eastAsia="仿宋_GB2312" w:cs="仿宋_GB2312"/>
          <w:sz w:val="20"/>
        </w:rPr>
        <w:t>（2）车用柴油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417"/>
        <w:gridCol w:w="1701"/>
        <w:gridCol w:w="709"/>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检验项目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依据法律法规或标准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非强</w:t>
            </w:r>
          </w:p>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较重</w:t>
            </w:r>
          </w:p>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要项</w:t>
            </w:r>
          </w:p>
        </w:tc>
        <w:tc>
          <w:tcPr>
            <w:tcW w:w="892" w:type="dxa"/>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1</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硫含量</w:t>
            </w:r>
          </w:p>
        </w:tc>
        <w:tc>
          <w:tcPr>
            <w:tcW w:w="1701" w:type="dxa"/>
            <w:vMerge w:val="restart"/>
            <w:noWrap w:val="0"/>
            <w:vAlign w:val="center"/>
          </w:tcPr>
          <w:p>
            <w:pPr>
              <w:adjustRightInd w:val="0"/>
              <w:snapToGrid w:val="0"/>
              <w:jc w:val="center"/>
              <w:rPr>
                <w:rFonts w:hint="eastAsia" w:ascii="仿宋_GB2312" w:hAnsi="仿宋_GB2312" w:eastAsia="仿宋_GB2312" w:cs="仿宋_GB2312"/>
                <w:sz w:val="20"/>
              </w:rPr>
            </w:pPr>
            <w:r>
              <w:rPr>
                <w:rFonts w:ascii="仿宋_GB2312" w:hAnsi="仿宋_GB2312" w:eastAsia="仿宋_GB2312" w:cs="仿宋_GB2312"/>
                <w:sz w:val="20"/>
              </w:rPr>
              <w:t>GB19147-201</w:t>
            </w:r>
            <w:r>
              <w:rPr>
                <w:rFonts w:hint="eastAsia" w:ascii="仿宋_GB2312" w:hAnsi="仿宋_GB2312" w:eastAsia="仿宋_GB2312" w:cs="仿宋_GB2312"/>
                <w:sz w:val="20"/>
              </w:rPr>
              <w:t>6</w:t>
            </w:r>
            <w:r>
              <w:rPr>
                <w:rFonts w:ascii="仿宋_GB2312" w:hAnsi="仿宋_GB2312" w:eastAsia="仿宋_GB2312" w:cs="仿宋_GB2312"/>
                <w:sz w:val="20"/>
              </w:rPr>
              <w:t>车用柴油</w:t>
            </w: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hint="eastAsia"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hint="eastAsia" w:ascii="仿宋_GB2312" w:hAnsi="仿宋_GB2312" w:eastAsia="仿宋_GB2312" w:cs="仿宋_GB2312"/>
                <w:sz w:val="20"/>
              </w:rPr>
            </w:pPr>
          </w:p>
        </w:tc>
        <w:tc>
          <w:tcPr>
            <w:tcW w:w="892" w:type="dxa"/>
            <w:noWrap w:val="0"/>
            <w:vAlign w:val="center"/>
          </w:tcPr>
          <w:p>
            <w:pPr>
              <w:adjustRightInd w:val="0"/>
              <w:snapToGrid w:val="0"/>
              <w:jc w:val="center"/>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2</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闪点（闭口）</w:t>
            </w:r>
          </w:p>
        </w:tc>
        <w:tc>
          <w:tcPr>
            <w:tcW w:w="1701" w:type="dxa"/>
            <w:vMerge w:val="continue"/>
            <w:noWrap w:val="0"/>
            <w:vAlign w:val="center"/>
          </w:tcPr>
          <w:p>
            <w:pPr>
              <w:adjustRightInd w:val="0"/>
              <w:snapToGrid w:val="0"/>
              <w:jc w:val="center"/>
              <w:rPr>
                <w:rFonts w:hint="eastAsia"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hint="eastAsia"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hint="eastAsia" w:ascii="仿宋_GB2312" w:hAnsi="仿宋_GB2312" w:eastAsia="仿宋_GB2312" w:cs="仿宋_GB2312"/>
                <w:sz w:val="20"/>
              </w:rPr>
            </w:pPr>
          </w:p>
        </w:tc>
        <w:tc>
          <w:tcPr>
            <w:tcW w:w="892" w:type="dxa"/>
            <w:noWrap w:val="0"/>
            <w:vAlign w:val="center"/>
          </w:tcPr>
          <w:p>
            <w:pPr>
              <w:adjustRightInd w:val="0"/>
              <w:snapToGrid w:val="0"/>
              <w:jc w:val="center"/>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3</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密度</w:t>
            </w:r>
          </w:p>
        </w:tc>
        <w:tc>
          <w:tcPr>
            <w:tcW w:w="1701" w:type="dxa"/>
            <w:vMerge w:val="continue"/>
            <w:noWrap w:val="0"/>
            <w:vAlign w:val="center"/>
          </w:tcPr>
          <w:p>
            <w:pPr>
              <w:adjustRightInd w:val="0"/>
              <w:snapToGrid w:val="0"/>
              <w:jc w:val="center"/>
              <w:rPr>
                <w:rFonts w:hint="eastAsia"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hint="eastAsia"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4</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馏程</w:t>
            </w:r>
          </w:p>
        </w:tc>
        <w:tc>
          <w:tcPr>
            <w:tcW w:w="1701" w:type="dxa"/>
            <w:vMerge w:val="continue"/>
            <w:noWrap w:val="0"/>
            <w:vAlign w:val="center"/>
          </w:tcPr>
          <w:p>
            <w:pPr>
              <w:adjustRightInd w:val="0"/>
              <w:snapToGrid w:val="0"/>
              <w:jc w:val="center"/>
              <w:rPr>
                <w:rFonts w:hint="eastAsia"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hint="eastAsia"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hint="eastAsia" w:ascii="仿宋_GB2312" w:hAnsi="仿宋_GB2312" w:eastAsia="仿宋_GB2312" w:cs="仿宋_GB2312"/>
                <w:sz w:val="20"/>
              </w:rPr>
            </w:pPr>
          </w:p>
        </w:tc>
      </w:tr>
    </w:tbl>
    <w:p>
      <w:pPr>
        <w:adjustRightInd w:val="0"/>
        <w:snapToGrid w:val="0"/>
        <w:rPr>
          <w:rFonts w:ascii="黑体" w:hAnsi="黑体" w:eastAsia="黑体" w:cs="黑体"/>
          <w:b/>
          <w:bCs/>
          <w:sz w:val="32"/>
          <w:szCs w:val="32"/>
        </w:rPr>
      </w:pPr>
      <w:r>
        <w:rPr>
          <w:rFonts w:hint="eastAsia" w:ascii="黑体" w:hAnsi="黑体" w:eastAsia="黑体" w:cs="黑体"/>
          <w:b/>
          <w:bCs/>
          <w:sz w:val="32"/>
          <w:szCs w:val="32"/>
        </w:rPr>
        <w:t xml:space="preserve">  </w:t>
      </w: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（3）船用燃料油</w:t>
      </w:r>
    </w:p>
    <w:tbl>
      <w:tblPr>
        <w:tblStyle w:val="14"/>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417"/>
        <w:gridCol w:w="1701"/>
        <w:gridCol w:w="709"/>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检验项目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依据法律法规或标准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非强</w:t>
            </w: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较重</w:t>
            </w: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要项</w:t>
            </w:r>
          </w:p>
        </w:tc>
        <w:tc>
          <w:tcPr>
            <w:tcW w:w="892" w:type="dxa"/>
            <w:tcBorders>
              <w:top w:val="single" w:color="auto" w:sz="4" w:space="0"/>
              <w:left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1</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硫含量</w:t>
            </w:r>
          </w:p>
        </w:tc>
        <w:tc>
          <w:tcPr>
            <w:tcW w:w="1701" w:type="dxa"/>
            <w:vMerge w:val="restart"/>
            <w:noWrap w:val="0"/>
            <w:vAlign w:val="center"/>
          </w:tcPr>
          <w:p>
            <w:pPr>
              <w:adjustRightInd w:val="0"/>
              <w:snapToGrid w:val="0"/>
              <w:jc w:val="center"/>
              <w:rPr>
                <w:rFonts w:ascii="仿宋_GB2312" w:hAnsi="仿宋_GB2312" w:eastAsia="仿宋_GB2312" w:cs="仿宋_GB2312"/>
                <w:sz w:val="20"/>
              </w:rPr>
            </w:pPr>
            <w:r>
              <w:rPr>
                <w:rFonts w:ascii="仿宋_GB2312" w:hAnsi="仿宋_GB2312" w:eastAsia="仿宋_GB2312" w:cs="仿宋_GB2312"/>
                <w:sz w:val="20"/>
              </w:rPr>
              <w:t>GB1</w:t>
            </w:r>
            <w:r>
              <w:rPr>
                <w:rFonts w:hint="eastAsia" w:ascii="仿宋_GB2312" w:hAnsi="仿宋_GB2312" w:eastAsia="仿宋_GB2312" w:cs="仿宋_GB2312"/>
                <w:sz w:val="20"/>
              </w:rPr>
              <w:t>7411</w:t>
            </w:r>
            <w:r>
              <w:rPr>
                <w:rFonts w:ascii="仿宋_GB2312" w:hAnsi="仿宋_GB2312" w:eastAsia="仿宋_GB2312" w:cs="仿宋_GB2312"/>
                <w:sz w:val="20"/>
              </w:rPr>
              <w:t>-201</w:t>
            </w:r>
            <w:r>
              <w:rPr>
                <w:rFonts w:hint="eastAsia" w:ascii="仿宋_GB2312" w:hAnsi="仿宋_GB2312" w:eastAsia="仿宋_GB2312" w:cs="仿宋_GB2312"/>
                <w:sz w:val="20"/>
              </w:rPr>
              <w:t>5船用燃料油</w:t>
            </w: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2</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闪点（闭口）</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3</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运动粘度</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4</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密度</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5</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ascii="仿宋_GB2312" w:hAnsi="仿宋_GB2312" w:eastAsia="仿宋_GB2312" w:cs="仿宋_GB2312"/>
                <w:sz w:val="20"/>
              </w:rPr>
              <w:t>10%蒸余物</w:t>
            </w:r>
            <w:r>
              <w:rPr>
                <w:rFonts w:hint="eastAsia" w:ascii="仿宋_GB2312" w:hAnsi="仿宋_GB2312" w:eastAsia="仿宋_GB2312" w:cs="仿宋_GB2312"/>
                <w:sz w:val="20"/>
              </w:rPr>
              <w:t>残炭</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bl>
    <w:p>
      <w:pPr>
        <w:adjustRightInd w:val="0"/>
        <w:snapToGrid w:val="0"/>
        <w:rPr>
          <w:rFonts w:ascii="仿宋_GB2312" w:hAnsi="仿宋_GB2312" w:eastAsia="仿宋_GB2312" w:cs="仿宋_GB2312"/>
          <w:sz w:val="20"/>
        </w:rPr>
      </w:pP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（3）车用尿素水溶液</w:t>
      </w:r>
    </w:p>
    <w:tbl>
      <w:tblPr>
        <w:tblStyle w:val="14"/>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417"/>
        <w:gridCol w:w="1701"/>
        <w:gridCol w:w="709"/>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序号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检验项目</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依据法律法规或标准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非强</w:t>
            </w: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较重</w:t>
            </w:r>
          </w:p>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要项</w:t>
            </w:r>
          </w:p>
        </w:tc>
        <w:tc>
          <w:tcPr>
            <w:tcW w:w="892" w:type="dxa"/>
            <w:tcBorders>
              <w:top w:val="single" w:color="auto" w:sz="4" w:space="0"/>
              <w:left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rPr>
            </w:pPr>
            <w:r>
              <w:rPr>
                <w:rFonts w:hint="eastAsia" w:ascii="仿宋_GB2312" w:hAnsi="仿宋_GB2312" w:eastAsia="仿宋_GB2312" w:cs="仿宋_GB2312"/>
                <w:sz w:val="20"/>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1</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尿素含量</w:t>
            </w:r>
          </w:p>
        </w:tc>
        <w:tc>
          <w:tcPr>
            <w:tcW w:w="1701" w:type="dxa"/>
            <w:vMerge w:val="restart"/>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GB 29518-2013 柴油发动机氮氧化物还原剂 尿素水溶液（AUS 32）</w:t>
            </w: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b/>
                <w:bCs/>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2</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折光率（20℃）</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b/>
                <w:bCs/>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3</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密度（20℃）</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ascii="仿宋_GB2312" w:hAnsi="仿宋_GB2312" w:eastAsia="仿宋_GB2312" w:cs="仿宋_GB2312"/>
                <w:b/>
                <w:bCs/>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4</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碱度</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5</w:t>
            </w:r>
          </w:p>
        </w:tc>
        <w:tc>
          <w:tcPr>
            <w:tcW w:w="1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eastAsia="仿宋_GB2312"/>
                <w:sz w:val="18"/>
              </w:rPr>
              <w:t>缩二脲</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6</w:t>
            </w:r>
          </w:p>
        </w:tc>
        <w:tc>
          <w:tcPr>
            <w:tcW w:w="1417" w:type="dxa"/>
            <w:noWrap w:val="0"/>
            <w:vAlign w:val="center"/>
          </w:tcPr>
          <w:p>
            <w:pPr>
              <w:spacing w:line="240" w:lineRule="exact"/>
              <w:jc w:val="center"/>
              <w:rPr>
                <w:rFonts w:ascii="仿宋_GB2312" w:eastAsia="仿宋_GB2312"/>
                <w:sz w:val="18"/>
              </w:rPr>
            </w:pPr>
            <w:r>
              <w:rPr>
                <w:rFonts w:hint="eastAsia" w:ascii="仿宋_GB2312" w:eastAsia="仿宋_GB2312"/>
                <w:sz w:val="18"/>
              </w:rPr>
              <w:t>醛类</w:t>
            </w:r>
          </w:p>
          <w:p>
            <w:pPr>
              <w:adjustRightInd w:val="0"/>
              <w:snapToGrid w:val="0"/>
              <w:jc w:val="center"/>
              <w:rPr>
                <w:rFonts w:ascii="仿宋_GB2312" w:hAnsi="仿宋_GB2312" w:eastAsia="仿宋_GB2312" w:cs="仿宋_GB2312"/>
                <w:sz w:val="20"/>
              </w:rPr>
            </w:pPr>
            <w:r>
              <w:rPr>
                <w:rFonts w:hint="eastAsia" w:ascii="仿宋_GB2312" w:eastAsia="仿宋_GB2312"/>
                <w:spacing w:val="-16"/>
                <w:sz w:val="16"/>
              </w:rPr>
              <w:t>（以HCHO计）</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7</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不溶物</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8</w:t>
            </w:r>
          </w:p>
        </w:tc>
        <w:tc>
          <w:tcPr>
            <w:tcW w:w="1417" w:type="dxa"/>
            <w:noWrap w:val="0"/>
            <w:vAlign w:val="center"/>
          </w:tcPr>
          <w:p>
            <w:pPr>
              <w:spacing w:line="240" w:lineRule="exact"/>
              <w:jc w:val="center"/>
              <w:rPr>
                <w:rFonts w:ascii="仿宋_GB2312" w:eastAsia="仿宋_GB2312"/>
                <w:sz w:val="18"/>
              </w:rPr>
            </w:pPr>
            <w:r>
              <w:rPr>
                <w:rFonts w:hint="eastAsia" w:ascii="仿宋_GB2312" w:eastAsia="仿宋_GB2312"/>
                <w:sz w:val="18"/>
              </w:rPr>
              <w:t>磷酸盐</w:t>
            </w:r>
          </w:p>
          <w:p>
            <w:pPr>
              <w:adjustRightInd w:val="0"/>
              <w:snapToGrid w:val="0"/>
              <w:jc w:val="center"/>
              <w:rPr>
                <w:rFonts w:ascii="仿宋_GB2312" w:hAnsi="仿宋_GB2312" w:eastAsia="仿宋_GB2312" w:cs="仿宋_GB2312"/>
                <w:sz w:val="20"/>
              </w:rPr>
            </w:pPr>
            <w:r>
              <w:rPr>
                <w:rFonts w:hint="eastAsia" w:ascii="仿宋_GB2312" w:eastAsia="仿宋_GB2312"/>
                <w:spacing w:val="-10"/>
                <w:sz w:val="16"/>
              </w:rPr>
              <w:t>（以PO4计）</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9</w:t>
            </w:r>
          </w:p>
        </w:tc>
        <w:tc>
          <w:tcPr>
            <w:tcW w:w="1417" w:type="dxa"/>
            <w:noWrap w:val="0"/>
            <w:vAlign w:val="center"/>
          </w:tcPr>
          <w:p>
            <w:pPr>
              <w:adjustRightInd w:val="0"/>
              <w:snapToGrid w:val="0"/>
              <w:jc w:val="center"/>
              <w:rPr>
                <w:rFonts w:ascii="仿宋_GB2312" w:hAnsi="仿宋_GB2312" w:eastAsia="仿宋_GB2312" w:cs="仿宋_GB2312"/>
                <w:sz w:val="20"/>
              </w:rPr>
            </w:pPr>
            <w:r>
              <w:rPr>
                <w:rFonts w:hint="eastAsia" w:ascii="仿宋_GB2312" w:eastAsia="仿宋_GB2312"/>
                <w:sz w:val="18"/>
              </w:rPr>
              <w:t>金属离子（钙、铁、铜、锌、铬、镍、铝、镁、钠、钾）</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p>
        </w:tc>
        <w:tc>
          <w:tcPr>
            <w:tcW w:w="992" w:type="dxa"/>
            <w:noWrap w:val="0"/>
            <w:vAlign w:val="center"/>
          </w:tcPr>
          <w:p>
            <w:pPr>
              <w:adjustRightInd w:val="0"/>
              <w:snapToGrid w:val="0"/>
              <w:jc w:val="center"/>
              <w:rPr>
                <w:rFonts w:hint="eastAsia" w:ascii="仿宋_GB2312" w:hAnsi="仿宋_GB2312" w:eastAsia="仿宋_GB2312" w:cs="仿宋_GB2312"/>
                <w:b/>
                <w:bCs/>
                <w:sz w:val="20"/>
              </w:rPr>
            </w:pPr>
            <w:r>
              <w:rPr>
                <w:rFonts w:hint="eastAsia" w:ascii="仿宋_GB2312" w:hAnsi="仿宋_GB2312" w:eastAsia="仿宋_GB2312" w:cs="仿宋_GB2312"/>
                <w:b/>
                <w:bCs/>
                <w:sz w:val="20"/>
              </w:rPr>
              <w:t>●</w:t>
            </w:r>
          </w:p>
        </w:tc>
        <w:tc>
          <w:tcPr>
            <w:tcW w:w="892" w:type="dxa"/>
            <w:noWrap w:val="0"/>
            <w:vAlign w:val="center"/>
          </w:tcPr>
          <w:p>
            <w:pPr>
              <w:adjustRightInd w:val="0"/>
              <w:snapToGrid w:val="0"/>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1</w:t>
            </w:r>
            <w:r>
              <w:rPr>
                <w:rFonts w:ascii="仿宋_GB2312" w:hAnsi="仿宋_GB2312" w:eastAsia="仿宋_GB2312" w:cs="仿宋_GB2312"/>
                <w:sz w:val="20"/>
              </w:rPr>
              <w:t>0</w:t>
            </w:r>
          </w:p>
        </w:tc>
        <w:tc>
          <w:tcPr>
            <w:tcW w:w="1417" w:type="dxa"/>
            <w:noWrap w:val="0"/>
            <w:vAlign w:val="center"/>
          </w:tcPr>
          <w:p>
            <w:pPr>
              <w:spacing w:line="240" w:lineRule="exact"/>
              <w:jc w:val="center"/>
              <w:rPr>
                <w:rFonts w:ascii="仿宋_GB2312" w:eastAsia="仿宋_GB2312"/>
                <w:sz w:val="18"/>
              </w:rPr>
            </w:pPr>
            <w:r>
              <w:rPr>
                <w:rFonts w:hint="eastAsia" w:ascii="仿宋_GB2312" w:eastAsia="仿宋_GB2312"/>
                <w:sz w:val="18"/>
              </w:rPr>
              <w:t>一致性确认</w:t>
            </w:r>
          </w:p>
        </w:tc>
        <w:tc>
          <w:tcPr>
            <w:tcW w:w="1701" w:type="dxa"/>
            <w:vMerge w:val="continue"/>
            <w:noWrap w:val="0"/>
            <w:vAlign w:val="center"/>
          </w:tcPr>
          <w:p>
            <w:pPr>
              <w:adjustRightInd w:val="0"/>
              <w:snapToGrid w:val="0"/>
              <w:jc w:val="center"/>
              <w:rPr>
                <w:rFonts w:ascii="仿宋_GB2312" w:hAnsi="仿宋_GB2312" w:eastAsia="仿宋_GB2312" w:cs="仿宋_GB2312"/>
                <w:sz w:val="20"/>
              </w:rPr>
            </w:pPr>
          </w:p>
        </w:tc>
        <w:tc>
          <w:tcPr>
            <w:tcW w:w="709" w:type="dxa"/>
            <w:noWrap w:val="0"/>
            <w:vAlign w:val="center"/>
          </w:tcPr>
          <w:p>
            <w:pPr>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w:t>
            </w:r>
          </w:p>
        </w:tc>
        <w:tc>
          <w:tcPr>
            <w:tcW w:w="851" w:type="dxa"/>
            <w:noWrap w:val="0"/>
            <w:vAlign w:val="center"/>
          </w:tcPr>
          <w:p>
            <w:pPr>
              <w:adjustRightInd w:val="0"/>
              <w:snapToGrid w:val="0"/>
              <w:jc w:val="center"/>
              <w:rPr>
                <w:rFonts w:ascii="仿宋_GB2312" w:hAnsi="仿宋_GB2312" w:eastAsia="仿宋_GB2312" w:cs="仿宋_GB2312"/>
                <w:sz w:val="20"/>
              </w:rPr>
            </w:pPr>
          </w:p>
        </w:tc>
        <w:tc>
          <w:tcPr>
            <w:tcW w:w="850" w:type="dxa"/>
            <w:noWrap w:val="0"/>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w:t>
            </w:r>
          </w:p>
        </w:tc>
        <w:tc>
          <w:tcPr>
            <w:tcW w:w="992" w:type="dxa"/>
            <w:noWrap w:val="0"/>
            <w:vAlign w:val="center"/>
          </w:tcPr>
          <w:p>
            <w:pPr>
              <w:adjustRightInd w:val="0"/>
              <w:snapToGrid w:val="0"/>
              <w:jc w:val="center"/>
              <w:rPr>
                <w:rFonts w:hint="eastAsia" w:ascii="仿宋_GB2312" w:hAnsi="仿宋_GB2312" w:eastAsia="仿宋_GB2312" w:cs="仿宋_GB2312"/>
                <w:b/>
                <w:bCs/>
                <w:sz w:val="20"/>
              </w:rPr>
            </w:pPr>
          </w:p>
        </w:tc>
        <w:tc>
          <w:tcPr>
            <w:tcW w:w="892" w:type="dxa"/>
            <w:noWrap w:val="0"/>
            <w:vAlign w:val="center"/>
          </w:tcPr>
          <w:p>
            <w:pPr>
              <w:adjustRightInd w:val="0"/>
              <w:snapToGrid w:val="0"/>
              <w:jc w:val="center"/>
              <w:rPr>
                <w:rFonts w:ascii="仿宋_GB2312" w:hAnsi="仿宋_GB2312" w:eastAsia="仿宋_GB2312" w:cs="仿宋_GB2312"/>
                <w:sz w:val="20"/>
              </w:rPr>
            </w:pPr>
          </w:p>
        </w:tc>
      </w:tr>
    </w:tbl>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六、本细则未明确的监督抽查抽样检验相关技术规范，均按照《产品质量监督抽查管理暂行办法》（国家市场监督管理总局第18号令）、《产品质量监督抽查抽样检验技术服务规范》（T/GDAQI 020-2020）规定执行。</w:t>
      </w:r>
    </w:p>
    <w:p>
      <w:pPr>
        <w:widowControl/>
        <w:adjustRightInd w:val="0"/>
        <w:snapToGrid w:val="0"/>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被抽样生产者、销售者对检验结论有异议的，应提出书面复检申请并阐明理由，向</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市场监督管理局提出，由</w:t>
      </w:r>
      <w:r>
        <w:rPr>
          <w:rFonts w:hint="eastAsia" w:ascii="仿宋_GB2312" w:hAnsi="仿宋_GB2312" w:eastAsia="仿宋_GB2312" w:cs="仿宋_GB2312"/>
          <w:kern w:val="0"/>
          <w:sz w:val="32"/>
          <w:szCs w:val="32"/>
          <w:lang w:eastAsia="zh-CN"/>
        </w:rPr>
        <w:t>汕尾市</w:t>
      </w:r>
      <w:r>
        <w:rPr>
          <w:rFonts w:hint="eastAsia" w:ascii="仿宋_GB2312" w:hAnsi="仿宋_GB2312" w:eastAsia="仿宋_GB2312" w:cs="仿宋_GB2312"/>
          <w:kern w:val="0"/>
          <w:sz w:val="32"/>
          <w:szCs w:val="32"/>
        </w:rPr>
        <w:t>市场监督管理局依法依规处理。</w:t>
      </w:r>
    </w:p>
    <w:sectPr>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im Sun">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6280"/>
    <w:rsid w:val="04291697"/>
    <w:rsid w:val="07E72A9A"/>
    <w:rsid w:val="177059C8"/>
    <w:rsid w:val="27CA24A7"/>
    <w:rsid w:val="30A50EFC"/>
    <w:rsid w:val="30AD3876"/>
    <w:rsid w:val="37BA3E4C"/>
    <w:rsid w:val="47376280"/>
    <w:rsid w:val="4D270217"/>
    <w:rsid w:val="50585FC4"/>
    <w:rsid w:val="57891ACB"/>
    <w:rsid w:val="6B3E7BA5"/>
    <w:rsid w:val="76557992"/>
    <w:rsid w:val="79A0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33"/>
    <w:qFormat/>
    <w:uiPriority w:val="0"/>
    <w:pPr>
      <w:jc w:val="left"/>
    </w:pPr>
  </w:style>
  <w:style w:type="paragraph" w:styleId="5">
    <w:name w:val="Body Text"/>
    <w:basedOn w:val="1"/>
    <w:link w:val="26"/>
    <w:uiPriority w:val="0"/>
    <w:pPr>
      <w:spacing w:after="120" w:afterLines="0" w:afterAutospacing="0"/>
    </w:pPr>
  </w:style>
  <w:style w:type="paragraph" w:styleId="6">
    <w:name w:val="Body Text Indent"/>
    <w:basedOn w:val="1"/>
    <w:link w:val="40"/>
    <w:qFormat/>
    <w:uiPriority w:val="0"/>
    <w:pPr>
      <w:spacing w:after="120" w:afterLines="0" w:afterAutospacing="0"/>
      <w:ind w:left="420" w:leftChars="200"/>
    </w:pPr>
  </w:style>
  <w:style w:type="paragraph" w:styleId="7">
    <w:name w:val="Balloon Text"/>
    <w:basedOn w:val="1"/>
    <w:link w:val="31"/>
    <w:qFormat/>
    <w:uiPriority w:val="0"/>
    <w:rPr>
      <w:sz w:val="18"/>
    </w:rPr>
  </w:style>
  <w:style w:type="paragraph" w:styleId="8">
    <w:name w:val="footer"/>
    <w:basedOn w:val="1"/>
    <w:link w:val="32"/>
    <w:qFormat/>
    <w:uiPriority w:val="0"/>
    <w:pPr>
      <w:tabs>
        <w:tab w:val="center" w:pos="4153"/>
        <w:tab w:val="right" w:pos="8306"/>
      </w:tabs>
      <w:snapToGrid w:val="0"/>
      <w:jc w:val="left"/>
    </w:pPr>
    <w:rPr>
      <w:sz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link w:val="29"/>
    <w:qFormat/>
    <w:uiPriority w:val="0"/>
    <w:pPr>
      <w:spacing w:after="120" w:afterLines="0" w:afterAutospacing="0"/>
      <w:ind w:left="420" w:leftChars="200"/>
    </w:pPr>
    <w:rPr>
      <w:sz w:val="16"/>
    </w:rPr>
  </w:style>
  <w:style w:type="paragraph" w:styleId="11">
    <w:name w:val="Title"/>
    <w:basedOn w:val="1"/>
    <w:link w:val="28"/>
    <w:qFormat/>
    <w:uiPriority w:val="0"/>
    <w:pPr>
      <w:spacing w:before="240" w:beforeLines="0" w:beforeAutospacing="0" w:after="60" w:afterLines="0" w:afterAutospacing="0"/>
      <w:jc w:val="center"/>
      <w:outlineLvl w:val="0"/>
    </w:pPr>
    <w:rPr>
      <w:rFonts w:ascii="Arial" w:hAnsi="Arial"/>
      <w:b/>
      <w:sz w:val="32"/>
    </w:rPr>
  </w:style>
  <w:style w:type="paragraph" w:styleId="12">
    <w:name w:val="annotation subject"/>
    <w:basedOn w:val="4"/>
    <w:next w:val="4"/>
    <w:link w:val="24"/>
    <w:qFormat/>
    <w:uiPriority w:val="0"/>
    <w:rPr>
      <w:b/>
    </w:rPr>
  </w:style>
  <w:style w:type="paragraph" w:styleId="13">
    <w:name w:val="Body Text First Indent"/>
    <w:basedOn w:val="5"/>
    <w:link w:val="39"/>
    <w:qFormat/>
    <w:uiPriority w:val="0"/>
    <w:pPr>
      <w:ind w:firstLine="420" w:firstLineChars="100"/>
    </w:pPr>
  </w:style>
  <w:style w:type="table" w:styleId="15">
    <w:name w:val="Table Grid"/>
    <w:basedOn w:val="1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FollowedHyperlink"/>
    <w:basedOn w:val="16"/>
    <w:qFormat/>
    <w:uiPriority w:val="0"/>
    <w:rPr>
      <w:color w:val="800080"/>
      <w:u w:val="single"/>
    </w:rPr>
  </w:style>
  <w:style w:type="character" w:styleId="18">
    <w:name w:val="HTML Typewriter"/>
    <w:basedOn w:val="16"/>
    <w:qFormat/>
    <w:uiPriority w:val="0"/>
    <w:rPr>
      <w:rFonts w:ascii="Courier New" w:hAnsi="Courier New" w:eastAsia="Times New Roman" w:cs="Times New Roman"/>
      <w:sz w:val="20"/>
    </w:rPr>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 Char Char10"/>
    <w:basedOn w:val="16"/>
    <w:link w:val="3"/>
    <w:qFormat/>
    <w:uiPriority w:val="0"/>
    <w:rPr>
      <w:rFonts w:ascii="Arial" w:hAnsi="Arial" w:eastAsia="黑体" w:cs="Arial"/>
      <w:b/>
      <w:kern w:val="2"/>
      <w:sz w:val="32"/>
      <w:szCs w:val="32"/>
      <w:lang w:val="en-US" w:eastAsia="zh-CN" w:bidi="ar"/>
    </w:rPr>
  </w:style>
  <w:style w:type="character" w:customStyle="1" w:styleId="22">
    <w:name w:val=" Char Char9"/>
    <w:basedOn w:val="16"/>
    <w:link w:val="9"/>
    <w:qFormat/>
    <w:uiPriority w:val="0"/>
    <w:rPr>
      <w:rFonts w:hint="eastAsia" w:ascii="宋体" w:hAnsi="宋体" w:eastAsia="宋体" w:cs="宋体"/>
      <w:kern w:val="2"/>
      <w:sz w:val="18"/>
      <w:szCs w:val="18"/>
      <w:lang w:val="en-US" w:eastAsia="zh-CN" w:bidi="ar"/>
    </w:rPr>
  </w:style>
  <w:style w:type="character" w:customStyle="1" w:styleId="23">
    <w:name w:val="Title Char"/>
    <w:basedOn w:val="16"/>
    <w:qFormat/>
    <w:uiPriority w:val="0"/>
    <w:rPr>
      <w:rFonts w:hint="default" w:ascii="Arial" w:hAnsi="Arial" w:eastAsia="宋体" w:cs="Arial"/>
      <w:b/>
      <w:sz w:val="32"/>
    </w:rPr>
  </w:style>
  <w:style w:type="character" w:customStyle="1" w:styleId="24">
    <w:name w:val=" Char Char4"/>
    <w:basedOn w:val="16"/>
    <w:link w:val="12"/>
    <w:qFormat/>
    <w:uiPriority w:val="0"/>
    <w:rPr>
      <w:rFonts w:hint="eastAsia" w:ascii="宋体" w:hAnsi="宋体" w:eastAsia="宋体" w:cs="宋体"/>
      <w:b/>
      <w:kern w:val="2"/>
      <w:sz w:val="21"/>
      <w:szCs w:val="24"/>
      <w:lang w:val="en-US" w:eastAsia="zh-CN" w:bidi="ar"/>
    </w:rPr>
  </w:style>
  <w:style w:type="character" w:customStyle="1" w:styleId="25">
    <w:name w:val="Char Char2"/>
    <w:basedOn w:val="16"/>
    <w:qFormat/>
    <w:uiPriority w:val="0"/>
    <w:rPr>
      <w:rFonts w:hint="eastAsia" w:ascii="宋体" w:hAnsi="宋体" w:eastAsia="宋体" w:cs="宋体"/>
      <w:kern w:val="2"/>
      <w:sz w:val="28"/>
      <w:lang w:val="en-US" w:eastAsia="zh-CN"/>
    </w:rPr>
  </w:style>
  <w:style w:type="character" w:customStyle="1" w:styleId="26">
    <w:name w:val=" Char Char3"/>
    <w:basedOn w:val="16"/>
    <w:link w:val="5"/>
    <w:qFormat/>
    <w:uiPriority w:val="0"/>
    <w:rPr>
      <w:rFonts w:hint="default" w:ascii="Calibri" w:hAnsi="Calibri" w:eastAsia="宋体" w:cs="Calibri"/>
      <w:kern w:val="2"/>
      <w:sz w:val="21"/>
      <w:szCs w:val="22"/>
      <w:lang w:val="en-US" w:eastAsia="zh-CN" w:bidi="ar"/>
    </w:rPr>
  </w:style>
  <w:style w:type="character" w:customStyle="1" w:styleId="27">
    <w:name w:val=" Char Char11"/>
    <w:basedOn w:val="16"/>
    <w:link w:val="2"/>
    <w:qFormat/>
    <w:uiPriority w:val="0"/>
    <w:rPr>
      <w:rFonts w:hint="eastAsia" w:ascii="宋体" w:hAnsi="宋体" w:eastAsia="宋体" w:cs="宋体"/>
      <w:kern w:val="2"/>
      <w:sz w:val="28"/>
      <w:lang w:val="en-US" w:eastAsia="zh-CN" w:bidi="ar"/>
    </w:rPr>
  </w:style>
  <w:style w:type="character" w:customStyle="1" w:styleId="28">
    <w:name w:val=" Char Char"/>
    <w:basedOn w:val="16"/>
    <w:link w:val="11"/>
    <w:qFormat/>
    <w:uiPriority w:val="0"/>
    <w:rPr>
      <w:rFonts w:hint="default" w:ascii="Arial" w:hAnsi="Arial" w:eastAsia="宋体" w:cs="Arial"/>
      <w:b/>
      <w:sz w:val="32"/>
      <w:lang w:val="en-US" w:eastAsia="zh-CN" w:bidi="ar"/>
    </w:rPr>
  </w:style>
  <w:style w:type="character" w:customStyle="1" w:styleId="29">
    <w:name w:val=" Char Char7"/>
    <w:basedOn w:val="16"/>
    <w:link w:val="10"/>
    <w:qFormat/>
    <w:uiPriority w:val="0"/>
    <w:rPr>
      <w:rFonts w:hint="eastAsia" w:ascii="宋体" w:hAnsi="宋体" w:eastAsia="宋体" w:cs="宋体"/>
      <w:kern w:val="2"/>
      <w:sz w:val="21"/>
      <w:szCs w:val="21"/>
      <w:lang w:val="en-US" w:eastAsia="zh-CN" w:bidi="ar"/>
    </w:rPr>
  </w:style>
  <w:style w:type="character" w:customStyle="1" w:styleId="30">
    <w:name w:val="clabel1"/>
    <w:basedOn w:val="16"/>
    <w:qFormat/>
    <w:uiPriority w:val="0"/>
    <w:rPr>
      <w:color w:val="FF0000"/>
    </w:rPr>
  </w:style>
  <w:style w:type="character" w:customStyle="1" w:styleId="31">
    <w:name w:val=" Char Char8"/>
    <w:basedOn w:val="16"/>
    <w:link w:val="7"/>
    <w:qFormat/>
    <w:uiPriority w:val="0"/>
    <w:rPr>
      <w:rFonts w:hint="eastAsia" w:ascii="宋体" w:hAnsi="宋体" w:eastAsia="宋体" w:cs="宋体"/>
      <w:kern w:val="2"/>
      <w:sz w:val="18"/>
      <w:szCs w:val="18"/>
      <w:lang w:bidi="ar"/>
    </w:rPr>
  </w:style>
  <w:style w:type="character" w:customStyle="1" w:styleId="32">
    <w:name w:val=" Char Char6"/>
    <w:basedOn w:val="16"/>
    <w:link w:val="8"/>
    <w:qFormat/>
    <w:uiPriority w:val="0"/>
    <w:rPr>
      <w:rFonts w:hint="eastAsia" w:ascii="宋体" w:hAnsi="宋体" w:eastAsia="宋体" w:cs="宋体"/>
      <w:kern w:val="2"/>
      <w:sz w:val="18"/>
      <w:szCs w:val="18"/>
      <w:lang w:val="en-US" w:eastAsia="zh-CN" w:bidi="ar"/>
    </w:rPr>
  </w:style>
  <w:style w:type="character" w:customStyle="1" w:styleId="33">
    <w:name w:val=" Char Char5"/>
    <w:basedOn w:val="16"/>
    <w:link w:val="4"/>
    <w:qFormat/>
    <w:uiPriority w:val="0"/>
    <w:rPr>
      <w:rFonts w:hint="eastAsia" w:ascii="宋体" w:hAnsi="宋体" w:eastAsia="宋体" w:cs="宋体"/>
      <w:kern w:val="2"/>
      <w:sz w:val="21"/>
      <w:szCs w:val="24"/>
      <w:lang w:val="en-US" w:eastAsia="zh-CN" w:bidi="ar"/>
    </w:rPr>
  </w:style>
  <w:style w:type="character" w:customStyle="1" w:styleId="34">
    <w:name w:val="Header Char"/>
    <w:basedOn w:val="16"/>
    <w:qFormat/>
    <w:uiPriority w:val="0"/>
    <w:rPr>
      <w:rFonts w:hint="default" w:ascii="Times New Roman" w:hAnsi="Times New Roman" w:cs="Times New Roman"/>
      <w:sz w:val="18"/>
      <w:szCs w:val="18"/>
    </w:rPr>
  </w:style>
  <w:style w:type="character" w:customStyle="1" w:styleId="35">
    <w:name w:val="px14"/>
    <w:basedOn w:val="16"/>
    <w:qFormat/>
    <w:uiPriority w:val="0"/>
  </w:style>
  <w:style w:type="character" w:customStyle="1" w:styleId="36">
    <w:name w:val="注释"/>
    <w:basedOn w:val="16"/>
    <w:qFormat/>
    <w:uiPriority w:val="0"/>
    <w:rPr>
      <w:rFonts w:hint="default" w:ascii="Times New Roman" w:hAnsi="Times New Roman" w:eastAsia="宋体" w:cs="Times New Roman"/>
      <w:sz w:val="18"/>
    </w:rPr>
  </w:style>
  <w:style w:type="character" w:customStyle="1" w:styleId="37">
    <w:name w:val="一级条标题 Char"/>
    <w:basedOn w:val="16"/>
    <w:qFormat/>
    <w:uiPriority w:val="0"/>
    <w:rPr>
      <w:rFonts w:hint="eastAsia" w:ascii="黑体" w:hAnsi="Calibri" w:eastAsia="黑体" w:cs="黑体"/>
      <w:lang w:bidi="ar"/>
    </w:rPr>
  </w:style>
  <w:style w:type="character" w:customStyle="1" w:styleId="38">
    <w:name w:val="Balloon Text Char"/>
    <w:basedOn w:val="16"/>
    <w:qFormat/>
    <w:uiPriority w:val="0"/>
    <w:rPr>
      <w:rFonts w:hint="eastAsia" w:ascii="宋体" w:hAnsi="宋体" w:eastAsia="宋体" w:cs="宋体"/>
      <w:sz w:val="18"/>
    </w:rPr>
  </w:style>
  <w:style w:type="character" w:customStyle="1" w:styleId="39">
    <w:name w:val=" Char Char2"/>
    <w:basedOn w:val="16"/>
    <w:link w:val="13"/>
    <w:qFormat/>
    <w:uiPriority w:val="0"/>
    <w:rPr>
      <w:rFonts w:hint="eastAsia" w:ascii="宋体" w:hAnsi="宋体" w:eastAsia="宋体" w:cs="宋体"/>
      <w:kern w:val="2"/>
      <w:sz w:val="21"/>
      <w:szCs w:val="24"/>
      <w:lang w:val="en-US" w:eastAsia="zh-CN" w:bidi="ar"/>
    </w:rPr>
  </w:style>
  <w:style w:type="character" w:customStyle="1" w:styleId="40">
    <w:name w:val=" Char Char1"/>
    <w:basedOn w:val="16"/>
    <w:link w:val="6"/>
    <w:qFormat/>
    <w:uiPriority w:val="0"/>
    <w:rPr>
      <w:rFonts w:hint="eastAsia" w:ascii="宋体" w:hAnsi="宋体" w:eastAsia="宋体" w:cs="宋体"/>
      <w:kern w:val="2"/>
      <w:sz w:val="21"/>
      <w:szCs w:val="24"/>
      <w:lang w:val="en-US" w:eastAsia="zh-CN" w:bidi="ar"/>
    </w:rPr>
  </w:style>
  <w:style w:type="character" w:customStyle="1" w:styleId="41">
    <w:name w:val="标题 Char1"/>
    <w:basedOn w:val="16"/>
    <w:qFormat/>
    <w:uiPriority w:val="0"/>
    <w:rPr>
      <w:rFonts w:hint="default" w:ascii="Cambria" w:hAnsi="Cambria" w:eastAsia="宋体" w:cs="Times New Roman"/>
      <w:b/>
      <w:sz w:val="32"/>
      <w:szCs w:val="32"/>
    </w:rPr>
  </w:style>
  <w:style w:type="character" w:customStyle="1" w:styleId="42">
    <w:name w:val="Char Char22"/>
    <w:basedOn w:val="16"/>
    <w:qFormat/>
    <w:uiPriority w:val="0"/>
    <w:rPr>
      <w:rFonts w:hint="eastAsia" w:ascii="宋体" w:hAnsi="宋体" w:eastAsia="宋体" w:cs="宋体"/>
      <w:kern w:val="2"/>
      <w:sz w:val="28"/>
      <w:lang w:val="en-US" w:eastAsia="zh-CN"/>
    </w:rPr>
  </w:style>
  <w:style w:type="character" w:customStyle="1" w:styleId="43">
    <w:name w:val="Char Char21"/>
    <w:basedOn w:val="16"/>
    <w:qFormat/>
    <w:uiPriority w:val="0"/>
    <w:rPr>
      <w:rFonts w:hint="eastAsia" w:ascii="宋体" w:hAnsi="宋体" w:eastAsia="宋体" w:cs="宋体"/>
      <w:kern w:val="2"/>
      <w:sz w:val="28"/>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2020-03-25T02:04:00Z</dcterms:created>
  <dc:creator>李文湘</dc:creator>
  <cp:lastModifiedBy>李文湘</cp:lastModifiedBy>
  <cp:lastPrinted>2020-06-11T08:35:00Z</cp:lastPrinted>
  <dcterms:modified xsi:type="dcterms:W3CDTF">2021-08-17T08:05:13Z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