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汕尾市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珠宝贵金属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产品质量监督抽查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实施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细则</w:t>
      </w:r>
    </w:p>
    <w:p>
      <w:pPr>
        <w:spacing w:line="600" w:lineRule="exact"/>
        <w:jc w:val="left"/>
        <w:rPr>
          <w:b/>
          <w:bCs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实施方案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由汕尾市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市场监督管理局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制定，适用于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汕尾市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市场监督管理局组织的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珠宝贵金属产品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质量监督抽查的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抽样、检验工作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一、监督抽查的产品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（一）抽查产品：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珠宝玉石饰品、贵金属饰品、贵金属镶嵌珠宝玉石饰品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。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（二）监督总体：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汕尾市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生产及流通领域与抽取的样品同一标称生产者或商标、同一标准、同一型号（规格）的产品集合。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二、抽样检验程序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（一）《产品质量监督抽查管理暂行办法》（国家市场监督管理总局令第18号）。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（二）T/GDAQI 020-2020《产品质量监督抽查抽样检验技术服务规范》。</w:t>
      </w:r>
    </w:p>
    <w:p>
      <w:pPr>
        <w:spacing w:line="600" w:lineRule="exact"/>
        <w:ind w:firstLine="600" w:firstLineChars="200"/>
        <w:jc w:val="left"/>
        <w:rPr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（三）承检机构在抽样、复检程序中根据实际情况及检验程序的法定性与有效性予以补充。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三、抽样方案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（一）样品数量。每款产品抽取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组样本，第1组用于检验，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无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备用。每组样品需抽取样品数量如下表所示：</w:t>
      </w:r>
    </w:p>
    <w:tbl>
      <w:tblPr>
        <w:tblStyle w:val="3"/>
        <w:tblW w:w="8850" w:type="dxa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465"/>
        <w:gridCol w:w="2370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Cs w:val="32"/>
              </w:rPr>
            </w:pPr>
            <w:r>
              <w:rPr>
                <w:color w:val="auto"/>
                <w:szCs w:val="32"/>
              </w:rPr>
              <w:t>序号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Cs w:val="32"/>
              </w:rPr>
            </w:pPr>
            <w:r>
              <w:rPr>
                <w:color w:val="auto"/>
                <w:szCs w:val="32"/>
              </w:rPr>
              <w:t>产品名称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Cs w:val="32"/>
              </w:rPr>
            </w:pPr>
            <w:r>
              <w:rPr>
                <w:color w:val="auto"/>
                <w:szCs w:val="32"/>
              </w:rPr>
              <w:t>第1组数量</w:t>
            </w:r>
          </w:p>
        </w:tc>
        <w:tc>
          <w:tcPr>
            <w:tcW w:w="21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auto"/>
                <w:szCs w:val="32"/>
              </w:rPr>
            </w:pPr>
            <w:r>
              <w:rPr>
                <w:color w:val="auto"/>
                <w:szCs w:val="32"/>
              </w:rPr>
              <w:t>第2组数量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  <w:szCs w:val="32"/>
              </w:rPr>
            </w:pPr>
            <w:r>
              <w:rPr>
                <w:color w:val="auto"/>
                <w:szCs w:val="32"/>
              </w:rPr>
              <w:t>1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color w:val="auto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lang w:eastAsia="zh-CN"/>
              </w:rPr>
              <w:t>珠宝玉石饰品、贵金属饰品、贵金属镶嵌珠宝玉石饰品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color w:val="auto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Cs w:val="32"/>
                <w:lang w:val="en-US" w:eastAsia="zh-CN"/>
              </w:rPr>
              <w:t>1件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color w:val="auto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Cs w:val="32"/>
                <w:lang w:val="en-US" w:eastAsia="zh-CN"/>
              </w:rPr>
              <w:t>0件</w:t>
            </w:r>
          </w:p>
        </w:tc>
      </w:tr>
    </w:tbl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（二）抽样方法。确定抽样名单、选择被抽样对象时，应符合T/GDAQI 020-2020《产品质量监督抽查抽样检验技术服务规范》5.3.3.3和第6章抽样的相关要求。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封样要求：抽取的样品应当场封样，由抽样单位抽样人员、被抽样市场主体签字确认，每款产品的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组样品分别封样，抽样机构应采取防拆封措施。样品全部带回实验室。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四、检验依据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（一）产品标准。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GB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11887-2012 首饰  贵金属纯度的规定及命名方法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GB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11887-2012 首饰  贵金属纯度的规定及命名方法 第1号修订单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GB 28480-2012  饰品 有害元素限量的规定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GB/T 16552－2017  珠宝玉石 名称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GB/T 16553－2017  珠宝玉石 鉴定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GB/T 31912－2015  饰品 标识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GB/T 18043-2013  首饰 贵金属含量的测定  X射线荧光光谱法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GB/T 9288－2006  金合金首饰  金含量的测定  灰吹法（火试金法）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GB/T 21198.6－2007  贵金属合金首饰中贵金属含量的测定ICP光谱法  第6部分： 差减法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GB/T 17832－2008  银合金首饰 银含量的测定 溴化钾容量法（电位滴定法）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GB/T 28020-2011  饰品 有害元素的测定 X射线荧光光谱法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GB/T 28021-2011  饰品 有害元素的测定 光谱法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GB/T 19720-2005  铂合金首饰 铂、钯含量的测定 氯铂酸铵重量法和丁二酮重量法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QB/T 1690-2004  贵金属饰品质量测量允差的规定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QB/T 2062－2015   贵金属饰品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现行有效的企业标准、团体标准、地方标准及产品明示质量要求</w:t>
      </w:r>
    </w:p>
    <w:p>
      <w:pPr>
        <w:spacing w:line="600" w:lineRule="exact"/>
        <w:ind w:firstLine="600" w:firstLineChars="200"/>
        <w:jc w:val="left"/>
        <w:rPr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二）涉及本类产品质量判定相关法律法规、国家有关规定。主要包括《中华人民共和国产品质量法》《中华人民共和国消费者权益保护法》《产品质量监督抽查管理暂行办法》《广东省查处生产销售假冒伪劣产品违法行为条例》等法律法规规章及《广东省市场监督管理局产品质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监督抽查工作指导意见（试行）》（粤市监质监〔2019〕494号）。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五、主要检验项目及不合格类别的划分指标</w:t>
      </w:r>
    </w:p>
    <w:p>
      <w:pPr>
        <w:spacing w:line="600" w:lineRule="exact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21"/>
          <w:szCs w:val="21"/>
        </w:rPr>
        <w:t>贵金属饰品</w:t>
      </w:r>
    </w:p>
    <w:tbl>
      <w:tblPr>
        <w:tblStyle w:val="3"/>
        <w:tblW w:w="9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018"/>
        <w:gridCol w:w="1711"/>
        <w:gridCol w:w="983"/>
        <w:gridCol w:w="1045"/>
        <w:gridCol w:w="881"/>
        <w:gridCol w:w="1106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tblHeader/>
          <w:jc w:val="center"/>
        </w:trPr>
        <w:tc>
          <w:tcPr>
            <w:tcW w:w="80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序号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检验项目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rFonts w:ascii="仿宋_GB2312"/>
                <w:b w:val="0"/>
                <w:bCs/>
                <w:sz w:val="20"/>
              </w:rPr>
            </w:pPr>
            <w:r>
              <w:rPr>
                <w:rFonts w:hint="eastAsia" w:ascii="宋体" w:hAnsi="宋体" w:cs="黑体"/>
                <w:b w:val="0"/>
                <w:bCs/>
                <w:sz w:val="18"/>
              </w:rPr>
              <w:t>依据法律法规或标准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强制性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非强制性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重要项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bCs/>
                <w:color w:val="000000"/>
                <w:sz w:val="20"/>
              </w:rPr>
              <w:t>较重要项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color w:val="000000"/>
                <w:sz w:val="20"/>
              </w:rPr>
              <w:t>次要项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1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贵金属材料及含量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GB 11887-2012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●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0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sz w:val="20"/>
              </w:rPr>
              <w:t>●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2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有害元素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GB 28480-2012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●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0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●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3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质量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QB/T 1690-2004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0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●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0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sz w:val="20"/>
              </w:rPr>
              <w:t>●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4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印记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GB 11887-2012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●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0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●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5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标签及其他标识物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生产、批发企业的产品不检该项目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）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GB 11887-2012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●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0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0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●</w:t>
            </w:r>
          </w:p>
        </w:tc>
      </w:tr>
    </w:tbl>
    <w:p>
      <w:pPr>
        <w:spacing w:line="600" w:lineRule="exact"/>
        <w:rPr>
          <w:rFonts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</w:rPr>
        <w:t>贵金属镶嵌珠宝玉石饰品</w:t>
      </w:r>
    </w:p>
    <w:tbl>
      <w:tblPr>
        <w:tblStyle w:val="3"/>
        <w:tblW w:w="9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993"/>
        <w:gridCol w:w="1724"/>
        <w:gridCol w:w="946"/>
        <w:gridCol w:w="1035"/>
        <w:gridCol w:w="882"/>
        <w:gridCol w:w="110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序号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依据法律法规或标准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强制性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非强制性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重要项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较重要项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次要项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/>
                <w:sz w:val="21"/>
                <w:szCs w:val="21"/>
              </w:rPr>
              <w:t>1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贵金属材料及含量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GB 11887-2012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●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/>
                <w:sz w:val="21"/>
                <w:szCs w:val="21"/>
              </w:rPr>
              <w:t>2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有害元素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GB 28480-2012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●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/>
                <w:sz w:val="21"/>
                <w:szCs w:val="21"/>
              </w:rPr>
              <w:t>3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珠宝玉石定名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GB/T 16552-2017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●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●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/>
                <w:sz w:val="21"/>
                <w:szCs w:val="21"/>
              </w:rPr>
              <w:t>4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质量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GB/T 1655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-2017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●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/>
                <w:sz w:val="21"/>
                <w:szCs w:val="21"/>
              </w:rPr>
              <w:t>5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印记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GB 11887-2012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6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标签及其他标识物（</w:t>
            </w:r>
            <w:r>
              <w:rPr>
                <w:rFonts w:hint="eastAsia" w:ascii="宋体" w:hAnsi="宋体"/>
                <w:sz w:val="18"/>
                <w:szCs w:val="18"/>
              </w:rPr>
              <w:t>生产、批发企业的产品不检该项目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GB/T 16552-2017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●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●</w:t>
            </w:r>
          </w:p>
        </w:tc>
      </w:tr>
    </w:tbl>
    <w:p>
      <w:pPr>
        <w:spacing w:line="600" w:lineRule="exact"/>
        <w:rPr>
          <w:rFonts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</w:rPr>
        <w:t>珠宝玉石饰品</w:t>
      </w:r>
    </w:p>
    <w:tbl>
      <w:tblPr>
        <w:tblStyle w:val="3"/>
        <w:tblW w:w="9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993"/>
        <w:gridCol w:w="1724"/>
        <w:gridCol w:w="946"/>
        <w:gridCol w:w="1035"/>
        <w:gridCol w:w="882"/>
        <w:gridCol w:w="110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序号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依据法律法规或标准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强制性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非强制性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重要项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较重要项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次要项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1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珠宝玉石定名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GB/T 16552-2017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/>
                <w:sz w:val="20"/>
              </w:rPr>
              <w:t>●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/>
                <w:sz w:val="20"/>
              </w:rPr>
              <w:t>●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2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质量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GB/T 1655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-2017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/>
                <w:sz w:val="20"/>
              </w:rPr>
              <w:t>●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/>
                <w:sz w:val="20"/>
              </w:rPr>
              <w:t>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3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标签及其他标识物（</w:t>
            </w:r>
            <w:r>
              <w:rPr>
                <w:rFonts w:hint="eastAsia" w:ascii="宋体" w:hAnsi="宋体"/>
                <w:sz w:val="18"/>
                <w:szCs w:val="18"/>
              </w:rPr>
              <w:t>生产、批发企业的产品不检该项目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GB/T 16552-2017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/>
                <w:sz w:val="20"/>
              </w:rPr>
              <w:t>●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/>
                <w:sz w:val="20"/>
              </w:rPr>
              <w:t>●</w:t>
            </w:r>
          </w:p>
        </w:tc>
      </w:tr>
    </w:tbl>
    <w:p>
      <w:pPr>
        <w:widowControl/>
        <w:adjustRightInd w:val="0"/>
        <w:snapToGrid w:val="0"/>
        <w:spacing w:line="600" w:lineRule="exact"/>
        <w:ind w:left="0" w:leftChars="0" w:firstLine="640" w:firstLineChars="200"/>
        <w:rPr>
          <w:rFonts w:ascii="仿宋_GB2312" w:hAnsi="仿宋_GB2312" w:cs="仿宋_GB2312"/>
          <w:kern w:val="0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六、本实施细则未明确的监督抽查抽样检验相关技术规范，均按照《产品质量监督抽查管理暂行办法》（国家市场监督管理总局第18号令）、《产品质量监督抽查抽样检验技术服务规范》（T/GDAQI 020-2020）规定执行。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被抽样生产者、销售者对检验结论有异议的，应提出书面复检申请并阐明理由，向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汕尾市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市场监督管理局提出，由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汕尾市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市场监督管理局依法依规处理。</w:t>
      </w:r>
    </w:p>
    <w:p>
      <w:pPr>
        <w:spacing w:line="520" w:lineRule="exact"/>
        <w:ind w:firstLine="420" w:firstLineChars="200"/>
        <w:rPr>
          <w:rFonts w:hint="default" w:ascii="仿宋_GB2312" w:hAnsi="仿宋_GB2312" w:cs="仿宋_GB2312"/>
          <w:kern w:val="0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im 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E274C"/>
    <w:rsid w:val="1A8E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2021-08-13T01:17:00Z</dcterms:created>
  <dc:creator>一位不愿透露姓名的ARMY.LXZ</dc:creator>
  <cp:lastModifiedBy>一位不愿透露姓名的ARMY.LXZ</cp:lastModifiedBy>
  <dcterms:modified xsi:type="dcterms:W3CDTF">2021-08-13T01:19:45Z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372C75BAE0B94A9CB57B8076D0530BB2</vt:lpwstr>
  </property>
</Properties>
</file>