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9"/>
        <w:rPr>
          <w:rFonts w:hint="eastAsia" w:ascii="方正小标宋简体" w:hAnsi="方正小标宋简体" w:eastAsia="方正小标宋简体" w:cs="方正小标宋简体"/>
          <w:b w:val="0"/>
          <w:bCs w:val="0"/>
          <w:color w:val="auto"/>
          <w:sz w:val="44"/>
          <w:lang w:eastAsia="zh-CN"/>
        </w:rPr>
      </w:pP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9"/>
        <w:rPr>
          <w:rFonts w:hint="eastAsia" w:ascii="方正小标宋简体" w:hAnsi="方正小标宋简体" w:eastAsia="方正小标宋简体" w:cs="方正小标宋简体"/>
          <w:b w:val="0"/>
          <w:bCs w:val="0"/>
          <w:color w:val="auto"/>
          <w:sz w:val="44"/>
          <w:lang w:eastAsia="zh-CN"/>
        </w:rPr>
      </w:pP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9"/>
        <w:rPr>
          <w:rFonts w:hint="default" w:ascii="方正小标宋简体" w:hAnsi="方正小标宋简体" w:eastAsia="方正小标宋简体"/>
          <w:b/>
          <w:bCs/>
          <w:color w:val="auto"/>
          <w:sz w:val="44"/>
        </w:rPr>
      </w:pPr>
      <w:r>
        <w:rPr>
          <w:rFonts w:hint="eastAsia" w:ascii="方正小标宋简体" w:hAnsi="方正小标宋简体" w:eastAsia="方正小标宋简体" w:cs="方正小标宋简体"/>
          <w:b w:val="0"/>
          <w:bCs w:val="0"/>
          <w:color w:val="auto"/>
          <w:sz w:val="44"/>
          <w:lang w:eastAsia="zh-CN"/>
        </w:rPr>
        <w:t>汕尾</w:t>
      </w:r>
      <w:r>
        <w:rPr>
          <w:rFonts w:hint="eastAsia" w:ascii="方正小标宋简体" w:hAnsi="方正小标宋简体" w:eastAsia="方正小标宋简体" w:cs="方正小标宋简体"/>
          <w:b w:val="0"/>
          <w:bCs w:val="0"/>
          <w:color w:val="auto"/>
          <w:sz w:val="44"/>
        </w:rPr>
        <w:t>市户外广告和招牌设置管理办法</w:t>
      </w:r>
    </w:p>
    <w:p>
      <w:pPr>
        <w:spacing w:beforeLines="0" w:afterLines="0"/>
        <w:jc w:val="center"/>
        <w:rPr>
          <w:rFonts w:hint="eastAsia" w:ascii="方正小标宋简体" w:hAnsi="方正小标宋简体" w:eastAsia="宋体"/>
          <w:b/>
          <w:bCs/>
          <w:color w:val="auto"/>
          <w:sz w:val="44"/>
          <w:lang w:eastAsia="zh-CN"/>
        </w:rPr>
      </w:pPr>
      <w:r>
        <w:rPr>
          <w:rFonts w:hint="eastAsia" w:ascii="仿宋_GB2312" w:hAnsi="仿宋_GB2312" w:eastAsia="仿宋_GB2312" w:cs="仿宋_GB2312"/>
          <w:b/>
          <w:bCs/>
          <w:color w:val="auto"/>
          <w:sz w:val="40"/>
          <w:szCs w:val="18"/>
          <w:lang w:eastAsia="zh-CN"/>
        </w:rPr>
        <w:t>（</w:t>
      </w:r>
      <w:r>
        <w:rPr>
          <w:rFonts w:hint="eastAsia" w:ascii="仿宋_GB2312" w:hAnsi="仿宋_GB2312" w:eastAsia="仿宋_GB2312" w:cs="仿宋_GB2312"/>
          <w:b/>
          <w:bCs/>
          <w:color w:val="auto"/>
          <w:sz w:val="40"/>
          <w:szCs w:val="18"/>
          <w:lang w:val="en-US" w:eastAsia="zh-CN"/>
        </w:rPr>
        <w:t>征求意见</w:t>
      </w:r>
      <w:r>
        <w:rPr>
          <w:rFonts w:hint="eastAsia" w:ascii="仿宋_GB2312" w:hAnsi="仿宋_GB2312" w:eastAsia="仿宋_GB2312" w:cs="仿宋_GB2312"/>
          <w:b/>
          <w:bCs/>
          <w:color w:val="auto"/>
          <w:sz w:val="40"/>
          <w:szCs w:val="18"/>
          <w:lang w:eastAsia="zh-CN"/>
        </w:rPr>
        <w:t>稿）</w:t>
      </w:r>
    </w:p>
    <w:p>
      <w:pPr>
        <w:spacing w:beforeLines="0" w:afterLines="0"/>
        <w:jc w:val="left"/>
        <w:rPr>
          <w:rFonts w:hint="default" w:ascii="黑体" w:hAnsi="黑体" w:eastAsia="黑体"/>
          <w:color w:val="auto"/>
          <w:sz w:val="32"/>
        </w:rPr>
      </w:pP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第一条</w:t>
      </w:r>
      <w:r>
        <w:rPr>
          <w:rFonts w:hint="eastAsia" w:ascii="黑体" w:hAnsi="黑体" w:eastAsia="黑体"/>
          <w:color w:val="auto"/>
          <w:sz w:val="32"/>
          <w:lang w:val="en-US" w:eastAsia="zh-CN"/>
        </w:rPr>
        <w:t xml:space="preserve"> </w:t>
      </w:r>
      <w:r>
        <w:rPr>
          <w:rFonts w:hint="default" w:ascii="仿宋" w:hAnsi="仿宋" w:eastAsia="仿宋"/>
          <w:color w:val="auto"/>
          <w:sz w:val="32"/>
        </w:rPr>
        <w:t>为加强户外广告和招牌设置管理，创造规范有序、整洁优美的市容环境，根据《中华人民共和国广告法》《中华人民共和国城乡规划法》《城市市容和环境卫生管理条例》</w:t>
      </w:r>
      <w:r>
        <w:rPr>
          <w:rFonts w:hint="eastAsia" w:ascii="仿宋" w:hAnsi="仿宋" w:eastAsia="仿宋"/>
          <w:color w:val="auto"/>
          <w:sz w:val="32"/>
          <w:lang w:eastAsia="zh-CN"/>
        </w:rPr>
        <w:t>《公路法》《公路安全保护条例》《广东省交通运输厅关于公路两侧广告标牌设施的管理办法》《汕尾市城市市容和环境卫生管理条例》</w:t>
      </w:r>
      <w:r>
        <w:rPr>
          <w:rFonts w:hint="default" w:ascii="仿宋" w:hAnsi="仿宋" w:eastAsia="仿宋"/>
          <w:color w:val="auto"/>
          <w:sz w:val="32"/>
        </w:rPr>
        <w:t>等有关法律、法规的规定，结合本市实际，制定本办法。</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第二条</w:t>
      </w:r>
      <w:r>
        <w:rPr>
          <w:rFonts w:hint="eastAsia" w:ascii="黑体" w:hAnsi="黑体" w:eastAsia="黑体"/>
          <w:color w:val="auto"/>
          <w:sz w:val="32"/>
          <w:lang w:val="en-US" w:eastAsia="zh-CN"/>
        </w:rPr>
        <w:t xml:space="preserve"> </w:t>
      </w:r>
      <w:r>
        <w:rPr>
          <w:rFonts w:hint="default" w:ascii="仿宋" w:hAnsi="仿宋" w:eastAsia="仿宋"/>
          <w:color w:val="auto"/>
          <w:sz w:val="32"/>
        </w:rPr>
        <w:t>本市行政区域内城市、镇建成区以及县级以上人民政府划定并公布的实行城市化管理的其他区域的户外广告和招牌的设置及其监督管理</w:t>
      </w:r>
      <w:r>
        <w:rPr>
          <w:rFonts w:hint="eastAsia" w:ascii="仿宋" w:hAnsi="仿宋" w:eastAsia="仿宋"/>
          <w:color w:val="auto"/>
          <w:sz w:val="32"/>
          <w:lang w:eastAsia="zh-CN"/>
        </w:rPr>
        <w:t>；交通运输主管部门管辖的公路及其两侧广告标牌设施的设置，按公路法律法规及其有关规定执行，</w:t>
      </w:r>
      <w:r>
        <w:rPr>
          <w:rFonts w:hint="default" w:ascii="仿宋" w:hAnsi="仿宋" w:eastAsia="仿宋"/>
          <w:color w:val="auto"/>
          <w:sz w:val="32"/>
        </w:rPr>
        <w:t>适用本办法。</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三</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户外广告和招牌设置应当遵循统一规划、安全规范、节能环保、文明美观的原则。</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四</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 w:hAnsi="仿宋" w:eastAsia="仿宋"/>
          <w:color w:val="auto"/>
          <w:sz w:val="32"/>
          <w:lang w:eastAsia="zh-CN"/>
        </w:rPr>
        <w:t>住房和城乡建设主管部门</w:t>
      </w:r>
      <w:r>
        <w:rPr>
          <w:rFonts w:hint="default" w:ascii="仿宋" w:hAnsi="仿宋" w:eastAsia="仿宋"/>
          <w:color w:val="auto"/>
          <w:sz w:val="32"/>
        </w:rPr>
        <w:t>依照职权划分，负责辖区内户外广告和招牌设置的监督管理工作。</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自然资源、住房和城乡建设、交通运输、公安、市场监管、生态环境</w:t>
      </w:r>
      <w:r>
        <w:rPr>
          <w:rFonts w:hint="eastAsia" w:ascii="仿宋" w:hAnsi="仿宋" w:eastAsia="仿宋"/>
          <w:color w:val="auto"/>
          <w:sz w:val="32"/>
          <w:lang w:eastAsia="zh-CN"/>
        </w:rPr>
        <w:t>、城市管理和执法</w:t>
      </w:r>
      <w:r>
        <w:rPr>
          <w:rFonts w:hint="default" w:ascii="仿宋" w:hAnsi="仿宋" w:eastAsia="仿宋"/>
          <w:color w:val="auto"/>
          <w:sz w:val="32"/>
        </w:rPr>
        <w:t>等有关部门按照各自职责做好户外广告和招牌设置的相关管理工作。</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五</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建筑工地围挡可以按照相关规定用于公益宣传，不得发布商业广告。</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六</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招牌设置人应当按照招牌设置规范、指引设置招牌，并应当遵守下列规定：</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（一）每个店铺设置一个招牌；有多个临街立面的，每个临街立面可以设置一个，设置风格应当统一；</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（二）内容仅限于标明招牌设置人的名称、字号、标识；</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（三）多个单位共用一个场所或者一个建筑物内有多个单位的，设置招牌应当由该场所、建筑物的所有权人或者管理人在建筑物内（大型商业综合体在建筑红线范围内）统一规划、集中设置；</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（四）在同一道路或同一街区相邻建筑物上的户外招牌，其形式、体量、色彩、照明效果等应当达到整体和谐；同一个建筑立面上相邻招牌的类型、大小、悬挂位置、出挑尺寸应当一致。</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（五）招牌应当在二层窗檐以下设置，不得多层设置；</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（六）历史文化保护区、历史建筑核心保护范围等重点区域以及城市主要道路两侧的招牌应当统一规范，体现特有的文化或者风格；</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lang w:eastAsia="zh-CN"/>
        </w:rPr>
      </w:pPr>
      <w:r>
        <w:rPr>
          <w:rFonts w:hint="default" w:ascii="仿宋" w:hAnsi="仿宋" w:eastAsia="仿宋"/>
          <w:color w:val="auto"/>
          <w:sz w:val="32"/>
        </w:rPr>
        <w:t>（七）不得设置悬挂式招牌</w:t>
      </w:r>
      <w:r>
        <w:rPr>
          <w:rFonts w:hint="eastAsia" w:ascii="仿宋" w:hAnsi="仿宋" w:eastAsia="仿宋"/>
          <w:color w:val="auto"/>
          <w:sz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lang w:val="en-US" w:eastAsia="zh-CN"/>
        </w:rPr>
      </w:pPr>
      <w:r>
        <w:rPr>
          <w:rFonts w:hint="eastAsia" w:ascii="仿宋" w:hAnsi="仿宋" w:eastAsia="仿宋"/>
          <w:color w:val="auto"/>
          <w:sz w:val="32"/>
          <w:lang w:val="en-US" w:eastAsia="zh-CN"/>
        </w:rPr>
        <w:t>（八</w:t>
      </w:r>
      <w:r>
        <w:rPr>
          <w:rFonts w:hint="eastAsia" w:ascii="仿宋" w:hAnsi="仿宋" w:eastAsia="仿宋"/>
          <w:color w:val="auto"/>
          <w:sz w:val="32"/>
          <w:szCs w:val="22"/>
          <w:lang w:val="en-US" w:eastAsia="zh-CN"/>
        </w:rPr>
        <w:t>）设计图案、颜色与交通标志有明显区别，不得混淆和干扰交通标志的使用。</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七</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有下列情形之一的，不得设置户外广告：</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（一）利用或者遮挡指路牌、交通信号灯、电子监控等交通安全设施、交通标识及其支架的；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（二）霓虹灯、LED等光源性广告设施与交通信号灯、电子监控设施距离过近，户外广告设施的形式与交通安全设施、交通标识相似，影响交通安全设施、交通标识正常使用的；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（三）延伸扩展至道路上方、或者跨越道路的；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（四）利用行道树、绿化带、道路照明设施、电线杆、路名牌、公共座椅，侵占、损毁绿地，占用机动车道、人行道路面或者阻碍机动车、行人通行的；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（五）利用立交、高架道路桥梁、危房、违章建筑的；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（六）破坏建筑物、构筑物结构安全，影响市政公共设施、无障碍设施使用的；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（七）利用建筑物屋顶外轮廓线以外空间的；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（八）利用住宅建筑或综合建筑的住宅部分的；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（九）在国家机关、风景名胜区、文物保护单位等建筑控制地带的；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（十）属立柱式广告设施的；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（十一）影响消防安全设施使用，妨碍消防车通行以及影响逃生、灭火救援和消防登高扑救的；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（十二）利用堤防、水库大坝和河道湖泊等管理区域影响水利工程和行洪安全的；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szCs w:val="22"/>
          <w:lang w:eastAsia="zh-CN"/>
        </w:rPr>
      </w:pPr>
      <w:r>
        <w:rPr>
          <w:rFonts w:hint="eastAsia" w:ascii="仿宋" w:hAnsi="仿宋" w:eastAsia="仿宋"/>
          <w:color w:val="auto"/>
          <w:sz w:val="32"/>
          <w:lang w:eastAsia="zh-CN"/>
        </w:rPr>
        <w:t>（十</w:t>
      </w:r>
      <w:r>
        <w:rPr>
          <w:rFonts w:hint="eastAsia" w:ascii="仿宋" w:hAnsi="仿宋" w:eastAsia="仿宋"/>
          <w:color w:val="auto"/>
          <w:sz w:val="32"/>
          <w:szCs w:val="22"/>
          <w:lang w:eastAsia="zh-CN"/>
        </w:rPr>
        <w:t>三）</w:t>
      </w:r>
      <w:r>
        <w:rPr>
          <w:rFonts w:hint="eastAsia" w:ascii="仿宋" w:hAnsi="仿宋" w:eastAsia="仿宋"/>
          <w:color w:val="auto"/>
          <w:sz w:val="32"/>
          <w:szCs w:val="22"/>
          <w:lang w:val="en-US" w:eastAsia="zh-CN"/>
        </w:rPr>
        <w:t>在公路及其两侧禁止设置广告标牌设施和非公路标志区域的；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szCs w:val="22"/>
        </w:rPr>
        <w:t>（十</w:t>
      </w:r>
      <w:r>
        <w:rPr>
          <w:rFonts w:hint="eastAsia" w:ascii="仿宋" w:hAnsi="仿宋" w:eastAsia="仿宋"/>
          <w:color w:val="auto"/>
          <w:sz w:val="32"/>
          <w:szCs w:val="22"/>
          <w:lang w:eastAsia="zh-CN"/>
        </w:rPr>
        <w:t>四</w:t>
      </w:r>
      <w:r>
        <w:rPr>
          <w:rFonts w:hint="default" w:ascii="仿宋" w:hAnsi="仿宋" w:eastAsia="仿宋"/>
          <w:color w:val="auto"/>
          <w:sz w:val="32"/>
          <w:szCs w:val="22"/>
        </w:rPr>
        <w:t>）法</w:t>
      </w:r>
      <w:r>
        <w:rPr>
          <w:rFonts w:hint="default" w:ascii="仿宋" w:hAnsi="仿宋" w:eastAsia="仿宋"/>
          <w:color w:val="auto"/>
          <w:sz w:val="32"/>
        </w:rPr>
        <w:t>律、法规、规章和户外广告设置规划禁止设置户外广告的其他情形。</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八</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公益广告设施应当统一规划，并由</w:t>
      </w:r>
      <w:r>
        <w:rPr>
          <w:rFonts w:hint="eastAsia" w:ascii="仿宋" w:hAnsi="仿宋" w:eastAsia="仿宋"/>
          <w:color w:val="auto"/>
          <w:sz w:val="32"/>
          <w:lang w:eastAsia="zh-CN"/>
        </w:rPr>
        <w:t>市、县、区</w:t>
      </w:r>
      <w:r>
        <w:rPr>
          <w:rFonts w:hint="eastAsia" w:ascii="仿宋" w:hAnsi="仿宋" w:eastAsia="仿宋"/>
          <w:color w:val="auto"/>
          <w:sz w:val="32"/>
          <w:szCs w:val="22"/>
          <w:highlight w:val="none"/>
          <w:u w:val="none"/>
          <w:lang w:eastAsia="zh-CN"/>
        </w:rPr>
        <w:t>住房和城乡建设或</w:t>
      </w:r>
      <w:r>
        <w:rPr>
          <w:rFonts w:hint="eastAsia" w:ascii="仿宋" w:hAnsi="仿宋" w:eastAsia="仿宋"/>
          <w:color w:val="auto"/>
          <w:sz w:val="32"/>
          <w:lang w:eastAsia="zh-CN"/>
        </w:rPr>
        <w:t>者城市管理和执法</w:t>
      </w:r>
      <w:r>
        <w:rPr>
          <w:rFonts w:hint="eastAsia" w:ascii="仿宋" w:hAnsi="仿宋" w:eastAsia="仿宋"/>
          <w:color w:val="auto"/>
          <w:sz w:val="32"/>
          <w:szCs w:val="22"/>
          <w:highlight w:val="none"/>
          <w:u w:val="none"/>
          <w:lang w:eastAsia="zh-CN"/>
        </w:rPr>
        <w:t>部门</w:t>
      </w:r>
      <w:r>
        <w:rPr>
          <w:rFonts w:hint="default" w:ascii="仿宋" w:hAnsi="仿宋" w:eastAsia="仿宋"/>
          <w:color w:val="auto"/>
          <w:sz w:val="32"/>
        </w:rPr>
        <w:t>统筹管理。</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经规划设置的公益广告专用设施，不得发布商业广告。</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w:t>
      </w:r>
      <w:r>
        <w:rPr>
          <w:rFonts w:hint="eastAsia" w:ascii="黑体" w:hAnsi="黑体" w:eastAsia="黑体"/>
          <w:color w:val="auto"/>
          <w:sz w:val="32"/>
          <w:lang w:eastAsia="zh-CN"/>
        </w:rPr>
        <w:t>九</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设置大型户外广告的，应当经依法批准后方可设置。</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设置非大型户外广告的，不得影响市容。</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本办法所称大型户外广告，是指非临时设置户外广告设施的任意边长不少于四米或者面积十平方米以上的广告。</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第十条</w:t>
      </w:r>
      <w:r>
        <w:rPr>
          <w:rFonts w:hint="eastAsia" w:ascii="黑体" w:hAnsi="黑体" w:eastAsia="黑体"/>
          <w:color w:val="auto"/>
          <w:sz w:val="32"/>
          <w:lang w:val="en-US" w:eastAsia="zh-CN"/>
        </w:rPr>
        <w:t xml:space="preserve"> </w:t>
      </w:r>
      <w:r>
        <w:rPr>
          <w:rFonts w:hint="default" w:ascii="仿宋" w:hAnsi="仿宋" w:eastAsia="仿宋"/>
          <w:color w:val="auto"/>
          <w:sz w:val="32"/>
        </w:rPr>
        <w:t>申请设置大型户外广告，申请人应当提交下列材料：</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（一）户外广告设置申请表；</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（二）户外广告设置单位营业执照或者其他设置主体合法有效的文件；</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（三）设置户外广告的场地、建（构）筑物、设施的所有权、使用权证件或有效文件；</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（四）拟设置的户外广告全景电脑设计图；</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（五）与户外广告设施相适应的安全措施有关材料和《安全责任承诺书》；</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（六）法律、法规、规章规定提供的其他材料。</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第十一条</w:t>
      </w:r>
      <w:r>
        <w:rPr>
          <w:rFonts w:hint="eastAsia" w:ascii="黑体" w:hAnsi="黑体" w:eastAsia="黑体"/>
          <w:color w:val="auto"/>
          <w:sz w:val="32"/>
          <w:lang w:val="en-US" w:eastAsia="zh-CN"/>
        </w:rPr>
        <w:t xml:space="preserve"> </w:t>
      </w:r>
      <w:r>
        <w:rPr>
          <w:rFonts w:hint="default" w:ascii="仿宋" w:hAnsi="仿宋" w:eastAsia="仿宋"/>
          <w:color w:val="auto"/>
          <w:sz w:val="32"/>
        </w:rPr>
        <w:t>利用公共资源设置户外广告设施的，应当通过招标、拍卖、挂牌等公平竞争方式取得设置权。</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第十二条</w:t>
      </w:r>
      <w:r>
        <w:rPr>
          <w:rFonts w:hint="eastAsia" w:ascii="黑体" w:hAnsi="黑体" w:eastAsia="黑体"/>
          <w:color w:val="auto"/>
          <w:sz w:val="32"/>
          <w:lang w:val="en-US" w:eastAsia="zh-CN"/>
        </w:rPr>
        <w:t xml:space="preserve"> </w:t>
      </w:r>
      <w:r>
        <w:rPr>
          <w:rFonts w:hint="default" w:ascii="仿宋" w:hAnsi="仿宋" w:eastAsia="仿宋"/>
          <w:color w:val="auto"/>
          <w:sz w:val="32"/>
        </w:rPr>
        <w:t>大型户外广告设置的有效期限不超过三年，具体期限根据申请要求、户外广告设置场所使用期限、户外广告设施设计使用年限、城市管理要求等因素合理确定。</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大型户外广告有效期限届满设置人申请延续有效期限的，应当于有效期届满三十日前向</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房和城乡建设或者城市管理和执法部门</w:t>
      </w:r>
      <w:r>
        <w:rPr>
          <w:rFonts w:hint="default" w:ascii="仿宋" w:hAnsi="仿宋" w:eastAsia="仿宋"/>
          <w:color w:val="auto"/>
          <w:sz w:val="32"/>
        </w:rPr>
        <w:t>提出申请，</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房和城乡建设或者城市管理和执法部门</w:t>
      </w:r>
      <w:r>
        <w:rPr>
          <w:rFonts w:hint="default" w:ascii="仿宋" w:hAnsi="仿宋" w:eastAsia="仿宋"/>
          <w:color w:val="auto"/>
          <w:sz w:val="32"/>
        </w:rPr>
        <w:t>应当在有效期限届满前依法审查并作出是否批准延续的决定，准予延续的，每次延续期限与初始批准有效期限相同。</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szCs w:val="22"/>
        </w:rPr>
      </w:pPr>
      <w:r>
        <w:rPr>
          <w:rFonts w:hint="eastAsia" w:ascii="仿宋" w:hAnsi="仿宋" w:eastAsia="仿宋"/>
          <w:color w:val="auto"/>
          <w:sz w:val="32"/>
          <w:szCs w:val="22"/>
          <w:lang w:val="en-US" w:eastAsia="zh-CN"/>
        </w:rPr>
        <w:t>通过招标、拍卖、挂牌取得的户外广告设置权，其收益纳入财政预算收入。其中市辖区户外广告设置权，市、区按收益六四分成。</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通过招标、拍卖、挂牌取得的户外广告设置权有效期限届满三个月前，重新组织招标、拍卖、挂牌。</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大型户外广告设置期限届满未延续的，户外广告设置人应当自设置期限届满之日起十日内拆除户外广告设施。</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户外广告有效期限内，应当按照有关规定发布公益广告。</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三</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房和城乡建设或者城市管理和执法部门</w:t>
      </w:r>
      <w:r>
        <w:rPr>
          <w:rFonts w:hint="default" w:ascii="仿宋" w:hAnsi="仿宋" w:eastAsia="仿宋"/>
          <w:color w:val="auto"/>
          <w:sz w:val="32"/>
        </w:rPr>
        <w:t>应当自受理临时户外广告设置申请之日起五个工作日内作出是否批准的决定。</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临时户外广告设置的有效期限应当与批准的活动期限一致，最长不得超过三个月。</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临时设置的户外广告设施，设置人应当在户外广告有效期届满之日起三日内拆除。</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四</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房和城乡建设或者城市管理和执法部门</w:t>
      </w:r>
      <w:r>
        <w:rPr>
          <w:rFonts w:hint="default" w:ascii="仿宋" w:hAnsi="仿宋" w:eastAsia="仿宋"/>
          <w:color w:val="auto"/>
          <w:sz w:val="32"/>
        </w:rPr>
        <w:t>应当建立日常巡查、检查制度，及时发现、处理户外广告设置违法行为。</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五</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行政机关工作人员在户外广告管理中滥用职权、玩忽职守、徇私舞弊、索贿受贿，有下列行为之一的，由其所在单位或者上级主管部门责令改正，情节严重的，依法给予处分；构成犯罪的，依法追究刑事责任：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（一）对不符合法定条件的申请予以批准或者超越法定职权作出批准决定的；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（二）对符合法定条件的申请不予批准或者不在法定期限内作出批准决定的；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（三）依法应当根据招标、拍卖、挂牌结果择优作出准予行政许可决定，未经招标、拍卖、挂牌或者不根据招标、拍卖、挂牌结果择优作出准予行政许可决定的；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（四）在受理、审查、决定行政许可过程中，未向申请人、利害关系人履行法定告知义务的；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（五）未依法履行监管职责的；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（六）法律、法规规定的其他职务违法行为。</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六</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违反本办法第</w:t>
      </w:r>
      <w:r>
        <w:rPr>
          <w:rFonts w:hint="eastAsia" w:ascii="仿宋" w:hAnsi="仿宋" w:eastAsia="仿宋"/>
          <w:color w:val="auto"/>
          <w:sz w:val="32"/>
          <w:lang w:eastAsia="zh-CN"/>
        </w:rPr>
        <w:t>七</w:t>
      </w:r>
      <w:r>
        <w:rPr>
          <w:rFonts w:hint="default" w:ascii="仿宋" w:hAnsi="仿宋" w:eastAsia="仿宋"/>
          <w:color w:val="auto"/>
          <w:sz w:val="32"/>
        </w:rPr>
        <w:t>条规定，有关法律、法规、规章已规定法律责任的，从其规定；法律、法规、规章未规定法律责任的，依照本办法的规定执行。</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七</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设置户外广告有下列行为之一，且不符合城市容貌标准的，由</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房和城乡建设或者城市管理和执法部门</w:t>
      </w:r>
      <w:r>
        <w:rPr>
          <w:rFonts w:hint="default" w:ascii="仿宋" w:hAnsi="仿宋" w:eastAsia="仿宋"/>
          <w:color w:val="auto"/>
          <w:sz w:val="32"/>
        </w:rPr>
        <w:t>依照《城市市容和环境卫生管理条例》第三十七条规定执行：</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（一）利用电线杆、路名牌、公共座椅的；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（二）利用危房、违章建筑的；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（三）影响无障碍设施使用的；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（四）利用建筑物屋顶外轮廓线以外空间的；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（五）利用住宅建筑或者综合建筑的住宅部分的；</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仿宋" w:hAnsi="仿宋" w:eastAsia="仿宋"/>
          <w:color w:val="auto"/>
          <w:sz w:val="32"/>
        </w:rPr>
        <w:t>（六）不符合城市容貌标准的其他设置户外广告的行为。</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八</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未经批准擅自设置大型或临时户外广告，或者有效期届满后未拆除的，由</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房和城乡建设或者城市管理和执法等</w:t>
      </w:r>
      <w:r>
        <w:rPr>
          <w:rFonts w:hint="eastAsia" w:ascii="仿宋" w:hAnsi="仿宋" w:eastAsia="仿宋"/>
          <w:color w:val="auto"/>
          <w:sz w:val="32"/>
          <w:lang w:eastAsia="zh-CN"/>
        </w:rPr>
        <w:t>部门依照《城市市容和环境卫生管理条例》第三十六条的规定予以处罚</w:t>
      </w:r>
      <w:r>
        <w:rPr>
          <w:rFonts w:hint="default" w:ascii="仿宋" w:hAnsi="仿宋" w:eastAsia="仿宋"/>
          <w:color w:val="auto"/>
          <w:sz w:val="32"/>
        </w:rPr>
        <w:t>。</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default" w:ascii="仿宋" w:hAnsi="仿宋" w:eastAsia="仿宋"/>
          <w:color w:val="auto"/>
          <w:sz w:val="32"/>
        </w:rPr>
      </w:pPr>
      <w:r>
        <w:rPr>
          <w:rFonts w:hint="default" w:ascii="黑体" w:hAnsi="黑体" w:eastAsia="黑体"/>
          <w:color w:val="auto"/>
          <w:sz w:val="32"/>
        </w:rPr>
        <w:t>第十</w:t>
      </w:r>
      <w:r>
        <w:rPr>
          <w:rFonts w:hint="eastAsia" w:ascii="黑体" w:hAnsi="黑体" w:eastAsia="黑体"/>
          <w:color w:val="auto"/>
          <w:sz w:val="32"/>
          <w:lang w:eastAsia="zh-CN"/>
        </w:rPr>
        <w:t>九</w:t>
      </w:r>
      <w:r>
        <w:rPr>
          <w:rFonts w:hint="default" w:ascii="黑体" w:hAnsi="黑体" w:eastAsia="黑体"/>
          <w:color w:val="auto"/>
          <w:sz w:val="32"/>
        </w:rPr>
        <w:t>条</w:t>
      </w:r>
      <w:r>
        <w:rPr>
          <w:rFonts w:hint="eastAsia" w:ascii="黑体" w:hAnsi="黑体" w:eastAsia="黑体"/>
          <w:color w:val="auto"/>
          <w:sz w:val="32"/>
          <w:lang w:val="en-US" w:eastAsia="zh-CN"/>
        </w:rPr>
        <w:t xml:space="preserve"> </w:t>
      </w:r>
      <w:r>
        <w:rPr>
          <w:rFonts w:hint="default" w:ascii="仿宋" w:hAnsi="仿宋" w:eastAsia="仿宋"/>
          <w:color w:val="auto"/>
          <w:sz w:val="32"/>
        </w:rPr>
        <w:t>违反本办法第</w:t>
      </w:r>
      <w:r>
        <w:rPr>
          <w:rFonts w:hint="eastAsia" w:ascii="仿宋" w:hAnsi="仿宋" w:eastAsia="仿宋"/>
          <w:color w:val="auto"/>
          <w:sz w:val="32"/>
          <w:lang w:eastAsia="zh-CN"/>
        </w:rPr>
        <w:t>九</w:t>
      </w:r>
      <w:r>
        <w:rPr>
          <w:rFonts w:hint="default" w:ascii="仿宋" w:hAnsi="仿宋" w:eastAsia="仿宋"/>
          <w:color w:val="auto"/>
          <w:sz w:val="32"/>
        </w:rPr>
        <w:t>条第二款规定，设置非大型户外广告影响市容的，由</w:t>
      </w:r>
      <w:r>
        <w:rPr>
          <w:rFonts w:hint="eastAsia" w:ascii="仿宋" w:hAnsi="仿宋" w:eastAsia="仿宋"/>
          <w:color w:val="auto"/>
          <w:sz w:val="32"/>
          <w:lang w:eastAsia="zh-CN"/>
        </w:rPr>
        <w:t>市、县、区</w:t>
      </w:r>
      <w:r>
        <w:rPr>
          <w:rFonts w:hint="eastAsia" w:ascii="仿宋" w:hAnsi="仿宋" w:eastAsia="仿宋"/>
          <w:color w:val="auto"/>
          <w:sz w:val="32"/>
          <w:szCs w:val="22"/>
          <w:lang w:eastAsia="zh-CN"/>
        </w:rPr>
        <w:t>住</w:t>
      </w:r>
      <w:r>
        <w:rPr>
          <w:rFonts w:hint="eastAsia" w:ascii="仿宋" w:hAnsi="仿宋" w:eastAsia="仿宋"/>
          <w:color w:val="auto"/>
          <w:sz w:val="32"/>
          <w:lang w:eastAsia="zh-CN"/>
        </w:rPr>
        <w:t>房和城乡建设或者城市管理和执法等</w:t>
      </w:r>
      <w:r>
        <w:rPr>
          <w:rFonts w:hint="eastAsia" w:ascii="仿宋" w:hAnsi="仿宋" w:eastAsia="仿宋"/>
          <w:color w:val="auto"/>
          <w:sz w:val="32"/>
          <w:lang w:eastAsia="zh-CN"/>
        </w:rPr>
        <w:t>部门依照《汕尾市城市市容和环境卫生管理条例》第五十条第七款的规定予以处罚</w:t>
      </w:r>
      <w:r>
        <w:rPr>
          <w:rFonts w:hint="default" w:ascii="仿宋" w:hAnsi="仿宋" w:eastAsia="仿宋"/>
          <w:color w:val="auto"/>
          <w:sz w:val="32"/>
        </w:rPr>
        <w:t>。</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highlight w:val="none"/>
          <w:lang w:eastAsia="zh-CN"/>
        </w:rPr>
      </w:pPr>
      <w:r>
        <w:rPr>
          <w:rFonts w:hint="default" w:ascii="黑体" w:hAnsi="黑体" w:eastAsia="黑体"/>
          <w:color w:val="auto"/>
          <w:sz w:val="32"/>
          <w:highlight w:val="none"/>
        </w:rPr>
        <w:t>第</w:t>
      </w:r>
      <w:r>
        <w:rPr>
          <w:rFonts w:hint="eastAsia" w:ascii="黑体" w:hAnsi="黑体" w:eastAsia="黑体"/>
          <w:color w:val="auto"/>
          <w:sz w:val="32"/>
          <w:highlight w:val="none"/>
          <w:lang w:eastAsia="zh-CN"/>
        </w:rPr>
        <w:t>二</w:t>
      </w:r>
      <w:r>
        <w:rPr>
          <w:rFonts w:hint="default" w:ascii="黑体" w:hAnsi="黑体" w:eastAsia="黑体"/>
          <w:color w:val="auto"/>
          <w:sz w:val="32"/>
          <w:highlight w:val="none"/>
        </w:rPr>
        <w:t>十条</w:t>
      </w:r>
      <w:r>
        <w:rPr>
          <w:rFonts w:hint="eastAsia" w:ascii="黑体" w:hAnsi="黑体" w:eastAsia="黑体"/>
          <w:color w:val="auto"/>
          <w:sz w:val="32"/>
          <w:highlight w:val="none"/>
          <w:lang w:val="en-US" w:eastAsia="zh-CN"/>
        </w:rPr>
        <w:t xml:space="preserve"> </w:t>
      </w:r>
      <w:r>
        <w:rPr>
          <w:rFonts w:hint="default" w:ascii="仿宋" w:hAnsi="仿宋" w:eastAsia="仿宋"/>
          <w:color w:val="auto"/>
          <w:sz w:val="32"/>
          <w:highlight w:val="none"/>
        </w:rPr>
        <w:t>本办法自</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 xml:space="preserve">    </w:t>
      </w:r>
      <w:r>
        <w:rPr>
          <w:rFonts w:hint="eastAsia" w:ascii="Times New Roman" w:hAnsi="Times New Roman"/>
          <w:color w:val="auto"/>
          <w:sz w:val="32"/>
          <w:highlight w:val="none"/>
          <w:lang w:eastAsia="zh-CN"/>
        </w:rPr>
        <w:t>）</w:t>
      </w:r>
      <w:r>
        <w:rPr>
          <w:rFonts w:hint="default" w:ascii="仿宋" w:hAnsi="仿宋" w:eastAsia="仿宋"/>
          <w:color w:val="auto"/>
          <w:sz w:val="32"/>
          <w:highlight w:val="none"/>
        </w:rPr>
        <w:t>年</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 xml:space="preserve">  </w:t>
      </w:r>
      <w:r>
        <w:rPr>
          <w:rFonts w:hint="eastAsia" w:ascii="Times New Roman" w:hAnsi="Times New Roman"/>
          <w:color w:val="auto"/>
          <w:sz w:val="32"/>
          <w:highlight w:val="none"/>
          <w:lang w:eastAsia="zh-CN"/>
        </w:rPr>
        <w:t>）</w:t>
      </w:r>
      <w:r>
        <w:rPr>
          <w:rFonts w:hint="default" w:ascii="仿宋" w:hAnsi="仿宋" w:eastAsia="仿宋"/>
          <w:color w:val="auto"/>
          <w:sz w:val="32"/>
          <w:highlight w:val="none"/>
        </w:rPr>
        <w:t>月</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 xml:space="preserve"> </w:t>
      </w:r>
      <w:r>
        <w:rPr>
          <w:rFonts w:hint="eastAsia" w:ascii="Times New Roman" w:hAnsi="Times New Roman"/>
          <w:color w:val="auto"/>
          <w:sz w:val="32"/>
          <w:highlight w:val="none"/>
          <w:lang w:eastAsia="zh-CN"/>
        </w:rPr>
        <w:t>）</w:t>
      </w:r>
      <w:r>
        <w:rPr>
          <w:rFonts w:hint="default" w:ascii="仿宋" w:hAnsi="仿宋" w:eastAsia="仿宋"/>
          <w:color w:val="auto"/>
          <w:sz w:val="32"/>
          <w:highlight w:val="none"/>
        </w:rPr>
        <w:t>日起施行</w:t>
      </w:r>
      <w:r>
        <w:rPr>
          <w:rFonts w:hint="eastAsia" w:ascii="仿宋" w:hAnsi="仿宋" w:eastAsia="仿宋"/>
          <w:color w:val="auto"/>
          <w:sz w:val="32"/>
          <w:highlight w:val="none"/>
          <w:lang w:eastAsia="zh-CN"/>
        </w:rPr>
        <w:t>，有效期限</w:t>
      </w:r>
      <w:r>
        <w:rPr>
          <w:rFonts w:hint="eastAsia" w:ascii="仿宋" w:hAnsi="仿宋" w:eastAsia="仿宋"/>
          <w:color w:val="auto"/>
          <w:sz w:val="32"/>
          <w:highlight w:val="none"/>
          <w:lang w:val="en-US" w:eastAsia="zh-CN"/>
        </w:rPr>
        <w:t>5年</w:t>
      </w:r>
      <w:r>
        <w:rPr>
          <w:rFonts w:hint="eastAsia" w:ascii="仿宋" w:hAnsi="仿宋" w:eastAsia="仿宋"/>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outlineLvl w:val="9"/>
        <w:rPr>
          <w:rFonts w:hint="eastAsia" w:ascii="仿宋" w:hAnsi="仿宋" w:eastAsia="仿宋"/>
          <w:color w:val="auto"/>
          <w:sz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ind w:firstLine="640" w:firstLineChars="200"/>
        <w:jc w:val="center"/>
        <w:textAlignment w:val="auto"/>
        <w:outlineLvl w:val="9"/>
        <w:rPr>
          <w:rFonts w:hint="default" w:ascii="仿宋" w:hAnsi="仿宋" w:eastAsia="仿宋"/>
          <w:color w:val="auto"/>
          <w:sz w:val="32"/>
        </w:rPr>
      </w:pPr>
      <w:r>
        <w:rPr>
          <w:rFonts w:hint="eastAsia" w:ascii="仿宋" w:hAnsi="仿宋" w:eastAsia="仿宋"/>
          <w:color w:val="auto"/>
          <w:sz w:val="32"/>
          <w:highlight w:val="none"/>
          <w:lang w:val="en-US" w:eastAsia="zh-CN"/>
        </w:rPr>
        <w:t xml:space="preserve">                         </w:t>
      </w:r>
    </w:p>
    <w:sectPr>
      <w:footerReference r:id="rId3" w:type="default"/>
      <w:pgSz w:w="11908" w:h="17338"/>
      <w:pgMar w:top="2098" w:right="1474" w:bottom="2000" w:left="1587" w:header="720" w:footer="198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6E07D4"/>
    <w:rsid w:val="0D9E54BE"/>
    <w:rsid w:val="0E2524A2"/>
    <w:rsid w:val="10585824"/>
    <w:rsid w:val="12025362"/>
    <w:rsid w:val="16974410"/>
    <w:rsid w:val="19BA6DBF"/>
    <w:rsid w:val="1C4A62AC"/>
    <w:rsid w:val="24B822E4"/>
    <w:rsid w:val="2B8807AD"/>
    <w:rsid w:val="431B2464"/>
    <w:rsid w:val="54956A22"/>
    <w:rsid w:val="57D0480A"/>
    <w:rsid w:val="62A3616D"/>
    <w:rsid w:val="6BD140D4"/>
    <w:rsid w:val="6CF42133"/>
    <w:rsid w:val="6D4944D5"/>
    <w:rsid w:val="7DA3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99"/>
    <w:pPr>
      <w:widowControl w:val="0"/>
      <w:autoSpaceDE w:val="0"/>
      <w:autoSpaceDN w:val="0"/>
      <w:adjustRightInd w:val="0"/>
      <w:spacing w:beforeLines="0" w:afterLines="0"/>
    </w:pPr>
    <w:rPr>
      <w:rFonts w:hint="eastAsia" w:ascii="仿宋" w:hAnsi="仿宋" w:eastAsia="仿宋" w:cstheme="minorBidi"/>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2021-02-23T09:35:00Z</dcterms:created>
  <dc:creator>谢谢同学</dc:creator>
  <cp:lastModifiedBy>陈绮萱</cp:lastModifiedBy>
  <cp:lastPrinted>2021-02-26T07:19:00Z</cp:lastPrinted>
  <dcterms:modified xsi:type="dcterms:W3CDTF">2021-04-23T10:35:16Z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