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outlineLvl w:val="9"/>
        <w:rPr>
          <w:rFonts w:hint="eastAsia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关于《汕尾市文明行为促进条例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草案送审稿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000000"/>
          <w:sz w:val="32"/>
          <w:szCs w:val="32"/>
          <w:lang w:val="en-US" w:eastAsia="zh-CN"/>
        </w:rPr>
        <w:t>一、制定条例的必要性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开展文明行为立法是培育和践行社会主义核心价值观的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内在要求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文明是一座城市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的内在气质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也是一座城市的靓丽底色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习近平总书记关于精神文明建设的系列重要论述中，强调要把一些基本道德规范转化为法律规范，使法律规范更多体现道德理念和人文关怀，通过法律的强制力来强化道德作用、确保道德底线，推动全社会道德素质提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2016年12月，中共中央办公厅、国务院办公厅印发《关于进一步把社会主义核心价值观融入法治建设的指导意见》，2018年5月，中共中央印发《社会主义核心价值观融入法治建设立法修法规划》，强调要把社会主义核心价值观的要求体现到宪法法律、法规规章和公共政策之中，转化为具有刚性约束力的法律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明确提出探索制定公民文明行为促进方面法律制度，引导和推动全民树立文明观念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。特别是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年中共中央、国务院印发的《新时代公民道德建设实施纲要》，对推动文明建设的法治进程提出了新的更高要求。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文明行为的教育、规范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和养成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，需要以法治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护航文明行为规范深植于人民的心中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为了从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法治建设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上推进中央重大决策部署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贯彻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落实，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社会主义核心价值观融入法治建设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有必要通过立法将我市文明行为促进工作纳入法治化轨道，以法治方式弘扬社会主义核心价值观，倡导文明行为，树立文明风尚，提升公民文明素养和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文明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开展文明行为立法，是培育和践行社会主义核心价值观的内在要求，也是将市民文明行为规范融入地方性法规体系、推动精神文明建设法治化的具体实践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（二）开展文明行为立法是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巩固文明城市创建成果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的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有效手段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中央文明办、省文明办对文明城市采用“一年一测评、三年一复评”的动态管理模式，因此日常文明创建过程中，如何巩固和深化文明城市创建成果尤为重要。我市启动文明城市创建以来，经过多年努力，城市的文明程度和市民的文明素质有了很大的提高，社会精神面貌总体上积极健康向上，文明城市创建取得了显著的阶段性成效。同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仍要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清醒地看到，一些不文明现象、不文明行为仍然存在，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促进文明行为的硬件软件还需要进一步完善，争做文明市民的社会氛围需要不断加以巩固，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有必要通过立法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寻求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长期有效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治本之策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厘清各部门在文明行为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促进工作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所承担的职责任务，调动全社会的力量参与到各种文明创建活动中。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文明行为是公民个人素质的综合体现，也是一座城市软实力的象征，倡导促进文明行为，治理不文明行为，对于巩固文明城市创建成果具有十分重要的现实需要和长远意义。开展文明行为立法，有利于健全完善文明城市创建工作长效机制，推动文明城市创建工作融入百姓日常生活，使文明规范成为广大市民的自觉意识和行为习惯，不断巩固和拓展文明城市创建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）开展文明行为立法是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建设沿海经济带靓丽明珠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的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重要举措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当前，全市上下正锚定“建设沿海经济带靓丽明珠”宏伟目标不断奋发拼搏。文明程度作为一个地区社会进步程度的重要标志，是一个地区城市竞争力的有机组成，也是一个城市物质文明和精神文明协调发展的生动体现。建设更高质量的文明城市离不开每一个文明行为的点滴汇成，实现“建设沿海经济带靓丽明珠”宏伟目标离不开360万市民文明程度的同步提升。促进文明行为的教育、规范和养成，培养人们良好的行为习惯，持之以恒提高市民的文明素养，需要建立一以贯之、影响深远的有效制度，及时把长期实践中广泛认同、较为成熟、操作性强的道德要求转化为法律规范，汇聚全社会共同参与精神文明建设的磅礴力量，助推基层治理再提升、社会风气再优化。开展文明行为立法，就是要为我市文明行为促进工作提供法规依据，为营造高效便捷的营商环境、培育更具魅力的人文环境提供强大支撑，不断推动我市物质文明和精神文明协调</w:t>
      </w:r>
      <w:bookmarkStart w:id="0" w:name="_Hlk44398298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高质量发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展，为建设沿海经济带靓丽明珠提供源源不断的精神动力。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宋体" w:hAnsi="宋体" w:eastAsia="黑体" w:cs="黑体"/>
          <w:color w:val="000000"/>
          <w:sz w:val="32"/>
          <w:szCs w:val="32"/>
          <w:lang w:val="en-US" w:eastAsia="zh-CN"/>
        </w:rPr>
        <w:t>二、条例的起草过程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加强组织领导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为确保立法工作顺利开展，市委宣传部加强组织领导、稳步协调推进。在前期调研的基础上，2021年8月，制定了《汕尾市文明行为促进条例起草工作方案》，成立条例立法工作领导小组，由市委宣传部常务副部长、市文明办主要负责人任组长，综合协调、稳步推进相关立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（二）坚持问题导向。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条例立足我市实际和文明行为促进工作现状，深入总结近几年文明城市创建经验成果。在起草过程中，紧紧围绕群众反映强烈、公共生活中较为突出的不文明行为、不文明现象，梳理归纳了文明城市创建过程中发现的共性问题，加强制度设计，强化条例与上位法律法规的衔接贯通，确保条例在法制上立得住、在社会生活中行得通、在提升市民文明素养和城市文明水平上落得实、管得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（三）深入调查研究。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积极学习先进经验，分管市领导亲自带队前往浙江台州、诸暨等地调研考察，深入学习交流立法经验；组织多个调研小组深入全市各地实地走访调研，切实掌握我市文明行为促进工作面临的现状、问题和治理方向。同时，注重融入最新法律法规成果，严格对照《民法典》《道路交通安全法》《治安管理处罚法》等法律法规，结合中央、省关于制止餐饮浪费、防控疫情等文件精神，借鉴省内外多个城市已出台的文明行为促进条例，对条例草案不断充实完善，实现与现有法律、本地实际的有效衔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反复修改完善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条例草案征求意见稿形成以后，通过发布公告、通知、召开座谈会等多种形式向社会各界和各地各单位广泛征求意见建议，充分听取各行业、各领域的意见建议。其中，2021年1月20日召集各县（市、区）人民政府、市直有关单位同志进行集中研讨，2月1日邀请国家、省、市人大代表、政协委员和有关社会组织代表召开立法座谈会，不断吸收各方面意见建议，几易其稿，最终形成了《汕尾市文明行为促进条例（草案送审稿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Style w:val="8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Style w:val="8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、条例</w:t>
      </w:r>
      <w:r>
        <w:rPr>
          <w:rStyle w:val="8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的主要内容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总则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文明行为规范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促进措施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法律责任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附则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个章节进行表述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  <w:t>（一）关于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文明行为促进条例的总体构想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制定条例的目的是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为了培育和践行社会主义核心价值观，引导和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促进文明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行为，提升公民文明素质和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</w:t>
      </w:r>
      <w:r>
        <w:rPr>
          <w:rFonts w:hint="eastAsia" w:ascii="仿宋_GB2312" w:hAnsi="仿宋_GB2312" w:eastAsia="仿宋_GB2312" w:cs="仿宋_GB2312"/>
          <w:sz w:val="32"/>
          <w:szCs w:val="32"/>
        </w:rPr>
        <w:t>文明水平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文明行为促进工作坚持党委领导、政府推进、社会共建、全民参与的原则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形成共建、共治、共享的工作格局，体现汕尾的“善文化”内核和城市精神。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市、县（市、区）精神文明建设委员会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及其工作机构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统筹协调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文明行为促进工作，人民政府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及其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有关部门按照各自职责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分工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做好文明行为促进工作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，其他单位和个人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发挥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应有</w:t>
      </w:r>
      <w:r>
        <w:rPr>
          <w:rFonts w:hint="eastAsia" w:ascii="仿宋_GB2312" w:hAnsi="仿宋_GB2312" w:eastAsia="仿宋_GB2312" w:cs="仿宋_GB2312"/>
          <w:sz w:val="32"/>
          <w:szCs w:val="32"/>
        </w:rPr>
        <w:t>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  <w:t>（二）关于文明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行为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  <w:t>规范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和倡导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条例规定，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公民应当爱国、敬业、诚信、友善，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自觉加强社会公德、职业道德、家庭美德、个人品德建设，遵守法律法规、公序良俗以及其他文明行为规范。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围绕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社会生活重要领域和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公民生活日常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场景，突出海陆丰革命老区红色文化资源的本地特色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国家观念、保护红色资源、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场所、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交通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秩序、生态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家庭、校园、旅游、网络等方面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，对文明行为作出基本的规范</w:t>
      </w:r>
      <w:bookmarkStart w:id="1" w:name="_Hlk44361864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和</w:t>
      </w:r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要求，明确“什么能做”和“什么不能做”。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同时，大力倡导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慈善公益、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志愿服务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见义勇为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、无偿献血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和捐献器官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培养健身和阅读习惯等有益于社会文明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为公民文明习惯养成明确了方向。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  <w:t>）关于保障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和促进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  <w:t>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条例规定，要建立和完善新时代文明实践组织体系，依托新时代文明实践活动平台，发展文明实践力量，全面开展文明实践活动。并在设施保障、宣传保障、执法保障、教育培训、文明公约、积分记录、表彰奖励和礼遇帮扶、投诉举报机制等方面作出探索，目的在于切实保障条例得到有效实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促进全社会文明行为习惯养成。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  <w:t>）关于法律责任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bookmarkStart w:id="2" w:name="_Hlk44362676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规定了</w:t>
      </w:r>
      <w:bookmarkEnd w:id="2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违反本条例实施的不文明行为，根据行为性质和危害程度，承担相应的法律责任，由相关部门依照法律法规规定予以处罚，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现有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法律法规进行了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衔接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同时还规定，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行为人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主动消除或者减轻违法行为危害后果，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经执法机关同意并完成相应社会服务的，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可以依法从轻、减轻或者不予处罚。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另外，对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相关部门及其工作人员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在文明行为促进工作中所应承担的行政责任作出规定。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  <w:t>）关于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规定了条例的施行时间。</w:t>
      </w:r>
    </w:p>
    <w:sectPr>
      <w:headerReference r:id="rId3" w:type="default"/>
      <w:footerReference r:id="rId4" w:type="default"/>
      <w:pgSz w:w="11906" w:h="16838"/>
      <w:pgMar w:top="2041" w:right="1644" w:bottom="204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00A49"/>
    <w:rsid w:val="0C944871"/>
    <w:rsid w:val="0CBB74EF"/>
    <w:rsid w:val="0F213A28"/>
    <w:rsid w:val="1029742A"/>
    <w:rsid w:val="17BA2721"/>
    <w:rsid w:val="183131D1"/>
    <w:rsid w:val="1B36140C"/>
    <w:rsid w:val="1F685A23"/>
    <w:rsid w:val="225B4A03"/>
    <w:rsid w:val="24164E6A"/>
    <w:rsid w:val="2DDD6E33"/>
    <w:rsid w:val="32256265"/>
    <w:rsid w:val="33993D2D"/>
    <w:rsid w:val="3428419A"/>
    <w:rsid w:val="349923CA"/>
    <w:rsid w:val="355F6F27"/>
    <w:rsid w:val="3A495CF2"/>
    <w:rsid w:val="3D0E1FE0"/>
    <w:rsid w:val="40A82381"/>
    <w:rsid w:val="47B035AE"/>
    <w:rsid w:val="4D4C7D15"/>
    <w:rsid w:val="532B290D"/>
    <w:rsid w:val="56E83772"/>
    <w:rsid w:val="59402B33"/>
    <w:rsid w:val="5E9F3EAC"/>
    <w:rsid w:val="60271AE5"/>
    <w:rsid w:val="66D4412A"/>
    <w:rsid w:val="6D3903B1"/>
    <w:rsid w:val="6EAA6ECC"/>
    <w:rsid w:val="78942684"/>
    <w:rsid w:val="7B111D6E"/>
    <w:rsid w:val="7CF80A7A"/>
    <w:rsid w:val="7F2C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after="120" w:line="360" w:lineRule="auto"/>
      <w:ind w:firstLine="200" w:firstLineChars="200"/>
      <w:outlineLvl w:val="1"/>
    </w:pPr>
    <w:rPr>
      <w:rFonts w:ascii="Times New Roman" w:hAnsi="Times New Roman" w:eastAsia="黑体"/>
      <w:bCs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2020-11-03T01:14:00Z</dcterms:created>
  <dc:creator>Administrator</dc:creator>
  <cp:lastModifiedBy>Administrator</cp:lastModifiedBy>
  <cp:lastPrinted>2020-11-24T03:59:00Z</cp:lastPrinted>
  <dcterms:modified xsi:type="dcterms:W3CDTF">2021-02-22T04:18:18Z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