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afterLines="50" w:line="360" w:lineRule="exact"/>
        <w:rPr>
          <w:rFonts w:ascii="黑体" w:hAnsi="黑体" w:eastAsia="黑体" w:cs="黑体"/>
          <w:bCs/>
          <w:szCs w:val="32"/>
        </w:rPr>
      </w:pPr>
      <w:r>
        <w:rPr>
          <w:rFonts w:hint="eastAsia" w:ascii="黑体" w:hAnsi="黑体" w:eastAsia="黑体" w:cs="Times New Roman"/>
        </w:rPr>
        <w:t>附件</w:t>
      </w:r>
      <w:r>
        <w:rPr>
          <w:rFonts w:ascii="黑体" w:hAnsi="黑体" w:eastAsia="黑体" w:cs="Times New Roman"/>
        </w:rPr>
        <w:t>4</w:t>
      </w:r>
      <w:r>
        <w:rPr>
          <w:rFonts w:hint="eastAsia" w:ascii="黑体" w:hAnsi="黑体" w:eastAsia="黑体" w:cs="Times New Roman"/>
        </w:rPr>
        <w:t xml:space="preserve"> </w:t>
      </w:r>
    </w:p>
    <w:p>
      <w:pPr>
        <w:widowControl w:val="0"/>
        <w:spacing w:before="100" w:beforeAutospacing="1" w:after="100" w:afterAutospacing="1" w:line="360" w:lineRule="exact"/>
        <w:jc w:val="center"/>
        <w:outlineLvl w:val="0"/>
        <w:rPr>
          <w:rFonts w:hint="default" w:ascii="方正小标宋简体" w:hAnsi="宋体" w:eastAsia="方正小标宋简体" w:cs="Times New Roman"/>
          <w:b w:val="0"/>
          <w:bCs/>
          <w:kern w:val="44"/>
          <w:sz w:val="44"/>
          <w:szCs w:val="44"/>
          <w:lang w:val="en-US" w:eastAsia="zh-CN" w:bidi="ar-SA"/>
        </w:rPr>
      </w:pPr>
      <w:r>
        <w:rPr>
          <w:rFonts w:hint="eastAsia" w:ascii="方正小标宋简体" w:hAnsi="宋体" w:eastAsia="方正小标宋简体" w:cs="Times New Roman"/>
          <w:b w:val="0"/>
          <w:bCs/>
          <w:kern w:val="44"/>
          <w:sz w:val="44"/>
          <w:szCs w:val="44"/>
          <w:lang w:val="en-US" w:eastAsia="zh-CN" w:bidi="ar-SA"/>
        </w:rPr>
        <w:t>表一 2020年汕尾市保健食品安全抽检检验项目及要求</w:t>
      </w:r>
    </w:p>
    <w:tbl>
      <w:tblPr>
        <w:tblStyle w:val="6"/>
        <w:tblW w:w="14029" w:type="dxa"/>
        <w:tblInd w:w="0" w:type="dxa"/>
        <w:tblLayout w:type="fixed"/>
        <w:tblCellMar>
          <w:top w:w="15" w:type="dxa"/>
          <w:left w:w="15" w:type="dxa"/>
          <w:bottom w:w="15" w:type="dxa"/>
          <w:right w:w="15" w:type="dxa"/>
        </w:tblCellMar>
      </w:tblPr>
      <w:tblGrid>
        <w:gridCol w:w="988"/>
        <w:gridCol w:w="850"/>
        <w:gridCol w:w="1418"/>
        <w:gridCol w:w="8505"/>
        <w:gridCol w:w="2268"/>
      </w:tblGrid>
      <w:tr>
        <w:tblPrEx>
          <w:tblLayout w:type="fixed"/>
          <w:tblCellMar>
            <w:top w:w="15" w:type="dxa"/>
            <w:left w:w="15" w:type="dxa"/>
            <w:bottom w:w="15" w:type="dxa"/>
            <w:right w:w="15" w:type="dxa"/>
          </w:tblCellMar>
        </w:tblPrEx>
        <w:trPr>
          <w:trHeight w:val="101"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b/>
                <w:sz w:val="21"/>
                <w:szCs w:val="21"/>
              </w:rPr>
            </w:pPr>
            <w:r>
              <w:rPr>
                <w:rFonts w:hint="eastAsia" w:ascii="宋体" w:hAnsi="宋体" w:eastAsia="宋体" w:cs="宋体"/>
                <w:b/>
                <w:kern w:val="0"/>
                <w:sz w:val="21"/>
                <w:szCs w:val="21"/>
                <w:lang w:bidi="ar"/>
              </w:rPr>
              <w:t>产品类别</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b/>
                <w:sz w:val="21"/>
                <w:szCs w:val="21"/>
              </w:rPr>
            </w:pPr>
            <w:r>
              <w:rPr>
                <w:rFonts w:hint="eastAsia" w:ascii="宋体" w:hAnsi="宋体" w:eastAsia="宋体" w:cs="宋体"/>
                <w:b/>
                <w:kern w:val="0"/>
                <w:sz w:val="21"/>
                <w:szCs w:val="21"/>
                <w:lang w:bidi="ar"/>
              </w:rPr>
              <w:t>类别</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b/>
                <w:sz w:val="21"/>
                <w:szCs w:val="21"/>
              </w:rPr>
            </w:pPr>
            <w:r>
              <w:rPr>
                <w:rFonts w:hint="eastAsia" w:ascii="宋体" w:hAnsi="宋体" w:eastAsia="宋体" w:cs="宋体"/>
                <w:b/>
                <w:kern w:val="0"/>
                <w:sz w:val="21"/>
                <w:szCs w:val="21"/>
                <w:lang w:bidi="ar"/>
              </w:rPr>
              <w:t>检测指标</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eastAsia="宋体" w:cs="宋体"/>
                <w:b/>
                <w:kern w:val="0"/>
                <w:sz w:val="21"/>
                <w:szCs w:val="21"/>
                <w:lang w:bidi="ar"/>
              </w:rPr>
            </w:pPr>
            <w:r>
              <w:rPr>
                <w:rFonts w:hint="eastAsia" w:ascii="宋体" w:hAnsi="宋体" w:eastAsia="宋体" w:cs="宋体"/>
                <w:b/>
                <w:kern w:val="0"/>
                <w:sz w:val="21"/>
                <w:szCs w:val="21"/>
                <w:lang w:bidi="ar"/>
              </w:rPr>
              <w:t>检验依据</w:t>
            </w:r>
          </w:p>
        </w:tc>
      </w:tr>
      <w:tr>
        <w:tblPrEx>
          <w:tblLayout w:type="fixed"/>
          <w:tblCellMar>
            <w:top w:w="15" w:type="dxa"/>
            <w:left w:w="15" w:type="dxa"/>
            <w:bottom w:w="15" w:type="dxa"/>
            <w:right w:w="15" w:type="dxa"/>
          </w:tblCellMar>
        </w:tblPrEx>
        <w:trPr>
          <w:trHeight w:val="92"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kern w:val="0"/>
                <w:sz w:val="21"/>
                <w:szCs w:val="21"/>
                <w:lang w:bidi="ar"/>
              </w:rPr>
              <w:t>保健食品</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r>
              <w:rPr>
                <w:rFonts w:hint="eastAsia" w:ascii="宋体" w:hAnsi="宋体" w:eastAsia="宋体" w:cs="宋体"/>
                <w:kern w:val="0"/>
                <w:sz w:val="21"/>
                <w:szCs w:val="21"/>
                <w:lang w:bidi="ar"/>
              </w:rPr>
              <w:t>营养素补充剂类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营养素</w:t>
            </w:r>
          </w:p>
        </w:tc>
        <w:tc>
          <w:tcPr>
            <w:tcW w:w="2268" w:type="dxa"/>
            <w:vMerge w:val="restart"/>
            <w:tcBorders>
              <w:top w:val="single" w:color="auto" w:sz="4" w:space="0"/>
              <w:left w:val="single" w:color="auto" w:sz="4" w:space="0"/>
              <w:right w:val="single" w:color="auto" w:sz="4" w:space="0"/>
            </w:tcBorders>
            <w:vAlign w:val="center"/>
          </w:tcPr>
          <w:p>
            <w:pPr>
              <w:spacing w:line="36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《食品安全国家标准 保健食品》（GB16740）、《企业产品质量标准》、国家食品药品监督管理总局颁布的补充检验方法和检验项目批准件所附质量标准</w:t>
            </w:r>
          </w:p>
        </w:tc>
      </w:tr>
      <w:tr>
        <w:tblPrEx>
          <w:tblLayout w:type="fixed"/>
          <w:tblCellMar>
            <w:top w:w="15" w:type="dxa"/>
            <w:left w:w="15" w:type="dxa"/>
            <w:bottom w:w="15" w:type="dxa"/>
            <w:right w:w="15" w:type="dxa"/>
          </w:tblCellMar>
        </w:tblPrEx>
        <w:trPr>
          <w:trHeight w:val="128"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r>
              <w:rPr>
                <w:rFonts w:hint="eastAsia" w:ascii="宋体" w:hAnsi="宋体" w:eastAsia="宋体" w:cs="宋体"/>
                <w:kern w:val="0"/>
                <w:sz w:val="21"/>
                <w:szCs w:val="21"/>
                <w:lang w:bidi="ar"/>
              </w:rPr>
              <w:t>保健功能类产品</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功效/标志性成分，并根据产品特点选做重金属（铅、砷、汞）、微生物（菌落总数、大肠菌群、霉菌和酵母、金黄色葡萄球菌、沙门氏菌）、酸价、过氧化值等指标，</w:t>
            </w:r>
          </w:p>
        </w:tc>
        <w:tc>
          <w:tcPr>
            <w:tcW w:w="2268" w:type="dxa"/>
            <w:vMerge w:val="continue"/>
            <w:tcBorders>
              <w:left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r>
        <w:tblPrEx>
          <w:tblLayout w:type="fixed"/>
          <w:tblCellMar>
            <w:top w:w="15" w:type="dxa"/>
            <w:left w:w="15" w:type="dxa"/>
            <w:bottom w:w="15" w:type="dxa"/>
            <w:right w:w="15" w:type="dxa"/>
          </w:tblCellMar>
        </w:tblPrEx>
        <w:trPr>
          <w:trHeight w:val="43"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p>
        </w:tc>
        <w:tc>
          <w:tcPr>
            <w:tcW w:w="850" w:type="dxa"/>
            <w:vMerge w:val="restart"/>
            <w:tcBorders>
              <w:top w:val="single" w:color="auto" w:sz="4" w:space="0"/>
              <w:left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r>
              <w:rPr>
                <w:rFonts w:hint="eastAsia" w:ascii="宋体" w:hAnsi="宋体" w:eastAsia="宋体" w:cs="宋体"/>
                <w:sz w:val="21"/>
                <w:szCs w:val="21"/>
              </w:rPr>
              <w:t>重点品种</w:t>
            </w:r>
          </w:p>
          <w:p>
            <w:pPr>
              <w:spacing w:line="360" w:lineRule="exact"/>
              <w:textAlignment w:val="center"/>
              <w:rPr>
                <w:rFonts w:ascii="宋体" w:hAnsi="宋体" w:eastAsia="宋体" w:cs="宋体"/>
                <w:sz w:val="21"/>
                <w:szCs w:val="21"/>
              </w:rPr>
            </w:pPr>
            <w:r>
              <w:rPr>
                <w:rFonts w:hint="eastAsia" w:ascii="宋体" w:hAnsi="宋体" w:eastAsia="宋体" w:cs="宋体"/>
                <w:sz w:val="21"/>
                <w:szCs w:val="21"/>
              </w:rPr>
              <w:t>（同时检测非法添加物）</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减肥类、润肠通便类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盐酸西布曲明、芬氟拉明、酚酞、麻黄碱、N-单去甲基西布曲明、N，N-双去甲基西布曲明、呋塞米、匹可硫酸钠</w:t>
            </w:r>
          </w:p>
        </w:tc>
        <w:tc>
          <w:tcPr>
            <w:tcW w:w="2268" w:type="dxa"/>
            <w:vMerge w:val="continue"/>
            <w:tcBorders>
              <w:left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r>
        <w:tblPrEx>
          <w:tblLayout w:type="fixed"/>
          <w:tblCellMar>
            <w:top w:w="15" w:type="dxa"/>
            <w:left w:w="15" w:type="dxa"/>
            <w:bottom w:w="15" w:type="dxa"/>
            <w:right w:w="15" w:type="dxa"/>
          </w:tblCellMar>
        </w:tblPrEx>
        <w:trPr>
          <w:trHeight w:val="43"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p>
        </w:tc>
        <w:tc>
          <w:tcPr>
            <w:tcW w:w="850" w:type="dxa"/>
            <w:vMerge w:val="continue"/>
            <w:tcBorders>
              <w:left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改善睡眠类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地西泮、氯氮卓、氯硝西泮、硝西泮、奥沙西泮、马来酸咪哒唑仑、劳拉西泮、艾司唑仑、阿普唑仑、三唑仑、巴比妥、苯巴比妥、异戊巴比妥、司可巴比妥、氯美扎酮、佐匹克隆、氯苯那敏、扎来普隆、文拉法辛、青藤碱、罗通定、褪黑素（原料中不含褪黑素的情况）</w:t>
            </w:r>
          </w:p>
        </w:tc>
        <w:tc>
          <w:tcPr>
            <w:tcW w:w="2268" w:type="dxa"/>
            <w:vMerge w:val="continue"/>
            <w:tcBorders>
              <w:left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r>
        <w:tblPrEx>
          <w:tblLayout w:type="fixed"/>
          <w:tblCellMar>
            <w:top w:w="15" w:type="dxa"/>
            <w:left w:w="15" w:type="dxa"/>
            <w:bottom w:w="15" w:type="dxa"/>
            <w:right w:w="15" w:type="dxa"/>
          </w:tblCellMar>
        </w:tblPrEx>
        <w:trPr>
          <w:trHeight w:val="43"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p>
        </w:tc>
        <w:tc>
          <w:tcPr>
            <w:tcW w:w="850" w:type="dxa"/>
            <w:vMerge w:val="continue"/>
            <w:tcBorders>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辅助降血糖类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苯乙双胍（盐酸苯乙双胍）、二甲双胍（盐酸二甲双胍）、格列吡嗪、格列齐特、罗格列酮（马来酸罗格列酮）、瑞格列奈、格列喹酮、甲苯磺丁脲、格列苯脲、格列美脲、盐酸吡格列酮、盐酸丁二胍、格列波脲</w:t>
            </w:r>
          </w:p>
        </w:tc>
        <w:tc>
          <w:tcPr>
            <w:tcW w:w="2268" w:type="dxa"/>
            <w:vMerge w:val="continue"/>
            <w:tcBorders>
              <w:left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r>
        <w:tblPrEx>
          <w:tblLayout w:type="fixed"/>
          <w:tblCellMar>
            <w:top w:w="15" w:type="dxa"/>
            <w:left w:w="15" w:type="dxa"/>
            <w:bottom w:w="15" w:type="dxa"/>
            <w:right w:w="15" w:type="dxa"/>
          </w:tblCellMar>
        </w:tblPrEx>
        <w:trPr>
          <w:trHeight w:val="43"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辅助降血脂类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洛伐他汀、辛伐他汀</w:t>
            </w:r>
          </w:p>
        </w:tc>
        <w:tc>
          <w:tcPr>
            <w:tcW w:w="2268" w:type="dxa"/>
            <w:vMerge w:val="continue"/>
            <w:tcBorders>
              <w:left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r>
        <w:tblPrEx>
          <w:tblLayout w:type="fixed"/>
          <w:tblCellMar>
            <w:top w:w="15" w:type="dxa"/>
            <w:left w:w="15" w:type="dxa"/>
            <w:bottom w:w="15" w:type="dxa"/>
            <w:right w:w="15" w:type="dxa"/>
          </w:tblCellMar>
        </w:tblPrEx>
        <w:trPr>
          <w:trHeight w:val="524"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kern w:val="0"/>
                <w:sz w:val="21"/>
                <w:szCs w:val="21"/>
                <w:lang w:bidi="ar"/>
              </w:rPr>
              <w:t>保健食品</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缓解体力疲劳类、增强免疫力类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伐地那非、西地那非、他达拉非、那红地那非、红地那非、羟基豪莫西地那非、豪莫西地那非、氨基他达拉非、硫代艾地那非、伪伐地那非和那莫西地那非等PDE5型（磷酸二酯酶5型）抑制剂</w:t>
            </w:r>
          </w:p>
        </w:tc>
        <w:tc>
          <w:tcPr>
            <w:tcW w:w="2268" w:type="dxa"/>
            <w:vMerge w:val="continue"/>
            <w:tcBorders>
              <w:left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r>
        <w:tblPrEx>
          <w:tblLayout w:type="fixed"/>
          <w:tblCellMar>
            <w:top w:w="15" w:type="dxa"/>
            <w:left w:w="15" w:type="dxa"/>
            <w:bottom w:w="15" w:type="dxa"/>
            <w:right w:w="15" w:type="dxa"/>
          </w:tblCellMar>
        </w:tblPrEx>
        <w:trPr>
          <w:trHeight w:val="57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辅助降血压类</w:t>
            </w:r>
          </w:p>
        </w:tc>
        <w:tc>
          <w:tcPr>
            <w:tcW w:w="85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氨氯地平、阿替洛尔、盐酸可乐定、氢氯噻嗪、卡托普利、哌唑嗪、利血平、硝苯地平、尼群地平、尼莫地平、尼索地平、非洛地平</w:t>
            </w:r>
          </w:p>
        </w:tc>
        <w:tc>
          <w:tcPr>
            <w:tcW w:w="2268" w:type="dxa"/>
            <w:vMerge w:val="continue"/>
            <w:tcBorders>
              <w:left w:val="single" w:color="auto" w:sz="4" w:space="0"/>
              <w:bottom w:val="single" w:color="auto" w:sz="4" w:space="0"/>
              <w:right w:val="single" w:color="auto" w:sz="4" w:space="0"/>
            </w:tcBorders>
          </w:tcPr>
          <w:p>
            <w:pPr>
              <w:spacing w:line="360" w:lineRule="exact"/>
              <w:jc w:val="center"/>
              <w:textAlignment w:val="center"/>
              <w:rPr>
                <w:rFonts w:hint="eastAsia" w:ascii="宋体" w:hAnsi="宋体" w:eastAsia="宋体" w:cs="宋体"/>
                <w:kern w:val="0"/>
                <w:sz w:val="21"/>
                <w:szCs w:val="21"/>
                <w:lang w:bidi="ar"/>
              </w:rPr>
            </w:pPr>
          </w:p>
        </w:tc>
      </w:tr>
    </w:tbl>
    <w:p>
      <w:pPr>
        <w:sectPr>
          <w:footerReference r:id="rId3" w:type="default"/>
          <w:footerReference r:id="rId4" w:type="even"/>
          <w:pgSz w:w="16820" w:h="11910" w:orient="landscape"/>
          <w:pgMar w:top="1800" w:right="1440" w:bottom="1800" w:left="1440" w:header="0" w:footer="1100" w:gutter="0"/>
          <w:cols w:space="720" w:num="1"/>
          <w:docGrid w:linePitch="435" w:charSpace="0"/>
        </w:sectPr>
      </w:pPr>
    </w:p>
    <w:p>
      <w:pPr>
        <w:widowControl w:val="0"/>
        <w:spacing w:before="100" w:beforeAutospacing="1" w:after="100" w:afterAutospacing="1" w:line="360" w:lineRule="exact"/>
        <w:jc w:val="center"/>
        <w:outlineLvl w:val="0"/>
        <w:rPr>
          <w:rFonts w:hint="eastAsia" w:ascii="方正小标宋简体" w:hAnsi="宋体" w:eastAsia="方正小标宋简体" w:cs="Times New Roman"/>
          <w:b w:val="0"/>
          <w:bCs/>
          <w:kern w:val="44"/>
          <w:sz w:val="44"/>
          <w:szCs w:val="44"/>
          <w:lang w:val="en-US" w:eastAsia="zh-CN" w:bidi="ar-SA"/>
        </w:rPr>
      </w:pPr>
      <w:bookmarkStart w:id="1" w:name="_GoBack"/>
      <w:bookmarkEnd w:id="1"/>
      <w:r>
        <w:rPr>
          <w:rFonts w:hint="eastAsia" w:ascii="方正小标宋简体" w:hAnsi="宋体" w:eastAsia="方正小标宋简体" w:cs="Times New Roman"/>
          <w:b w:val="0"/>
          <w:bCs/>
          <w:kern w:val="44"/>
          <w:sz w:val="44"/>
          <w:szCs w:val="44"/>
          <w:lang w:val="en-US" w:eastAsia="zh-CN" w:bidi="ar-SA"/>
        </w:rPr>
        <w:t>表二 保健食品监督抽检所需样品量及封样要求</w:t>
      </w:r>
    </w:p>
    <w:tbl>
      <w:tblPr>
        <w:tblStyle w:val="6"/>
        <w:tblW w:w="146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009"/>
        <w:gridCol w:w="579"/>
        <w:gridCol w:w="1013"/>
        <w:gridCol w:w="2027"/>
        <w:gridCol w:w="4439"/>
        <w:gridCol w:w="5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91" w:hRule="atLeast"/>
          <w:jc w:val="center"/>
        </w:trPr>
        <w:tc>
          <w:tcPr>
            <w:tcW w:w="1009" w:type="dxa"/>
            <w:vAlign w:val="center"/>
          </w:tcPr>
          <w:p>
            <w:pPr>
              <w:spacing w:line="340" w:lineRule="exact"/>
              <w:jc w:val="center"/>
              <w:textAlignment w:val="center"/>
              <w:rPr>
                <w:rFonts w:ascii="Times New Roman" w:hAnsi="Times New Roman" w:eastAsia="黑体" w:cs="黑体"/>
                <w:bCs/>
                <w:color w:val="000000"/>
                <w:sz w:val="21"/>
                <w:szCs w:val="21"/>
              </w:rPr>
            </w:pPr>
            <w:r>
              <w:rPr>
                <w:rFonts w:hint="eastAsia" w:ascii="Times New Roman" w:hAnsi="Times New Roman" w:eastAsia="黑体" w:cs="黑体"/>
                <w:bCs/>
                <w:color w:val="000000"/>
                <w:kern w:val="0"/>
                <w:sz w:val="21"/>
                <w:szCs w:val="21"/>
              </w:rPr>
              <w:t>产品类别</w:t>
            </w:r>
          </w:p>
        </w:tc>
        <w:tc>
          <w:tcPr>
            <w:tcW w:w="579" w:type="dxa"/>
            <w:vAlign w:val="center"/>
          </w:tcPr>
          <w:p>
            <w:pPr>
              <w:spacing w:line="340" w:lineRule="exact"/>
              <w:jc w:val="center"/>
              <w:textAlignment w:val="center"/>
              <w:rPr>
                <w:rFonts w:ascii="Times New Roman" w:hAnsi="Times New Roman" w:eastAsia="黑体" w:cs="黑体"/>
                <w:bCs/>
                <w:color w:val="000000"/>
                <w:kern w:val="0"/>
                <w:sz w:val="21"/>
                <w:szCs w:val="21"/>
              </w:rPr>
            </w:pPr>
            <w:r>
              <w:rPr>
                <w:rFonts w:hint="eastAsia" w:ascii="Times New Roman" w:hAnsi="Times New Roman" w:eastAsia="黑体" w:cs="黑体"/>
                <w:bCs/>
                <w:color w:val="000000"/>
                <w:kern w:val="0"/>
                <w:sz w:val="21"/>
                <w:szCs w:val="21"/>
              </w:rPr>
              <w:t>序号</w:t>
            </w:r>
          </w:p>
        </w:tc>
        <w:tc>
          <w:tcPr>
            <w:tcW w:w="1013" w:type="dxa"/>
            <w:tcBorders>
              <w:bottom w:val="single" w:color="auto" w:sz="4" w:space="0"/>
            </w:tcBorders>
            <w:vAlign w:val="center"/>
          </w:tcPr>
          <w:p>
            <w:pPr>
              <w:spacing w:line="340" w:lineRule="exact"/>
              <w:jc w:val="center"/>
              <w:textAlignment w:val="center"/>
              <w:rPr>
                <w:rFonts w:ascii="Times New Roman" w:hAnsi="Times New Roman" w:eastAsia="黑体" w:cs="黑体"/>
                <w:bCs/>
                <w:color w:val="000000"/>
                <w:sz w:val="21"/>
                <w:szCs w:val="21"/>
              </w:rPr>
            </w:pPr>
            <w:r>
              <w:rPr>
                <w:rFonts w:hint="eastAsia" w:ascii="Times New Roman" w:hAnsi="Times New Roman" w:eastAsia="黑体" w:cs="黑体"/>
                <w:bCs/>
                <w:color w:val="000000"/>
                <w:kern w:val="0"/>
                <w:sz w:val="21"/>
                <w:szCs w:val="21"/>
              </w:rPr>
              <w:t>检验项目</w:t>
            </w:r>
          </w:p>
        </w:tc>
        <w:tc>
          <w:tcPr>
            <w:tcW w:w="2027" w:type="dxa"/>
            <w:tcBorders>
              <w:bottom w:val="single" w:color="auto" w:sz="4" w:space="0"/>
            </w:tcBorders>
            <w:vAlign w:val="center"/>
          </w:tcPr>
          <w:p>
            <w:pPr>
              <w:spacing w:line="340" w:lineRule="exact"/>
              <w:jc w:val="center"/>
              <w:textAlignment w:val="center"/>
              <w:rPr>
                <w:rFonts w:ascii="Times New Roman" w:hAnsi="Times New Roman" w:eastAsia="黑体" w:cs="黑体"/>
                <w:bCs/>
                <w:color w:val="000000"/>
                <w:sz w:val="21"/>
                <w:szCs w:val="21"/>
              </w:rPr>
            </w:pPr>
            <w:r>
              <w:rPr>
                <w:rFonts w:hint="eastAsia" w:ascii="Times New Roman" w:hAnsi="Times New Roman" w:eastAsia="黑体" w:cs="黑体"/>
                <w:bCs/>
                <w:color w:val="000000"/>
                <w:kern w:val="0"/>
                <w:sz w:val="21"/>
                <w:szCs w:val="21"/>
              </w:rPr>
              <w:t>产品剂型（或品类）</w:t>
            </w:r>
          </w:p>
        </w:tc>
        <w:tc>
          <w:tcPr>
            <w:tcW w:w="4439" w:type="dxa"/>
            <w:tcBorders>
              <w:bottom w:val="single" w:color="auto" w:sz="4" w:space="0"/>
            </w:tcBorders>
            <w:vAlign w:val="center"/>
          </w:tcPr>
          <w:p>
            <w:pPr>
              <w:spacing w:line="340" w:lineRule="exact"/>
              <w:jc w:val="center"/>
              <w:textAlignment w:val="center"/>
              <w:rPr>
                <w:rFonts w:ascii="Times New Roman" w:hAnsi="Times New Roman" w:eastAsia="黑体" w:cs="黑体"/>
                <w:bCs/>
                <w:color w:val="000000"/>
                <w:sz w:val="21"/>
                <w:szCs w:val="21"/>
              </w:rPr>
            </w:pPr>
            <w:r>
              <w:rPr>
                <w:rFonts w:hint="eastAsia" w:ascii="Times New Roman" w:hAnsi="Times New Roman" w:eastAsia="黑体" w:cs="黑体"/>
                <w:bCs/>
                <w:color w:val="000000"/>
                <w:kern w:val="0"/>
                <w:sz w:val="21"/>
                <w:szCs w:val="21"/>
              </w:rPr>
              <w:t>最少抽样量</w:t>
            </w:r>
          </w:p>
        </w:tc>
        <w:tc>
          <w:tcPr>
            <w:tcW w:w="5556" w:type="dxa"/>
            <w:vAlign w:val="center"/>
          </w:tcPr>
          <w:p>
            <w:pPr>
              <w:spacing w:line="340" w:lineRule="exact"/>
              <w:jc w:val="center"/>
              <w:textAlignment w:val="center"/>
              <w:rPr>
                <w:rFonts w:ascii="Times New Roman" w:hAnsi="Times New Roman" w:eastAsia="黑体" w:cs="黑体"/>
                <w:bCs/>
                <w:color w:val="000000"/>
                <w:sz w:val="21"/>
                <w:szCs w:val="21"/>
              </w:rPr>
            </w:pPr>
            <w:r>
              <w:rPr>
                <w:rFonts w:hint="eastAsia" w:ascii="Times New Roman" w:hAnsi="Times New Roman" w:eastAsia="黑体" w:cs="黑体"/>
                <w:bCs/>
                <w:color w:val="000000"/>
                <w:kern w:val="0"/>
                <w:sz w:val="21"/>
                <w:szCs w:val="21"/>
              </w:rPr>
              <w:t>封样说明（2份样品）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63" w:hRule="atLeast"/>
          <w:jc w:val="center"/>
        </w:trPr>
        <w:tc>
          <w:tcPr>
            <w:tcW w:w="1009" w:type="dxa"/>
            <w:vMerge w:val="restart"/>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保健食品</w:t>
            </w:r>
          </w:p>
        </w:tc>
        <w:tc>
          <w:tcPr>
            <w:tcW w:w="579" w:type="dxa"/>
            <w:vAlign w:val="center"/>
          </w:tcPr>
          <w:p>
            <w:pPr>
              <w:spacing w:line="340" w:lineRule="exact"/>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p>
        </w:tc>
        <w:tc>
          <w:tcPr>
            <w:tcW w:w="1013" w:type="dxa"/>
            <w:tcBorders>
              <w:top w:val="single" w:color="auto" w:sz="4" w:space="0"/>
            </w:tcBorders>
            <w:vAlign w:val="center"/>
          </w:tcPr>
          <w:p>
            <w:pPr>
              <w:widowControl w:val="0"/>
              <w:spacing w:line="240" w:lineRule="auto"/>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全检</w:t>
            </w:r>
          </w:p>
        </w:tc>
        <w:tc>
          <w:tcPr>
            <w:tcW w:w="2027" w:type="dxa"/>
            <w:tcBorders>
              <w:top w:val="single" w:color="auto" w:sz="4" w:space="0"/>
              <w:bottom w:val="single" w:color="auto" w:sz="4" w:space="0"/>
            </w:tcBorders>
            <w:vAlign w:val="center"/>
          </w:tcPr>
          <w:p>
            <w:pPr>
              <w:widowControl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固体</w:t>
            </w:r>
            <w:r>
              <w:rPr>
                <w:rFonts w:hint="eastAsia" w:ascii="Times New Roman" w:hAnsi="Times New Roman" w:cs="Times New Roman"/>
                <w:color w:val="000000"/>
                <w:kern w:val="0"/>
                <w:sz w:val="21"/>
                <w:szCs w:val="21"/>
              </w:rPr>
              <w:t>/液体</w:t>
            </w:r>
          </w:p>
        </w:tc>
        <w:tc>
          <w:tcPr>
            <w:tcW w:w="4439" w:type="dxa"/>
            <w:tcBorders>
              <w:top w:val="single" w:color="auto" w:sz="4" w:space="0"/>
              <w:bottom w:val="single" w:color="auto" w:sz="4" w:space="0"/>
            </w:tcBorders>
            <w:vAlign w:val="center"/>
          </w:tcPr>
          <w:p>
            <w:pPr>
              <w:widowControl w:val="0"/>
              <w:spacing w:line="240" w:lineRule="auto"/>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450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4</w:t>
            </w:r>
            <w:r>
              <w:rPr>
                <w:rFonts w:ascii="Times New Roman" w:hAnsi="Times New Roman" w:cs="Times New Roman"/>
                <w:color w:val="000000"/>
                <w:kern w:val="0"/>
                <w:sz w:val="21"/>
                <w:szCs w:val="21"/>
              </w:rPr>
              <w:t>个包装</w:t>
            </w:r>
          </w:p>
          <w:p>
            <w:pPr>
              <w:widowControl w:val="0"/>
              <w:spacing w:line="240" w:lineRule="auto"/>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(若包装规格≥200g/ml，可减少一个包装)</w:t>
            </w:r>
          </w:p>
        </w:tc>
        <w:tc>
          <w:tcPr>
            <w:tcW w:w="5556" w:type="dxa"/>
            <w:tcBorders>
              <w:bottom w:val="single" w:color="auto" w:sz="4" w:space="0"/>
            </w:tcBorders>
            <w:vAlign w:val="center"/>
          </w:tcPr>
          <w:p>
            <w:pPr>
              <w:spacing w:line="340" w:lineRule="exact"/>
              <w:textAlignment w:val="center"/>
              <w:rPr>
                <w:rFonts w:ascii="Times New Roman" w:hAnsi="Times New Roman" w:cs="Times New Roman"/>
                <w:color w:val="000000"/>
                <w:kern w:val="0"/>
                <w:sz w:val="21"/>
                <w:szCs w:val="21"/>
              </w:rPr>
            </w:pP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50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个包装）</w:t>
            </w:r>
            <w:r>
              <w:rPr>
                <w:rFonts w:hint="eastAsia" w:ascii="Times New Roman" w:hAnsi="Times New Roman" w:cs="Times New Roman"/>
                <w:color w:val="000000"/>
                <w:kern w:val="0"/>
                <w:sz w:val="21"/>
                <w:szCs w:val="21"/>
              </w:rPr>
              <w:t>，</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400g/ml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spacing w:line="340" w:lineRule="exact"/>
              <w:jc w:val="center"/>
              <w:textAlignment w:val="center"/>
              <w:rPr>
                <w:rFonts w:ascii="Times New Roman" w:hAnsi="Times New Roman" w:cs="Times New Roman"/>
                <w:color w:val="000000"/>
                <w:kern w:val="0"/>
                <w:sz w:val="21"/>
                <w:szCs w:val="21"/>
              </w:rPr>
            </w:pPr>
          </w:p>
        </w:tc>
        <w:tc>
          <w:tcPr>
            <w:tcW w:w="579" w:type="dxa"/>
            <w:vMerge w:val="restart"/>
            <w:vAlign w:val="center"/>
          </w:tcPr>
          <w:p>
            <w:pPr>
              <w:widowControl w:val="0"/>
              <w:spacing w:line="340" w:lineRule="exact"/>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w:t>
            </w:r>
          </w:p>
        </w:tc>
        <w:tc>
          <w:tcPr>
            <w:tcW w:w="1013" w:type="dxa"/>
            <w:vMerge w:val="restart"/>
            <w:tcBorders>
              <w:top w:val="single" w:color="auto" w:sz="4" w:space="0"/>
            </w:tcBorders>
            <w:vAlign w:val="center"/>
          </w:tcPr>
          <w:p>
            <w:pPr>
              <w:widowControl w:val="0"/>
              <w:spacing w:line="340" w:lineRule="exact"/>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非法添加</w:t>
            </w:r>
          </w:p>
        </w:tc>
        <w:tc>
          <w:tcPr>
            <w:tcW w:w="2027" w:type="dxa"/>
            <w:tcBorders>
              <w:top w:val="single" w:color="auto" w:sz="4" w:space="0"/>
            </w:tcBorders>
            <w:vAlign w:val="center"/>
          </w:tcPr>
          <w:p>
            <w:pPr>
              <w:widowControl w:val="0"/>
              <w:spacing w:line="340" w:lineRule="exact"/>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固体</w:t>
            </w:r>
          </w:p>
        </w:tc>
        <w:tc>
          <w:tcPr>
            <w:tcW w:w="4439" w:type="dxa"/>
            <w:tcBorders>
              <w:top w:val="single" w:color="auto" w:sz="4" w:space="0"/>
            </w:tcBorders>
            <w:vAlign w:val="center"/>
          </w:tcPr>
          <w:p>
            <w:pPr>
              <w:widowControl w:val="0"/>
              <w:spacing w:line="340" w:lineRule="exact"/>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50</w:t>
            </w:r>
            <w:r>
              <w:rPr>
                <w:rFonts w:ascii="Times New Roman" w:hAnsi="Times New Roman" w:cs="Times New Roman"/>
                <w:color w:val="000000"/>
                <w:kern w:val="0"/>
                <w:sz w:val="21"/>
                <w:szCs w:val="21"/>
              </w:rPr>
              <w:t>个服用量；至少</w:t>
            </w:r>
            <w:r>
              <w:rPr>
                <w:rFonts w:hint="eastAsia" w:ascii="Times New Roman" w:hAnsi="Times New Roman" w:cs="Times New Roman"/>
                <w:color w:val="000000"/>
                <w:kern w:val="0"/>
                <w:sz w:val="21"/>
                <w:szCs w:val="21"/>
              </w:rPr>
              <w:t>2</w:t>
            </w:r>
            <w:r>
              <w:rPr>
                <w:rFonts w:ascii="Times New Roman" w:hAnsi="Times New Roman" w:cs="Times New Roman"/>
                <w:color w:val="000000"/>
                <w:kern w:val="0"/>
                <w:sz w:val="21"/>
                <w:szCs w:val="21"/>
              </w:rPr>
              <w:t>个包装</w:t>
            </w:r>
          </w:p>
        </w:tc>
        <w:tc>
          <w:tcPr>
            <w:tcW w:w="5556" w:type="dxa"/>
            <w:tcBorders>
              <w:top w:val="single" w:color="auto" w:sz="4" w:space="0"/>
            </w:tcBorders>
            <w:vAlign w:val="center"/>
          </w:tcPr>
          <w:p>
            <w:pPr>
              <w:widowControl w:val="0"/>
              <w:spacing w:line="340" w:lineRule="exact"/>
              <w:textAlignment w:val="center"/>
              <w:rPr>
                <w:rFonts w:ascii="Times New Roman" w:hAnsi="Times New Roman" w:cs="Times New Roman"/>
                <w:color w:val="000000"/>
                <w:kern w:val="0"/>
                <w:sz w:val="21"/>
                <w:szCs w:val="21"/>
              </w:rPr>
            </w:pP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20个服用量</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个包装）</w:t>
            </w:r>
            <w:r>
              <w:rPr>
                <w:rFonts w:hint="eastAsia" w:ascii="Times New Roman" w:hAnsi="Times New Roman" w:cs="Times New Roman"/>
                <w:color w:val="000000"/>
                <w:kern w:val="0"/>
                <w:sz w:val="21"/>
                <w:szCs w:val="21"/>
              </w:rPr>
              <w:t>，</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30个服用量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57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1013"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2027"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液体</w:t>
            </w:r>
          </w:p>
        </w:tc>
        <w:tc>
          <w:tcPr>
            <w:tcW w:w="4439"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r>
              <w:rPr>
                <w:rFonts w:hint="eastAsia" w:ascii="Times New Roman" w:hAnsi="Times New Roman" w:cs="Times New Roman"/>
                <w:color w:val="000000"/>
                <w:kern w:val="0"/>
                <w:sz w:val="21"/>
                <w:szCs w:val="21"/>
              </w:rPr>
              <w:t>25</w:t>
            </w:r>
            <w:r>
              <w:rPr>
                <w:rFonts w:ascii="Times New Roman" w:hAnsi="Times New Roman" w:cs="Times New Roman"/>
                <w:color w:val="000000"/>
                <w:kern w:val="0"/>
                <w:sz w:val="21"/>
                <w:szCs w:val="21"/>
              </w:rPr>
              <w:t>m</w:t>
            </w:r>
            <w:r>
              <w:rPr>
                <w:rFonts w:hint="eastAsia" w:ascii="Times New Roman" w:hAnsi="Times New Roman" w:cs="Times New Roman"/>
                <w:color w:val="000000"/>
                <w:kern w:val="0"/>
                <w:sz w:val="21"/>
                <w:szCs w:val="21"/>
              </w:rPr>
              <w:t>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2</w:t>
            </w:r>
            <w:r>
              <w:rPr>
                <w:rFonts w:ascii="Times New Roman" w:hAnsi="Times New Roman" w:cs="Times New Roman"/>
                <w:color w:val="000000"/>
                <w:kern w:val="0"/>
                <w:sz w:val="21"/>
                <w:szCs w:val="21"/>
              </w:rPr>
              <w:t>个包装</w:t>
            </w:r>
          </w:p>
        </w:tc>
        <w:tc>
          <w:tcPr>
            <w:tcW w:w="5556" w:type="dxa"/>
            <w:vAlign w:val="center"/>
          </w:tcPr>
          <w:p>
            <w:pPr>
              <w:spacing w:line="340" w:lineRule="exact"/>
              <w:textAlignment w:val="center"/>
              <w:rPr>
                <w:rFonts w:ascii="Times New Roman" w:hAnsi="Times New Roman" w:cs="Times New Roman"/>
                <w:color w:val="000000"/>
                <w:sz w:val="21"/>
                <w:szCs w:val="21"/>
              </w:rPr>
            </w:pP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50ml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个包装）</w:t>
            </w:r>
            <w:r>
              <w:rPr>
                <w:rFonts w:hint="eastAsia" w:ascii="Times New Roman" w:hAnsi="Times New Roman" w:cs="Times New Roman"/>
                <w:color w:val="000000"/>
                <w:kern w:val="0"/>
                <w:sz w:val="21"/>
                <w:szCs w:val="21"/>
              </w:rPr>
              <w:t>，</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75ml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579" w:type="dxa"/>
            <w:vAlign w:val="center"/>
          </w:tcPr>
          <w:p>
            <w:pPr>
              <w:spacing w:line="340" w:lineRule="exact"/>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3</w:t>
            </w:r>
          </w:p>
        </w:tc>
        <w:tc>
          <w:tcPr>
            <w:tcW w:w="1013"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铅砷汞</w:t>
            </w:r>
          </w:p>
        </w:tc>
        <w:tc>
          <w:tcPr>
            <w:tcW w:w="2027"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固体</w:t>
            </w:r>
            <w:r>
              <w:rPr>
                <w:rFonts w:hint="eastAsia" w:ascii="Times New Roman" w:hAnsi="Times New Roman" w:cs="Times New Roman"/>
                <w:color w:val="000000"/>
                <w:kern w:val="0"/>
                <w:sz w:val="21"/>
                <w:szCs w:val="21"/>
              </w:rPr>
              <w:t>/液体</w:t>
            </w:r>
          </w:p>
        </w:tc>
        <w:tc>
          <w:tcPr>
            <w:tcW w:w="4439" w:type="dxa"/>
            <w:vAlign w:val="center"/>
          </w:tcPr>
          <w:p>
            <w:pPr>
              <w:spacing w:line="3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kern w:val="0"/>
                <w:sz w:val="21"/>
                <w:szCs w:val="21"/>
              </w:rPr>
              <w:t>50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2</w:t>
            </w:r>
            <w:r>
              <w:rPr>
                <w:rFonts w:ascii="Times New Roman" w:hAnsi="Times New Roman" w:cs="Times New Roman"/>
                <w:color w:val="000000"/>
                <w:kern w:val="0"/>
                <w:sz w:val="21"/>
                <w:szCs w:val="21"/>
              </w:rPr>
              <w:t>个包装</w:t>
            </w:r>
          </w:p>
        </w:tc>
        <w:tc>
          <w:tcPr>
            <w:tcW w:w="5556" w:type="dxa"/>
            <w:vAlign w:val="center"/>
          </w:tcPr>
          <w:p>
            <w:pPr>
              <w:spacing w:line="340" w:lineRule="exact"/>
              <w:textAlignment w:val="center"/>
              <w:rPr>
                <w:rFonts w:ascii="Times New Roman" w:hAnsi="Times New Roman" w:cs="Times New Roman"/>
                <w:color w:val="000000"/>
                <w:sz w:val="21"/>
                <w:szCs w:val="21"/>
              </w:rPr>
            </w:pP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20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个包装）</w:t>
            </w:r>
            <w:r>
              <w:rPr>
                <w:rFonts w:hint="eastAsia" w:ascii="Times New Roman" w:hAnsi="Times New Roman" w:cs="Times New Roman"/>
                <w:color w:val="000000"/>
                <w:kern w:val="0"/>
                <w:sz w:val="21"/>
                <w:szCs w:val="21"/>
              </w:rPr>
              <w:t>，</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30g/ml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579" w:type="dxa"/>
            <w:vAlign w:val="center"/>
          </w:tcPr>
          <w:p>
            <w:pPr>
              <w:spacing w:line="340" w:lineRule="exact"/>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4</w:t>
            </w:r>
          </w:p>
        </w:tc>
        <w:tc>
          <w:tcPr>
            <w:tcW w:w="1013" w:type="dxa"/>
            <w:vAlign w:val="center"/>
          </w:tcPr>
          <w:p>
            <w:pPr>
              <w:spacing w:line="340" w:lineRule="exact"/>
              <w:jc w:val="center"/>
              <w:textAlignment w:val="center"/>
              <w:rPr>
                <w:rFonts w:ascii="Times New Roman" w:hAnsi="Times New Roman" w:cs="Times New Roman"/>
                <w:color w:val="000000"/>
                <w:sz w:val="21"/>
                <w:szCs w:val="21"/>
              </w:rPr>
            </w:pPr>
            <w:bookmarkStart w:id="0" w:name="OLE_LINK1"/>
            <w:r>
              <w:rPr>
                <w:rFonts w:ascii="Times New Roman" w:hAnsi="Times New Roman" w:cs="Times New Roman"/>
                <w:color w:val="000000"/>
                <w:kern w:val="0"/>
                <w:sz w:val="21"/>
                <w:szCs w:val="21"/>
              </w:rPr>
              <w:t>微生物</w:t>
            </w:r>
            <w:bookmarkEnd w:id="0"/>
          </w:p>
        </w:tc>
        <w:tc>
          <w:tcPr>
            <w:tcW w:w="2027"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固体</w:t>
            </w:r>
            <w:r>
              <w:rPr>
                <w:rFonts w:hint="eastAsia" w:ascii="Times New Roman" w:hAnsi="Times New Roman" w:cs="Times New Roman"/>
                <w:color w:val="000000"/>
                <w:kern w:val="0"/>
                <w:sz w:val="21"/>
                <w:szCs w:val="21"/>
              </w:rPr>
              <w:t>/液体</w:t>
            </w:r>
          </w:p>
        </w:tc>
        <w:tc>
          <w:tcPr>
            <w:tcW w:w="4439" w:type="dxa"/>
            <w:vAlign w:val="center"/>
          </w:tcPr>
          <w:p>
            <w:pPr>
              <w:spacing w:line="3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kern w:val="0"/>
                <w:sz w:val="21"/>
                <w:szCs w:val="21"/>
              </w:rPr>
              <w:t>200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2</w:t>
            </w:r>
            <w:r>
              <w:rPr>
                <w:rFonts w:ascii="Times New Roman" w:hAnsi="Times New Roman" w:cs="Times New Roman"/>
                <w:color w:val="000000"/>
                <w:kern w:val="0"/>
                <w:sz w:val="21"/>
                <w:szCs w:val="21"/>
              </w:rPr>
              <w:t>个包装</w:t>
            </w:r>
          </w:p>
        </w:tc>
        <w:tc>
          <w:tcPr>
            <w:tcW w:w="5556" w:type="dxa"/>
            <w:vAlign w:val="center"/>
          </w:tcPr>
          <w:p>
            <w:pPr>
              <w:spacing w:line="340" w:lineRule="exact"/>
              <w:textAlignment w:val="center"/>
              <w:rPr>
                <w:rFonts w:ascii="Times New Roman" w:hAnsi="Times New Roman" w:cs="Times New Roman"/>
                <w:color w:val="000000"/>
                <w:sz w:val="21"/>
                <w:szCs w:val="21"/>
              </w:rPr>
            </w:pP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200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579" w:type="dxa"/>
            <w:vMerge w:val="restart"/>
            <w:vAlign w:val="center"/>
          </w:tcPr>
          <w:p>
            <w:pPr>
              <w:spacing w:line="340" w:lineRule="exact"/>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5</w:t>
            </w:r>
          </w:p>
        </w:tc>
        <w:tc>
          <w:tcPr>
            <w:tcW w:w="1013" w:type="dxa"/>
            <w:vMerge w:val="restart"/>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功效成分</w:t>
            </w:r>
          </w:p>
        </w:tc>
        <w:tc>
          <w:tcPr>
            <w:tcW w:w="2027"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多种维生素</w:t>
            </w:r>
            <w:r>
              <w:rPr>
                <w:rFonts w:hint="eastAsia" w:ascii="Times New Roman" w:hAnsi="Times New Roman" w:cs="Times New Roman"/>
                <w:color w:val="000000"/>
                <w:kern w:val="0"/>
                <w:sz w:val="21"/>
                <w:szCs w:val="21"/>
              </w:rPr>
              <w:t>矿物质</w:t>
            </w:r>
          </w:p>
        </w:tc>
        <w:tc>
          <w:tcPr>
            <w:tcW w:w="4439" w:type="dxa"/>
            <w:vAlign w:val="center"/>
          </w:tcPr>
          <w:p>
            <w:pPr>
              <w:spacing w:line="3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kern w:val="0"/>
                <w:sz w:val="21"/>
                <w:szCs w:val="21"/>
              </w:rPr>
              <w:t>250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3</w:t>
            </w:r>
            <w:r>
              <w:rPr>
                <w:rFonts w:ascii="Times New Roman" w:hAnsi="Times New Roman" w:cs="Times New Roman"/>
                <w:color w:val="000000"/>
                <w:kern w:val="0"/>
                <w:sz w:val="21"/>
                <w:szCs w:val="21"/>
              </w:rPr>
              <w:t>个包装</w:t>
            </w:r>
          </w:p>
        </w:tc>
        <w:tc>
          <w:tcPr>
            <w:tcW w:w="5556" w:type="dxa"/>
            <w:vAlign w:val="center"/>
          </w:tcPr>
          <w:p>
            <w:pPr>
              <w:spacing w:line="340" w:lineRule="exact"/>
              <w:textAlignment w:val="center"/>
              <w:rPr>
                <w:rFonts w:ascii="Times New Roman" w:hAnsi="Times New Roman" w:cs="Times New Roman"/>
                <w:color w:val="000000"/>
                <w:sz w:val="21"/>
                <w:szCs w:val="21"/>
              </w:rPr>
            </w:pP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50</w:t>
            </w:r>
            <w:r>
              <w:rPr>
                <w:rFonts w:ascii="Times New Roman" w:hAnsi="Times New Roman" w:cs="Times New Roman"/>
                <w:color w:val="000000"/>
                <w:kern w:val="0"/>
                <w:sz w:val="21"/>
                <w:szCs w:val="21"/>
              </w:rPr>
              <w:t>g/m</w:t>
            </w:r>
            <w:r>
              <w:rPr>
                <w:rFonts w:hint="eastAsia" w:ascii="Times New Roman" w:hAnsi="Times New Roman" w:cs="Times New Roman"/>
                <w:color w:val="000000"/>
                <w:kern w:val="0"/>
                <w:sz w:val="21"/>
                <w:szCs w:val="21"/>
              </w:rPr>
              <w:t>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个包装）</w:t>
            </w:r>
            <w:r>
              <w:rPr>
                <w:rFonts w:hint="eastAsia" w:ascii="Times New Roman" w:hAnsi="Times New Roman" w:cs="Times New Roman"/>
                <w:color w:val="000000"/>
                <w:kern w:val="0"/>
                <w:sz w:val="21"/>
                <w:szCs w:val="21"/>
              </w:rPr>
              <w:t>，</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200g/ml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57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1013"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2027"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益生菌</w:t>
            </w:r>
          </w:p>
        </w:tc>
        <w:tc>
          <w:tcPr>
            <w:tcW w:w="4439" w:type="dxa"/>
            <w:vAlign w:val="center"/>
          </w:tcPr>
          <w:p>
            <w:pPr>
              <w:spacing w:line="3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kern w:val="0"/>
                <w:sz w:val="21"/>
                <w:szCs w:val="21"/>
              </w:rPr>
              <w:t>200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m</w:t>
            </w:r>
            <w:r>
              <w:rPr>
                <w:rFonts w:hint="eastAsia" w:ascii="Times New Roman" w:hAnsi="Times New Roman" w:cs="Times New Roman"/>
                <w:color w:val="000000"/>
                <w:kern w:val="0"/>
                <w:sz w:val="21"/>
                <w:szCs w:val="21"/>
              </w:rPr>
              <w:t>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2</w:t>
            </w:r>
            <w:r>
              <w:rPr>
                <w:rFonts w:ascii="Times New Roman" w:hAnsi="Times New Roman" w:cs="Times New Roman"/>
                <w:color w:val="000000"/>
                <w:kern w:val="0"/>
                <w:sz w:val="21"/>
                <w:szCs w:val="21"/>
              </w:rPr>
              <w:t>个包装</w:t>
            </w:r>
          </w:p>
        </w:tc>
        <w:tc>
          <w:tcPr>
            <w:tcW w:w="5556" w:type="dxa"/>
            <w:vAlign w:val="center"/>
          </w:tcPr>
          <w:p>
            <w:pPr>
              <w:spacing w:line="340" w:lineRule="exact"/>
              <w:textAlignment w:val="center"/>
              <w:rPr>
                <w:rFonts w:ascii="Times New Roman" w:hAnsi="Times New Roman" w:cs="Times New Roman"/>
                <w:color w:val="000000"/>
                <w:sz w:val="21"/>
                <w:szCs w:val="21"/>
              </w:rPr>
            </w:pP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200</w:t>
            </w:r>
            <w:r>
              <w:rPr>
                <w:rFonts w:ascii="Times New Roman" w:hAnsi="Times New Roman" w:cs="Times New Roman"/>
                <w:color w:val="000000"/>
                <w:kern w:val="0"/>
                <w:sz w:val="21"/>
                <w:szCs w:val="21"/>
              </w:rPr>
              <w:t>g/m</w:t>
            </w:r>
            <w:r>
              <w:rPr>
                <w:rFonts w:hint="eastAsia" w:ascii="Times New Roman" w:hAnsi="Times New Roman" w:cs="Times New Roman"/>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 w:hRule="atLeast"/>
          <w:jc w:val="center"/>
        </w:trPr>
        <w:tc>
          <w:tcPr>
            <w:tcW w:w="100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579"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1013" w:type="dxa"/>
            <w:vMerge w:val="continue"/>
            <w:vAlign w:val="center"/>
          </w:tcPr>
          <w:p>
            <w:pPr>
              <w:widowControl w:val="0"/>
              <w:spacing w:line="340" w:lineRule="exact"/>
              <w:jc w:val="center"/>
              <w:rPr>
                <w:rFonts w:ascii="Times New Roman" w:hAnsi="Times New Roman" w:cs="Times New Roman"/>
                <w:color w:val="000000"/>
                <w:sz w:val="21"/>
                <w:szCs w:val="21"/>
              </w:rPr>
            </w:pPr>
          </w:p>
        </w:tc>
        <w:tc>
          <w:tcPr>
            <w:tcW w:w="2027"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其他</w:t>
            </w:r>
          </w:p>
        </w:tc>
        <w:tc>
          <w:tcPr>
            <w:tcW w:w="4439" w:type="dxa"/>
            <w:vAlign w:val="center"/>
          </w:tcPr>
          <w:p>
            <w:pPr>
              <w:spacing w:line="3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r>
              <w:rPr>
                <w:rFonts w:hint="eastAsia" w:ascii="Times New Roman" w:hAnsi="Times New Roman" w:cs="Times New Roman"/>
                <w:color w:val="000000"/>
                <w:kern w:val="0"/>
                <w:sz w:val="21"/>
                <w:szCs w:val="21"/>
              </w:rPr>
              <w:t>25</w:t>
            </w:r>
            <w:r>
              <w:rPr>
                <w:rFonts w:ascii="Times New Roman" w:hAnsi="Times New Roman" w:cs="Times New Roman"/>
                <w:color w:val="000000"/>
                <w:kern w:val="0"/>
                <w:sz w:val="21"/>
                <w:szCs w:val="21"/>
              </w:rPr>
              <w:t xml:space="preserve"> g</w:t>
            </w: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m</w:t>
            </w:r>
            <w:r>
              <w:rPr>
                <w:rFonts w:hint="eastAsia" w:ascii="Times New Roman" w:hAnsi="Times New Roman" w:cs="Times New Roman"/>
                <w:color w:val="000000"/>
                <w:kern w:val="0"/>
                <w:sz w:val="21"/>
                <w:szCs w:val="21"/>
              </w:rPr>
              <w:t>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4</w:t>
            </w:r>
            <w:r>
              <w:rPr>
                <w:rFonts w:ascii="Times New Roman" w:hAnsi="Times New Roman" w:cs="Times New Roman"/>
                <w:color w:val="000000"/>
                <w:kern w:val="0"/>
                <w:sz w:val="21"/>
                <w:szCs w:val="21"/>
              </w:rPr>
              <w:t>个包装</w:t>
            </w:r>
          </w:p>
        </w:tc>
        <w:tc>
          <w:tcPr>
            <w:tcW w:w="5556" w:type="dxa"/>
            <w:vAlign w:val="center"/>
          </w:tcPr>
          <w:p>
            <w:pPr>
              <w:spacing w:line="340" w:lineRule="exact"/>
              <w:textAlignment w:val="center"/>
              <w:rPr>
                <w:rFonts w:ascii="Times New Roman" w:hAnsi="Times New Roman" w:cs="Times New Roman"/>
                <w:color w:val="000000"/>
                <w:sz w:val="21"/>
                <w:szCs w:val="21"/>
              </w:rPr>
            </w:pP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号样50g/m</w:t>
            </w:r>
            <w:r>
              <w:rPr>
                <w:rFonts w:hint="eastAsia" w:ascii="Times New Roman" w:hAnsi="Times New Roman" w:cs="Times New Roman"/>
                <w:color w:val="000000"/>
                <w:kern w:val="0"/>
                <w:sz w:val="21"/>
                <w:szCs w:val="21"/>
              </w:rPr>
              <w:t>l</w:t>
            </w:r>
            <w:r>
              <w:rPr>
                <w:rFonts w:ascii="Times New Roman" w:hAnsi="Times New Roman" w:cs="Times New Roman"/>
                <w:color w:val="000000"/>
                <w:kern w:val="0"/>
                <w:sz w:val="21"/>
                <w:szCs w:val="21"/>
              </w:rPr>
              <w:t>（至少</w:t>
            </w: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个包装）</w:t>
            </w:r>
            <w:r>
              <w:rPr>
                <w:rFonts w:hint="eastAsia" w:ascii="Times New Roman" w:hAnsi="Times New Roman" w:cs="Times New Roman"/>
                <w:color w:val="000000"/>
                <w:kern w:val="0"/>
                <w:sz w:val="21"/>
                <w:szCs w:val="21"/>
              </w:rPr>
              <w:t>，</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75g/ml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82" w:hRule="atLeast"/>
          <w:jc w:val="center"/>
        </w:trPr>
        <w:tc>
          <w:tcPr>
            <w:tcW w:w="14623" w:type="dxa"/>
            <w:gridSpan w:val="6"/>
          </w:tcPr>
          <w:p>
            <w:pPr>
              <w:spacing w:line="300" w:lineRule="exac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备注：</w:t>
            </w:r>
            <w:r>
              <w:rPr>
                <w:rFonts w:hint="eastAsia" w:ascii="Times New Roman" w:hAnsi="Times New Roman" w:cs="宋体"/>
                <w:color w:val="000000"/>
                <w:kern w:val="0"/>
                <w:sz w:val="21"/>
                <w:szCs w:val="21"/>
              </w:rPr>
              <w:t>①</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为复检备份样；</w:t>
            </w:r>
            <w:r>
              <w:rPr>
                <w:rFonts w:hint="eastAsia" w:ascii="Times New Roman" w:hAnsi="Times New Roman" w:cs="宋体"/>
                <w:color w:val="000000"/>
                <w:kern w:val="0"/>
                <w:sz w:val="21"/>
                <w:szCs w:val="21"/>
              </w:rPr>
              <w:t>②</w:t>
            </w:r>
            <w:r>
              <w:rPr>
                <w:rFonts w:ascii="Times New Roman" w:hAnsi="Times New Roman" w:cs="Times New Roman"/>
                <w:color w:val="000000"/>
                <w:kern w:val="0"/>
                <w:sz w:val="21"/>
                <w:szCs w:val="21"/>
              </w:rPr>
              <w:t>号样</w:t>
            </w:r>
            <w:r>
              <w:rPr>
                <w:rFonts w:hint="eastAsia" w:ascii="Times New Roman" w:hAnsi="Times New Roman" w:cs="Times New Roman"/>
                <w:color w:val="000000"/>
                <w:kern w:val="0"/>
                <w:sz w:val="21"/>
                <w:szCs w:val="21"/>
              </w:rPr>
              <w:t>为检验用样品。物生物指标不能复检，无需复检备份样。</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 xml:space="preserve">    1</w:t>
            </w:r>
            <w:r>
              <w:rPr>
                <w:rFonts w:hint="eastAsia" w:ascii="Times New Roman" w:hAnsi="Times New Roman" w:cs="Times New Roman"/>
                <w:color w:val="000000"/>
                <w:kern w:val="0"/>
                <w:sz w:val="21"/>
                <w:szCs w:val="21"/>
              </w:rPr>
              <w:t xml:space="preserve">. </w:t>
            </w:r>
            <w:r>
              <w:rPr>
                <w:rFonts w:ascii="Times New Roman" w:hAnsi="Times New Roman" w:cs="Times New Roman"/>
                <w:color w:val="000000"/>
                <w:kern w:val="0"/>
                <w:sz w:val="21"/>
                <w:szCs w:val="21"/>
              </w:rPr>
              <w:t>以上所列样品量是指通常情况下，特殊标准或项目除外；</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 xml:space="preserve">    2</w:t>
            </w:r>
            <w:r>
              <w:rPr>
                <w:rFonts w:hint="eastAsia" w:ascii="Times New Roman" w:hAnsi="Times New Roman" w:cs="Times New Roman"/>
                <w:color w:val="000000"/>
                <w:kern w:val="0"/>
                <w:sz w:val="21"/>
                <w:szCs w:val="21"/>
              </w:rPr>
              <w:t xml:space="preserve">. </w:t>
            </w:r>
            <w:r>
              <w:rPr>
                <w:rFonts w:ascii="Times New Roman" w:hAnsi="Times New Roman" w:cs="Times New Roman"/>
                <w:color w:val="000000"/>
                <w:kern w:val="0"/>
                <w:sz w:val="21"/>
                <w:szCs w:val="21"/>
              </w:rPr>
              <w:t>抽样及封样量要同时满足重量（容量）和包装数</w:t>
            </w:r>
            <w:r>
              <w:rPr>
                <w:rFonts w:hint="eastAsia" w:ascii="Times New Roman" w:hAnsi="Times New Roman" w:cs="Times New Roman"/>
                <w:color w:val="000000"/>
                <w:kern w:val="0"/>
                <w:sz w:val="21"/>
                <w:szCs w:val="21"/>
              </w:rPr>
              <w:t>（独立销售包装）</w:t>
            </w:r>
            <w:r>
              <w:rPr>
                <w:rFonts w:ascii="Times New Roman" w:hAnsi="Times New Roman" w:cs="Times New Roman"/>
                <w:color w:val="000000"/>
                <w:kern w:val="0"/>
                <w:sz w:val="21"/>
                <w:szCs w:val="21"/>
              </w:rPr>
              <w:t>的要求；</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 xml:space="preserve">    3</w:t>
            </w:r>
            <w:r>
              <w:rPr>
                <w:rFonts w:hint="eastAsia" w:ascii="Times New Roman" w:hAnsi="Times New Roman" w:cs="Times New Roman"/>
                <w:color w:val="000000"/>
                <w:kern w:val="0"/>
                <w:sz w:val="21"/>
                <w:szCs w:val="21"/>
              </w:rPr>
              <w:t xml:space="preserve">. </w:t>
            </w:r>
            <w:r>
              <w:rPr>
                <w:rFonts w:ascii="Times New Roman" w:hAnsi="Times New Roman" w:cs="Times New Roman"/>
                <w:color w:val="000000"/>
                <w:kern w:val="0"/>
                <w:sz w:val="21"/>
                <w:szCs w:val="21"/>
              </w:rPr>
              <w:t>用于</w:t>
            </w:r>
            <w:r>
              <w:rPr>
                <w:rFonts w:hint="eastAsia" w:ascii="Times New Roman" w:hAnsi="Times New Roman" w:cs="Times New Roman"/>
                <w:color w:val="000000"/>
                <w:kern w:val="0"/>
                <w:sz w:val="21"/>
                <w:szCs w:val="21"/>
              </w:rPr>
              <w:t>复检备份</w:t>
            </w:r>
            <w:r>
              <w:rPr>
                <w:rFonts w:ascii="Times New Roman" w:hAnsi="Times New Roman" w:cs="Times New Roman"/>
                <w:color w:val="000000"/>
                <w:kern w:val="0"/>
                <w:sz w:val="21"/>
                <w:szCs w:val="21"/>
              </w:rPr>
              <w:t>的样品，必须有完整的独立销售包装及封签</w:t>
            </w:r>
            <w:r>
              <w:rPr>
                <w:rFonts w:hint="eastAsia" w:ascii="Times New Roman" w:hAnsi="Times New Roman" w:cs="Times New Roman"/>
                <w:color w:val="000000"/>
                <w:kern w:val="0"/>
                <w:sz w:val="21"/>
                <w:szCs w:val="21"/>
              </w:rPr>
              <w:t xml:space="preserve">； </w:t>
            </w:r>
          </w:p>
          <w:p>
            <w:pPr>
              <w:spacing w:line="300" w:lineRule="exact"/>
              <w:ind w:firstLine="420" w:firstLineChars="200"/>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4. 若企标中规定微生物指标采样为n=5的，序号1、4项目抽样量（包装）分别增加至800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/ml（至少7个包装），500</w:t>
            </w:r>
            <w:r>
              <w:rPr>
                <w:rFonts w:ascii="Times New Roman" w:hAnsi="Times New Roman" w:cs="Times New Roman"/>
                <w:color w:val="000000"/>
                <w:kern w:val="0"/>
                <w:sz w:val="21"/>
                <w:szCs w:val="21"/>
              </w:rPr>
              <w:t>g</w:t>
            </w:r>
            <w:r>
              <w:rPr>
                <w:rFonts w:hint="eastAsia" w:ascii="Times New Roman" w:hAnsi="Times New Roman" w:cs="Times New Roman"/>
                <w:color w:val="000000"/>
                <w:kern w:val="0"/>
                <w:sz w:val="21"/>
                <w:szCs w:val="21"/>
              </w:rPr>
              <w:t>/ml（至少5个包装）。</w:t>
            </w:r>
          </w:p>
        </w:tc>
      </w:tr>
    </w:tbl>
    <w:p/>
    <w:sectPr>
      <w:pgSz w:w="16838" w:h="11906" w:orient="landscape"/>
      <w:pgMar w:top="1588" w:right="2098"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60EAF"/>
    <w:rsid w:val="5C560EAF"/>
    <w:rsid w:val="79AD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仿宋" w:hAnsi="仿宋" w:eastAsia="仿宋_GB2312" w:cstheme="minorBidi"/>
      <w:kern w:val="2"/>
      <w:sz w:val="32"/>
      <w:szCs w:val="22"/>
      <w:lang w:val="en-US" w:eastAsia="zh-CN" w:bidi="ar-SA"/>
    </w:rPr>
  </w:style>
  <w:style w:type="paragraph" w:styleId="2">
    <w:name w:val="heading 1"/>
    <w:basedOn w:val="1"/>
    <w:next w:val="1"/>
    <w:qFormat/>
    <w:uiPriority w:val="9"/>
    <w:pPr>
      <w:widowControl w:val="0"/>
      <w:spacing w:before="100" w:beforeAutospacing="1" w:after="100" w:afterAutospacing="1" w:line="240" w:lineRule="auto"/>
      <w:outlineLvl w:val="0"/>
    </w:pPr>
    <w:rPr>
      <w:rFonts w:hint="eastAsia" w:ascii="宋体" w:hAnsi="宋体" w:eastAsia="宋体" w:cs="Times New Roman"/>
      <w:b/>
      <w:kern w:val="44"/>
      <w:sz w:val="48"/>
      <w:szCs w:val="4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spacing w:line="240" w:lineRule="auto"/>
    </w:pPr>
    <w:rPr>
      <w:rFonts w:ascii="Times New Roman" w:hAnsi="Times New Roman" w:cs="Times New Roman"/>
      <w:sz w:val="18"/>
      <w:szCs w:val="18"/>
    </w:rPr>
  </w:style>
  <w:style w:type="paragraph" w:styleId="4">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2020-03-22T07:45:00Z</dcterms:created>
  <dc:creator>SWFDA</dc:creator>
  <cp:lastModifiedBy>SWFDA</cp:lastModifiedBy>
  <dcterms:modified xsi:type="dcterms:W3CDTF">2020-03-22T07:47:58Z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