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0" w:firstLineChars="200"/>
        <w:jc w:val="center"/>
        <w:rPr>
          <w:rFonts w:hint="eastAsia" w:asciiTheme="majorEastAsia" w:hAnsiTheme="majorEastAsia" w:eastAsiaTheme="majorEastAsia"/>
          <w:sz w:val="30"/>
          <w:szCs w:val="30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sz w:val="30"/>
          <w:szCs w:val="30"/>
        </w:rPr>
        <w:t>汕尾市公共资源交易中心“三公”经费增减变化说明</w:t>
      </w:r>
    </w:p>
    <w:p>
      <w:pPr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一、</w:t>
      </w:r>
      <w:r>
        <w:rPr>
          <w:rFonts w:hint="eastAsia" w:ascii="仿宋" w:hAnsi="仿宋" w:eastAsia="仿宋"/>
          <w:sz w:val="24"/>
        </w:rPr>
        <w:t>单位基本情况：</w:t>
      </w:r>
    </w:p>
    <w:p>
      <w:pPr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单位于2013年11月经汕尾市编制委员会批准成立，为市政府直属事业单位，公益一类。本单位事业编制25人，2015年底在职在编人员20人。其中主任1名（由副处级干部担任），副主任2名（正科级）。内设6个正科级机构：综合信息部、财务部、政府采购部、建设工程交易部、土地与矿业权交易部、产权交易部。本单位执行事业单位财务会计制度。</w:t>
      </w:r>
    </w:p>
    <w:p>
      <w:pPr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二、一般公共预算财政拨款 “三公”经费支出6.22万元，其中：公务用车购置及运行维护费支出1.28万元；公务接待费支出4.94万元，主要用于接待专家评委。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758"/>
    <w:rsid w:val="00C0730D"/>
    <w:rsid w:val="00C80758"/>
    <w:rsid w:val="0A9D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41</Words>
  <Characters>235</Characters>
  <Lines>1</Lines>
  <Paragraphs>1</Paragraphs>
  <TotalTime>7</TotalTime>
  <ScaleCrop>false</ScaleCrop>
  <LinksUpToDate>false</LinksUpToDate>
  <CharactersWithSpaces>275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2016-12-02T08:25:00Z</dcterms:created>
  <dc:creator>dreamsummit</dc:creator>
  <cp:lastModifiedBy>Administrator</cp:lastModifiedBy>
  <dcterms:modified xsi:type="dcterms:W3CDTF">2021-01-05T01:04:23Z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